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6D" w:rsidRPr="00A23F6D" w:rsidRDefault="00A23F6D" w:rsidP="00A23F6D">
      <w:pPr>
        <w:pStyle w:val="20"/>
        <w:jc w:val="right"/>
        <w:rPr>
          <w:rFonts w:ascii="Times New Roman" w:hAnsi="Times New Roman" w:cs="Times New Roman"/>
          <w:color w:val="000000"/>
          <w:lang w:eastAsia="uk-UA" w:bidi="uk-UA"/>
        </w:rPr>
      </w:pPr>
      <w:r w:rsidRPr="00A23F6D">
        <w:rPr>
          <w:rFonts w:ascii="Times New Roman" w:hAnsi="Times New Roman" w:cs="Times New Roman"/>
          <w:color w:val="000000"/>
          <w:lang w:eastAsia="uk-UA" w:bidi="uk-UA"/>
        </w:rPr>
        <w:t>Додаток</w:t>
      </w:r>
    </w:p>
    <w:p w:rsidR="00A23F6D" w:rsidRPr="00A23F6D" w:rsidRDefault="00A23F6D" w:rsidP="00A23F6D">
      <w:pPr>
        <w:pStyle w:val="20"/>
        <w:rPr>
          <w:rFonts w:ascii="Times New Roman" w:hAnsi="Times New Roman" w:cs="Times New Roman"/>
          <w:b/>
          <w:color w:val="000000"/>
          <w:lang w:eastAsia="uk-UA" w:bidi="uk-UA"/>
        </w:rPr>
      </w:pPr>
      <w:r w:rsidRPr="00A23F6D">
        <w:rPr>
          <w:rFonts w:ascii="Times New Roman" w:hAnsi="Times New Roman" w:cs="Times New Roman"/>
          <w:b/>
          <w:color w:val="000000"/>
          <w:lang w:eastAsia="uk-UA" w:bidi="uk-UA"/>
        </w:rPr>
        <w:t>ПРОГНОЗ ВПЛИВУ</w:t>
      </w:r>
    </w:p>
    <w:p w:rsidR="00A23F6D" w:rsidRPr="003954C6" w:rsidRDefault="00A23F6D" w:rsidP="00A23F6D">
      <w:pPr>
        <w:pStyle w:val="20"/>
        <w:rPr>
          <w:rFonts w:ascii="Times New Roman" w:hAnsi="Times New Roman" w:cs="Times New Roman"/>
          <w:b/>
          <w:color w:val="000000"/>
          <w:sz w:val="20"/>
          <w:szCs w:val="20"/>
          <w:lang w:eastAsia="uk-UA" w:bidi="uk-UA"/>
        </w:rPr>
      </w:pPr>
      <w:r w:rsidRPr="003954C6"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 w:bidi="uk-UA"/>
        </w:rPr>
        <w:t xml:space="preserve">реалізації </w:t>
      </w:r>
      <w:proofErr w:type="spellStart"/>
      <w:r w:rsidRPr="003954C6"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 w:bidi="uk-UA"/>
        </w:rPr>
        <w:t>акта</w:t>
      </w:r>
      <w:proofErr w:type="spellEnd"/>
      <w:r w:rsidRPr="003954C6"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 w:bidi="uk-UA"/>
        </w:rPr>
        <w:t xml:space="preserve"> на ключові інтереси заінтересованих сторін</w:t>
      </w:r>
    </w:p>
    <w:p w:rsidR="00A23F6D" w:rsidRPr="003954C6" w:rsidRDefault="00A23F6D" w:rsidP="00414BDD">
      <w:pPr>
        <w:pStyle w:val="20"/>
        <w:keepNext/>
        <w:keepLines/>
        <w:ind w:left="80"/>
        <w:jc w:val="both"/>
        <w:rPr>
          <w:rFonts w:ascii="Times New Roman" w:hAnsi="Times New Roman" w:cs="Times New Roman"/>
          <w:color w:val="000000"/>
          <w:sz w:val="20"/>
          <w:szCs w:val="20"/>
          <w:lang w:eastAsia="uk-UA" w:bidi="uk-UA"/>
        </w:rPr>
      </w:pPr>
      <w:r w:rsidRPr="003954C6">
        <w:rPr>
          <w:rFonts w:ascii="Times New Roman" w:hAnsi="Times New Roman" w:cs="Times New Roman"/>
          <w:color w:val="000000"/>
          <w:sz w:val="20"/>
          <w:szCs w:val="20"/>
          <w:lang w:eastAsia="uk-UA" w:bidi="uk-UA"/>
        </w:rPr>
        <w:t xml:space="preserve">1. Основною ціллю прийняття проекту акту є </w:t>
      </w:r>
      <w:r w:rsidR="00414BDD" w:rsidRPr="003954C6">
        <w:rPr>
          <w:rFonts w:ascii="Times New Roman" w:hAnsi="Times New Roman" w:cs="Times New Roman"/>
          <w:color w:val="000000"/>
          <w:sz w:val="20"/>
          <w:szCs w:val="20"/>
          <w:lang w:eastAsia="uk-UA" w:bidi="uk-UA"/>
        </w:rPr>
        <w:t xml:space="preserve">виконання пункту 3   Постанови Кабінету Міністрів України від 29.11.06 №1670  «Про затвердження Порядку проведення кваліфікації </w:t>
      </w:r>
      <w:proofErr w:type="spellStart"/>
      <w:r w:rsidR="00414BDD" w:rsidRPr="003954C6">
        <w:rPr>
          <w:rFonts w:ascii="Times New Roman" w:hAnsi="Times New Roman" w:cs="Times New Roman"/>
          <w:color w:val="000000"/>
          <w:sz w:val="20"/>
          <w:szCs w:val="20"/>
          <w:lang w:eastAsia="uk-UA" w:bidi="uk-UA"/>
        </w:rPr>
        <w:t>когенераційної</w:t>
      </w:r>
      <w:proofErr w:type="spellEnd"/>
      <w:r w:rsidR="00414BDD" w:rsidRPr="003954C6">
        <w:rPr>
          <w:rFonts w:ascii="Times New Roman" w:hAnsi="Times New Roman" w:cs="Times New Roman"/>
          <w:color w:val="000000"/>
          <w:sz w:val="20"/>
          <w:szCs w:val="20"/>
          <w:lang w:eastAsia="uk-UA" w:bidi="uk-UA"/>
        </w:rPr>
        <w:t xml:space="preserve"> установки» (зі змінами, внесеними постановою Кабінету Міністрів України від 03.03.2020 № 163), згідно з яким кваліфікація </w:t>
      </w:r>
      <w:proofErr w:type="spellStart"/>
      <w:r w:rsidR="00414BDD" w:rsidRPr="003954C6">
        <w:rPr>
          <w:rFonts w:ascii="Times New Roman" w:hAnsi="Times New Roman" w:cs="Times New Roman"/>
          <w:color w:val="000000"/>
          <w:sz w:val="20"/>
          <w:szCs w:val="20"/>
          <w:lang w:eastAsia="uk-UA" w:bidi="uk-UA"/>
        </w:rPr>
        <w:t>когенераційної</w:t>
      </w:r>
      <w:proofErr w:type="spellEnd"/>
      <w:r w:rsidR="00414BDD" w:rsidRPr="003954C6">
        <w:rPr>
          <w:rFonts w:ascii="Times New Roman" w:hAnsi="Times New Roman" w:cs="Times New Roman"/>
          <w:color w:val="000000"/>
          <w:sz w:val="20"/>
          <w:szCs w:val="20"/>
          <w:lang w:eastAsia="uk-UA" w:bidi="uk-UA"/>
        </w:rPr>
        <w:t xml:space="preserve"> установки проводиться Держенергоефективності у порядку, встановленому </w:t>
      </w:r>
      <w:proofErr w:type="spellStart"/>
      <w:r w:rsidR="00414BDD" w:rsidRPr="003954C6">
        <w:rPr>
          <w:rFonts w:ascii="Times New Roman" w:hAnsi="Times New Roman" w:cs="Times New Roman"/>
          <w:color w:val="000000"/>
          <w:sz w:val="20"/>
          <w:szCs w:val="20"/>
          <w:lang w:eastAsia="uk-UA" w:bidi="uk-UA"/>
        </w:rPr>
        <w:t>Мінекоенерго</w:t>
      </w:r>
      <w:proofErr w:type="spellEnd"/>
      <w:r w:rsidR="003954C6" w:rsidRPr="003954C6">
        <w:rPr>
          <w:rFonts w:ascii="Times New Roman" w:hAnsi="Times New Roman" w:cs="Times New Roman"/>
          <w:color w:val="000000"/>
          <w:sz w:val="20"/>
          <w:szCs w:val="20"/>
          <w:lang w:eastAsia="uk-UA" w:bidi="uk-UA"/>
        </w:rPr>
        <w:t xml:space="preserve">», а також </w:t>
      </w:r>
      <w:r w:rsidR="003954C6">
        <w:rPr>
          <w:rFonts w:ascii="Times New Roman" w:hAnsi="Times New Roman" w:cs="Times New Roman"/>
          <w:color w:val="000000"/>
          <w:sz w:val="20"/>
          <w:szCs w:val="20"/>
          <w:lang w:eastAsia="uk-UA" w:bidi="uk-UA"/>
        </w:rPr>
        <w:t xml:space="preserve">виконання положень </w:t>
      </w:r>
      <w:r w:rsidR="003954C6" w:rsidRPr="003954C6">
        <w:rPr>
          <w:rFonts w:ascii="Times New Roman" w:hAnsi="Times New Roman" w:cs="Times New Roman"/>
          <w:color w:val="000000"/>
          <w:sz w:val="20"/>
          <w:szCs w:val="20"/>
          <w:lang w:eastAsia="uk-UA" w:bidi="uk-UA"/>
        </w:rPr>
        <w:t xml:space="preserve">Закон України «Про внесення змін до деяких законодавчих актів України щодо використання печаток юридичними особами та фізичними особами – підприємцями» та пункт 2 Плану дій щодо підвищення позиції України в рейтингу Світового банку </w:t>
      </w:r>
      <w:r w:rsidR="006A55B1">
        <w:rPr>
          <w:rFonts w:ascii="Times New Roman" w:hAnsi="Times New Roman" w:cs="Times New Roman"/>
          <w:color w:val="000000"/>
          <w:sz w:val="20"/>
          <w:szCs w:val="20"/>
          <w:lang w:eastAsia="uk-UA" w:bidi="uk-UA"/>
        </w:rPr>
        <w:t>«</w:t>
      </w:r>
      <w:r w:rsidR="003954C6" w:rsidRPr="003954C6">
        <w:rPr>
          <w:rFonts w:ascii="Times New Roman" w:hAnsi="Times New Roman" w:cs="Times New Roman"/>
          <w:color w:val="000000"/>
          <w:sz w:val="20"/>
          <w:szCs w:val="20"/>
          <w:lang w:eastAsia="uk-UA" w:bidi="uk-UA"/>
        </w:rPr>
        <w:t>Ведення бізнесу</w:t>
      </w:r>
      <w:r w:rsidR="006A55B1">
        <w:rPr>
          <w:rFonts w:ascii="Times New Roman" w:hAnsi="Times New Roman" w:cs="Times New Roman"/>
          <w:color w:val="000000"/>
          <w:sz w:val="20"/>
          <w:szCs w:val="20"/>
          <w:lang w:eastAsia="uk-UA" w:bidi="uk-UA"/>
        </w:rPr>
        <w:t>»</w:t>
      </w:r>
      <w:r w:rsidR="003954C6" w:rsidRPr="003954C6">
        <w:rPr>
          <w:rFonts w:ascii="Times New Roman" w:hAnsi="Times New Roman" w:cs="Times New Roman"/>
          <w:color w:val="000000"/>
          <w:sz w:val="20"/>
          <w:szCs w:val="20"/>
          <w:lang w:eastAsia="uk-UA" w:bidi="uk-UA"/>
        </w:rPr>
        <w:t xml:space="preserve"> (</w:t>
      </w:r>
      <w:r w:rsidR="006A55B1">
        <w:rPr>
          <w:rFonts w:ascii="Times New Roman" w:hAnsi="Times New Roman" w:cs="Times New Roman"/>
          <w:color w:val="000000"/>
          <w:sz w:val="20"/>
          <w:szCs w:val="20"/>
          <w:lang w:eastAsia="uk-UA" w:bidi="uk-UA"/>
        </w:rPr>
        <w:t>«</w:t>
      </w:r>
      <w:proofErr w:type="spellStart"/>
      <w:r w:rsidR="003954C6" w:rsidRPr="003954C6">
        <w:rPr>
          <w:rFonts w:ascii="Times New Roman" w:hAnsi="Times New Roman" w:cs="Times New Roman"/>
          <w:color w:val="000000"/>
          <w:sz w:val="20"/>
          <w:szCs w:val="20"/>
          <w:lang w:eastAsia="uk-UA" w:bidi="uk-UA"/>
        </w:rPr>
        <w:t>Doing</w:t>
      </w:r>
      <w:proofErr w:type="spellEnd"/>
      <w:r w:rsidR="003954C6" w:rsidRPr="003954C6">
        <w:rPr>
          <w:rFonts w:ascii="Times New Roman" w:hAnsi="Times New Roman" w:cs="Times New Roman"/>
          <w:color w:val="000000"/>
          <w:sz w:val="20"/>
          <w:szCs w:val="20"/>
          <w:lang w:eastAsia="uk-UA" w:bidi="uk-UA"/>
        </w:rPr>
        <w:t xml:space="preserve"> </w:t>
      </w:r>
      <w:proofErr w:type="spellStart"/>
      <w:r w:rsidR="003954C6" w:rsidRPr="003954C6">
        <w:rPr>
          <w:rFonts w:ascii="Times New Roman" w:hAnsi="Times New Roman" w:cs="Times New Roman"/>
          <w:color w:val="000000"/>
          <w:sz w:val="20"/>
          <w:szCs w:val="20"/>
          <w:lang w:eastAsia="uk-UA" w:bidi="uk-UA"/>
        </w:rPr>
        <w:t>Business</w:t>
      </w:r>
      <w:proofErr w:type="spellEnd"/>
      <w:r w:rsidR="006A55B1">
        <w:rPr>
          <w:rFonts w:ascii="Times New Roman" w:hAnsi="Times New Roman" w:cs="Times New Roman"/>
          <w:color w:val="000000"/>
          <w:sz w:val="20"/>
          <w:szCs w:val="20"/>
          <w:lang w:eastAsia="uk-UA" w:bidi="uk-UA"/>
        </w:rPr>
        <w:t>»</w:t>
      </w:r>
      <w:r w:rsidR="003954C6" w:rsidRPr="003954C6">
        <w:rPr>
          <w:rFonts w:ascii="Times New Roman" w:hAnsi="Times New Roman" w:cs="Times New Roman"/>
          <w:color w:val="000000"/>
          <w:sz w:val="20"/>
          <w:szCs w:val="20"/>
          <w:lang w:eastAsia="uk-UA" w:bidi="uk-UA"/>
        </w:rPr>
        <w:t>), затвердженого розпорядженням Кабінету Міністрів України від 4 грудня 2019 р. № 1413-р</w:t>
      </w:r>
      <w:bookmarkStart w:id="0" w:name="_GoBack"/>
      <w:bookmarkEnd w:id="0"/>
      <w:r w:rsidRPr="003954C6">
        <w:rPr>
          <w:rFonts w:ascii="Times New Roman" w:hAnsi="Times New Roman" w:cs="Times New Roman"/>
          <w:color w:val="000000"/>
          <w:sz w:val="20"/>
          <w:szCs w:val="20"/>
          <w:lang w:eastAsia="uk-UA" w:bidi="uk-UA"/>
        </w:rPr>
        <w:t>.</w:t>
      </w:r>
    </w:p>
    <w:p w:rsidR="00A23F6D" w:rsidRPr="003954C6" w:rsidRDefault="00A23F6D" w:rsidP="00A23F6D">
      <w:pPr>
        <w:pStyle w:val="20"/>
        <w:keepNext/>
        <w:keepLines/>
        <w:spacing w:before="0" w:after="0" w:line="240" w:lineRule="auto"/>
        <w:ind w:left="80"/>
        <w:jc w:val="left"/>
        <w:rPr>
          <w:rFonts w:ascii="Times New Roman" w:hAnsi="Times New Roman" w:cs="Times New Roman"/>
          <w:color w:val="000000"/>
          <w:sz w:val="20"/>
          <w:szCs w:val="20"/>
          <w:lang w:eastAsia="uk-UA" w:bidi="uk-UA"/>
        </w:rPr>
      </w:pPr>
      <w:r w:rsidRPr="003954C6">
        <w:rPr>
          <w:rFonts w:ascii="Times New Roman" w:hAnsi="Times New Roman" w:cs="Times New Roman"/>
          <w:color w:val="000000"/>
          <w:sz w:val="20"/>
          <w:szCs w:val="20"/>
          <w:lang w:eastAsia="uk-UA" w:bidi="uk-UA"/>
        </w:rPr>
        <w:t>2. Вплив на ключові інтереси усіх заінтересованих сторін:</w:t>
      </w:r>
    </w:p>
    <w:tbl>
      <w:tblPr>
        <w:tblOverlap w:val="never"/>
        <w:tblW w:w="1502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3402"/>
        <w:gridCol w:w="3827"/>
        <w:gridCol w:w="5245"/>
      </w:tblGrid>
      <w:tr w:rsidR="00324DC9" w:rsidRPr="00324DC9" w:rsidTr="003954C6">
        <w:trPr>
          <w:trHeight w:hRule="exact" w:val="9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F6D" w:rsidRPr="00324DC9" w:rsidRDefault="00A23F6D" w:rsidP="00A23F6D">
            <w:pPr>
              <w:pStyle w:val="20"/>
              <w:keepNext/>
              <w:keepLines/>
              <w:spacing w:before="0" w:after="0" w:line="240" w:lineRule="auto"/>
              <w:ind w:left="8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Заінтересована сторона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F6D" w:rsidRPr="00324DC9" w:rsidRDefault="00A23F6D" w:rsidP="00A23F6D">
            <w:pPr>
              <w:pStyle w:val="20"/>
              <w:keepNext/>
              <w:keepLines/>
              <w:spacing w:before="0" w:after="0" w:line="240" w:lineRule="auto"/>
              <w:ind w:left="8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Ключовий</w:t>
            </w:r>
          </w:p>
          <w:p w:rsidR="00A23F6D" w:rsidRPr="00324DC9" w:rsidRDefault="00A23F6D" w:rsidP="00A23F6D">
            <w:pPr>
              <w:pStyle w:val="20"/>
              <w:keepNext/>
              <w:keepLines/>
              <w:spacing w:before="0" w:after="0" w:line="240" w:lineRule="auto"/>
              <w:ind w:left="8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інтерес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F6D" w:rsidRPr="00324DC9" w:rsidRDefault="00A23F6D" w:rsidP="00A23F6D">
            <w:pPr>
              <w:pStyle w:val="20"/>
              <w:keepNext/>
              <w:keepLines/>
              <w:spacing w:before="0" w:after="0" w:line="240" w:lineRule="auto"/>
              <w:ind w:left="8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Очікуваний (позитивний чи негативний) вплив на ключовий інтерес із зазначенням передбачуваної динаміки змін основних показників (у числовому або якісному вимірі)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F6D" w:rsidRPr="00324DC9" w:rsidRDefault="00A23F6D" w:rsidP="00A23F6D">
            <w:pPr>
              <w:pStyle w:val="20"/>
              <w:keepNext/>
              <w:keepLines/>
              <w:spacing w:before="0" w:after="0" w:line="240" w:lineRule="auto"/>
              <w:ind w:left="8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uk-UA" w:bidi="uk-UA"/>
              </w:rPr>
            </w:pPr>
          </w:p>
          <w:p w:rsidR="00A23F6D" w:rsidRPr="00324DC9" w:rsidRDefault="00A23F6D" w:rsidP="00A23F6D">
            <w:pPr>
              <w:pStyle w:val="20"/>
              <w:keepNext/>
              <w:keepLines/>
              <w:spacing w:before="0" w:after="0" w:line="240" w:lineRule="auto"/>
              <w:ind w:left="8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uk-UA" w:bidi="uk-UA"/>
              </w:rPr>
            </w:pPr>
          </w:p>
          <w:p w:rsidR="00A23F6D" w:rsidRPr="00324DC9" w:rsidRDefault="00A23F6D" w:rsidP="00A23F6D">
            <w:pPr>
              <w:pStyle w:val="20"/>
              <w:keepNext/>
              <w:keepLines/>
              <w:spacing w:before="0" w:after="0" w:line="240" w:lineRule="auto"/>
              <w:ind w:left="8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uk-UA" w:bidi="uk-UA"/>
              </w:rPr>
            </w:pPr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Пояснення (чому саме </w:t>
            </w:r>
          </w:p>
          <w:p w:rsidR="00A23F6D" w:rsidRPr="00324DC9" w:rsidRDefault="00A23F6D" w:rsidP="00A23F6D">
            <w:pPr>
              <w:pStyle w:val="20"/>
              <w:keepNext/>
              <w:keepLines/>
              <w:spacing w:before="0" w:after="0" w:line="240" w:lineRule="auto"/>
              <w:ind w:left="8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uk-UA" w:bidi="uk-UA"/>
              </w:rPr>
            </w:pPr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реалізація </w:t>
            </w:r>
            <w:proofErr w:type="spellStart"/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акта</w:t>
            </w:r>
            <w:proofErr w:type="spellEnd"/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призведе до </w:t>
            </w:r>
          </w:p>
          <w:p w:rsidR="00A23F6D" w:rsidRPr="00324DC9" w:rsidRDefault="00A23F6D" w:rsidP="00A23F6D">
            <w:pPr>
              <w:pStyle w:val="20"/>
              <w:keepNext/>
              <w:keepLines/>
              <w:spacing w:before="0" w:after="0" w:line="240" w:lineRule="auto"/>
              <w:ind w:left="8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uk-UA" w:bidi="uk-UA"/>
              </w:rPr>
            </w:pPr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очікуваного впливу)</w:t>
            </w:r>
          </w:p>
        </w:tc>
      </w:tr>
      <w:tr w:rsidR="00C54142" w:rsidRPr="00324DC9" w:rsidTr="003954C6">
        <w:trPr>
          <w:trHeight w:hRule="exact" w:val="451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3F6D" w:rsidRPr="00324DC9" w:rsidRDefault="00A23F6D" w:rsidP="00A23F6D">
            <w:pPr>
              <w:pStyle w:val="20"/>
              <w:keepNext/>
              <w:keepLines/>
              <w:spacing w:before="0" w:after="0" w:line="240" w:lineRule="auto"/>
              <w:ind w:left="8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3F6D" w:rsidRPr="00324DC9" w:rsidRDefault="00A23F6D" w:rsidP="00A23F6D">
            <w:pPr>
              <w:pStyle w:val="20"/>
              <w:keepNext/>
              <w:keepLines/>
              <w:spacing w:before="0" w:after="0" w:line="240" w:lineRule="auto"/>
              <w:ind w:left="8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B02" w:rsidRDefault="00A23F6D" w:rsidP="00A23F6D">
            <w:pPr>
              <w:pStyle w:val="20"/>
              <w:keepNext/>
              <w:keepLines/>
              <w:spacing w:before="0" w:after="0" w:line="240" w:lineRule="auto"/>
              <w:ind w:left="8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короткостроковий вплив </w:t>
            </w:r>
          </w:p>
          <w:p w:rsidR="00A23F6D" w:rsidRPr="00324DC9" w:rsidRDefault="00A23F6D" w:rsidP="00A23F6D">
            <w:pPr>
              <w:pStyle w:val="20"/>
              <w:keepNext/>
              <w:keepLines/>
              <w:spacing w:before="0" w:after="0" w:line="240" w:lineRule="auto"/>
              <w:ind w:left="8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(до року)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F6D" w:rsidRPr="00324DC9" w:rsidRDefault="00A23F6D" w:rsidP="00A23F6D">
            <w:pPr>
              <w:pStyle w:val="20"/>
              <w:keepNext/>
              <w:keepLines/>
              <w:spacing w:before="0" w:after="0" w:line="240" w:lineRule="auto"/>
              <w:ind w:left="8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середньостроковий вплив (більше року)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F6D" w:rsidRPr="00324DC9" w:rsidRDefault="00A23F6D" w:rsidP="00A23F6D">
            <w:pPr>
              <w:pStyle w:val="20"/>
              <w:keepNext/>
              <w:keepLines/>
              <w:spacing w:before="0" w:after="0" w:line="240" w:lineRule="auto"/>
              <w:ind w:left="8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C54142" w:rsidRPr="00324DC9" w:rsidTr="003954C6">
        <w:trPr>
          <w:trHeight w:hRule="exact" w:val="32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F6D" w:rsidRPr="00324DC9" w:rsidRDefault="00A23F6D" w:rsidP="00A23F6D">
            <w:pPr>
              <w:pStyle w:val="20"/>
              <w:keepNext/>
              <w:keepLines/>
              <w:spacing w:before="0" w:after="0" w:line="240" w:lineRule="auto"/>
              <w:ind w:left="8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Суб'єкти господарювання, які здійснюють комбіноване виробництво теплової та електричної енергії</w:t>
            </w:r>
          </w:p>
          <w:p w:rsidR="00A23F6D" w:rsidRPr="00324DC9" w:rsidRDefault="00A23F6D" w:rsidP="00A23F6D">
            <w:pPr>
              <w:pStyle w:val="20"/>
              <w:keepNext/>
              <w:keepLines/>
              <w:spacing w:before="0" w:after="0" w:line="240" w:lineRule="auto"/>
              <w:ind w:left="8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(52 підприємства)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F6D" w:rsidRPr="00324DC9" w:rsidRDefault="00A23F6D" w:rsidP="00A23F6D">
            <w:pPr>
              <w:jc w:val="center"/>
              <w:rPr>
                <w:sz w:val="20"/>
                <w:szCs w:val="20"/>
              </w:rPr>
            </w:pPr>
            <w:r w:rsidRPr="00324DC9">
              <w:rPr>
                <w:sz w:val="20"/>
                <w:szCs w:val="20"/>
              </w:rPr>
              <w:t>Забезпечення прав, свобод і законних інтересів юридичних осіб у сфері надання адміністративних послуг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F6D" w:rsidRPr="00324DC9" w:rsidRDefault="00A23F6D" w:rsidP="00A23F6D">
            <w:pPr>
              <w:jc w:val="center"/>
              <w:rPr>
                <w:sz w:val="20"/>
                <w:szCs w:val="20"/>
              </w:rPr>
            </w:pPr>
            <w:r w:rsidRPr="00324DC9">
              <w:rPr>
                <w:sz w:val="20"/>
                <w:szCs w:val="20"/>
              </w:rPr>
              <w:t>Позитивний.</w:t>
            </w:r>
          </w:p>
          <w:p w:rsidR="00A23F6D" w:rsidRPr="00324DC9" w:rsidRDefault="00A23F6D" w:rsidP="00C54142">
            <w:pPr>
              <w:jc w:val="center"/>
              <w:rPr>
                <w:sz w:val="20"/>
                <w:szCs w:val="20"/>
              </w:rPr>
            </w:pPr>
            <w:r w:rsidRPr="00324DC9">
              <w:rPr>
                <w:sz w:val="20"/>
                <w:szCs w:val="20"/>
              </w:rPr>
              <w:t>Прозора система державного регулювання у сфері надання адміністративної послуги з кваліфікації установок, що здійснюють комбіноване виробництво теплової та електричної енергії</w:t>
            </w:r>
            <w:r w:rsidR="00C54142">
              <w:rPr>
                <w:sz w:val="20"/>
                <w:szCs w:val="20"/>
              </w:rPr>
              <w:t xml:space="preserve">; забезпечення можливості надання акцизної пільги на операції з </w:t>
            </w:r>
            <w:r w:rsidR="00C54142" w:rsidRPr="00C54142">
              <w:rPr>
                <w:sz w:val="20"/>
                <w:szCs w:val="20"/>
              </w:rPr>
              <w:t xml:space="preserve">реалізації електричної енергії, виробленої кваліфікованими </w:t>
            </w:r>
            <w:proofErr w:type="spellStart"/>
            <w:r w:rsidR="00C54142" w:rsidRPr="00C54142">
              <w:rPr>
                <w:sz w:val="20"/>
                <w:szCs w:val="20"/>
              </w:rPr>
              <w:t>когенераційними</w:t>
            </w:r>
            <w:proofErr w:type="spellEnd"/>
            <w:r w:rsidR="00C54142" w:rsidRPr="00C54142">
              <w:rPr>
                <w:sz w:val="20"/>
                <w:szCs w:val="20"/>
              </w:rPr>
              <w:t xml:space="preserve"> установками</w:t>
            </w:r>
            <w:r w:rsidR="00C54142">
              <w:rPr>
                <w:sz w:val="20"/>
                <w:szCs w:val="20"/>
              </w:rPr>
              <w:t xml:space="preserve"> (підпункт </w:t>
            </w:r>
            <w:r w:rsidR="00C54142" w:rsidRPr="00C54142">
              <w:rPr>
                <w:sz w:val="20"/>
                <w:szCs w:val="20"/>
              </w:rPr>
              <w:t>213.2.8</w:t>
            </w:r>
            <w:r w:rsidR="00C54142">
              <w:rPr>
                <w:sz w:val="20"/>
                <w:szCs w:val="20"/>
              </w:rPr>
              <w:t xml:space="preserve"> Податкового Кодексу України).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F6D" w:rsidRPr="00324DC9" w:rsidRDefault="00A23F6D" w:rsidP="00A23F6D">
            <w:pPr>
              <w:jc w:val="center"/>
              <w:rPr>
                <w:sz w:val="20"/>
                <w:szCs w:val="20"/>
              </w:rPr>
            </w:pPr>
            <w:r w:rsidRPr="00324DC9">
              <w:rPr>
                <w:sz w:val="20"/>
                <w:szCs w:val="20"/>
              </w:rPr>
              <w:t>Позитивний.</w:t>
            </w:r>
          </w:p>
          <w:p w:rsidR="00A23F6D" w:rsidRPr="00324DC9" w:rsidRDefault="00A23F6D" w:rsidP="00A23F6D">
            <w:pPr>
              <w:jc w:val="center"/>
              <w:rPr>
                <w:sz w:val="20"/>
                <w:szCs w:val="20"/>
              </w:rPr>
            </w:pPr>
            <w:r w:rsidRPr="00324DC9">
              <w:rPr>
                <w:sz w:val="20"/>
                <w:szCs w:val="20"/>
              </w:rPr>
              <w:t>Прозора система державного регулювання у сфері надання адміністративної послуги з кваліфікації установок, що здійснюють комбіноване виробництво теплової та електричної енергії</w:t>
            </w:r>
            <w:r w:rsidR="00C54142">
              <w:rPr>
                <w:sz w:val="20"/>
                <w:szCs w:val="20"/>
              </w:rPr>
              <w:t xml:space="preserve">, </w:t>
            </w:r>
            <w:r w:rsidR="00477815">
              <w:rPr>
                <w:sz w:val="20"/>
                <w:szCs w:val="20"/>
              </w:rPr>
              <w:t xml:space="preserve">забезпечення можливості надання акцизної пільги на операції з </w:t>
            </w:r>
            <w:r w:rsidR="00477815" w:rsidRPr="00C54142">
              <w:rPr>
                <w:sz w:val="20"/>
                <w:szCs w:val="20"/>
              </w:rPr>
              <w:t xml:space="preserve">реалізації електричної енергії, виробленої кваліфікованими </w:t>
            </w:r>
            <w:proofErr w:type="spellStart"/>
            <w:r w:rsidR="00477815" w:rsidRPr="00C54142">
              <w:rPr>
                <w:sz w:val="20"/>
                <w:szCs w:val="20"/>
              </w:rPr>
              <w:t>когенераційними</w:t>
            </w:r>
            <w:proofErr w:type="spellEnd"/>
            <w:r w:rsidR="00477815" w:rsidRPr="00C54142">
              <w:rPr>
                <w:sz w:val="20"/>
                <w:szCs w:val="20"/>
              </w:rPr>
              <w:t xml:space="preserve"> установками</w:t>
            </w:r>
            <w:r w:rsidR="00477815">
              <w:rPr>
                <w:sz w:val="20"/>
                <w:szCs w:val="20"/>
              </w:rPr>
              <w:t xml:space="preserve"> (підпункт </w:t>
            </w:r>
            <w:r w:rsidR="00477815" w:rsidRPr="00C54142">
              <w:rPr>
                <w:sz w:val="20"/>
                <w:szCs w:val="20"/>
              </w:rPr>
              <w:t>213.2.8</w:t>
            </w:r>
            <w:r w:rsidR="00477815">
              <w:rPr>
                <w:sz w:val="20"/>
                <w:szCs w:val="20"/>
              </w:rPr>
              <w:t xml:space="preserve"> Податкового Кодексу України).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708" w:rsidRDefault="003F1708" w:rsidP="003F1708">
            <w:pPr>
              <w:pStyle w:val="20"/>
              <w:keepNext/>
              <w:keepLines/>
              <w:spacing w:before="0" w:after="0" w:line="240" w:lineRule="auto"/>
              <w:ind w:left="57" w:right="13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П</w:t>
            </w:r>
            <w:r w:rsidR="003723ED" w:rsidRPr="003723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риведення нормативно-правових актів Міністерства енергетики та захисту довкілля </w:t>
            </w:r>
            <w:r w:rsidR="00AB53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України </w:t>
            </w:r>
            <w:r w:rsidR="003723ED" w:rsidRPr="003723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у відповідність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чинного </w:t>
            </w:r>
            <w:r w:rsidR="003723ED" w:rsidRPr="003723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законодавства України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,</w:t>
            </w:r>
            <w:r w:rsidR="003723ED" w:rsidRPr="003723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у</w:t>
            </w:r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досконалення підходу до кваліфікації </w:t>
            </w:r>
            <w:proofErr w:type="spellStart"/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когенераційної</w:t>
            </w:r>
            <w:proofErr w:type="spellEnd"/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установки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, а саме</w:t>
            </w:r>
            <w:r w:rsidRPr="003723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</w:t>
            </w:r>
            <w:r w:rsidR="003723ED" w:rsidRPr="003723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відміна практики вимагання проставляння відбитка печатки суб’єктами господарювання, які здійснюють комбіноване виробництво теплової та електричної енергії, на заяві щодо проведення кваліфікації </w:t>
            </w:r>
            <w:proofErr w:type="spellStart"/>
            <w:r w:rsidR="003723ED" w:rsidRPr="003723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когенераційної</w:t>
            </w:r>
            <w:proofErr w:type="spellEnd"/>
            <w:r w:rsidR="003723ED" w:rsidRPr="003723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установки та технічній інформації про </w:t>
            </w:r>
            <w:proofErr w:type="spellStart"/>
            <w:r w:rsidR="003723ED" w:rsidRPr="003723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когенераційні</w:t>
            </w:r>
            <w:proofErr w:type="spellEnd"/>
            <w:r w:rsidR="003723ED" w:rsidRPr="003723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установки, які експлуатуються та які вперше ведені в експлуатацію</w:t>
            </w:r>
            <w:r w:rsidR="003723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. </w:t>
            </w:r>
          </w:p>
          <w:p w:rsidR="003723ED" w:rsidRPr="00324DC9" w:rsidRDefault="00A23F6D" w:rsidP="006469DB">
            <w:pPr>
              <w:pStyle w:val="20"/>
              <w:keepNext/>
              <w:keepLines/>
              <w:spacing w:before="0" w:after="0" w:line="240" w:lineRule="auto"/>
              <w:ind w:left="57" w:right="13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Прийняття проекту забезпечить  юридичну визначеність та </w:t>
            </w:r>
            <w:r w:rsidR="006469DB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зняття зайвого регулювання</w:t>
            </w:r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у питаннях надання адміністративної послуги з кваліфікації </w:t>
            </w:r>
            <w:proofErr w:type="spellStart"/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когенераційної</w:t>
            </w:r>
            <w:proofErr w:type="spellEnd"/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установки відповідно до </w:t>
            </w:r>
            <w:r w:rsidR="003723ED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чинного законодавства України.</w:t>
            </w:r>
          </w:p>
        </w:tc>
      </w:tr>
      <w:tr w:rsidR="00C54142" w:rsidRPr="00324DC9" w:rsidTr="003954C6">
        <w:trPr>
          <w:trHeight w:hRule="exact" w:val="25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F6D" w:rsidRPr="00324DC9" w:rsidRDefault="00A23F6D" w:rsidP="0068148A">
            <w:pPr>
              <w:pStyle w:val="20"/>
              <w:keepNext/>
              <w:keepLines/>
              <w:spacing w:before="0" w:after="0" w:line="240" w:lineRule="auto"/>
              <w:ind w:left="8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Споживачі енергії, яка вироблена </w:t>
            </w:r>
            <w:r w:rsidR="0068148A"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кваліфікованими</w:t>
            </w:r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</w:t>
            </w:r>
            <w:proofErr w:type="spellStart"/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когенераційними</w:t>
            </w:r>
            <w:proofErr w:type="spellEnd"/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установками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F6D" w:rsidRPr="00324DC9" w:rsidRDefault="00AB5335" w:rsidP="00A23F6D">
            <w:pPr>
              <w:pStyle w:val="20"/>
              <w:keepNext/>
              <w:keepLines/>
              <w:spacing w:before="0" w:after="0" w:line="240" w:lineRule="auto"/>
              <w:ind w:left="8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Скорочення витрат на оплату</w:t>
            </w:r>
            <w:r w:rsidR="00A23F6D"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енергії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F6D" w:rsidRPr="00324DC9" w:rsidRDefault="00A23F6D" w:rsidP="00A23F6D">
            <w:pPr>
              <w:pStyle w:val="20"/>
              <w:keepNext/>
              <w:keepLines/>
              <w:spacing w:before="0" w:after="0" w:line="240" w:lineRule="auto"/>
              <w:ind w:left="8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Позитивний. </w:t>
            </w:r>
          </w:p>
          <w:p w:rsidR="00A23F6D" w:rsidRPr="00324DC9" w:rsidRDefault="00A23F6D" w:rsidP="00A23F6D">
            <w:pPr>
              <w:pStyle w:val="20"/>
              <w:keepNext/>
              <w:keepLines/>
              <w:spacing w:before="0" w:after="0" w:line="240" w:lineRule="auto"/>
              <w:ind w:left="8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Зменшення собівартості виробленої енергії, що, в свою чергу, дасть можливість зменшити тариф для споживача такої енергії.</w:t>
            </w:r>
          </w:p>
          <w:p w:rsidR="00A23F6D" w:rsidRPr="00324DC9" w:rsidRDefault="00A23F6D" w:rsidP="00A23F6D">
            <w:pPr>
              <w:pStyle w:val="20"/>
              <w:keepNext/>
              <w:keepLines/>
              <w:spacing w:before="0" w:after="0" w:line="240" w:lineRule="auto"/>
              <w:ind w:left="8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Зменшення обсягу викидів забруднюючих речовин в навколишнє природне середовище через зменшення витрат палива на вироблену одиницю енергії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F6D" w:rsidRPr="00324DC9" w:rsidRDefault="00A23F6D" w:rsidP="00A23F6D">
            <w:pPr>
              <w:pStyle w:val="20"/>
              <w:keepNext/>
              <w:keepLines/>
              <w:spacing w:before="0" w:after="0" w:line="240" w:lineRule="auto"/>
              <w:ind w:left="8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Позитивний. </w:t>
            </w:r>
          </w:p>
          <w:p w:rsidR="00A23F6D" w:rsidRPr="00324DC9" w:rsidRDefault="00A23F6D" w:rsidP="00A23F6D">
            <w:pPr>
              <w:pStyle w:val="20"/>
              <w:keepNext/>
              <w:keepLines/>
              <w:spacing w:before="0" w:after="0" w:line="240" w:lineRule="auto"/>
              <w:ind w:left="8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Зменшення собівартості виробленої енергії, що, в свою чергу, дасть можливість зменшити тариф для споживача такої енергії.</w:t>
            </w:r>
          </w:p>
          <w:p w:rsidR="00A23F6D" w:rsidRPr="00324DC9" w:rsidRDefault="00A23F6D" w:rsidP="00A23F6D">
            <w:pPr>
              <w:pStyle w:val="20"/>
              <w:keepNext/>
              <w:keepLines/>
              <w:spacing w:before="0" w:after="0" w:line="240" w:lineRule="auto"/>
              <w:ind w:left="8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Зменшення обсягу викидів забруднюючих речовин в навколишнє природне середовище через зменшення питомих витрат палива на вироблену одиницю енергії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F6D" w:rsidRPr="00324DC9" w:rsidRDefault="00A23F6D" w:rsidP="00A23F6D">
            <w:pPr>
              <w:pStyle w:val="20"/>
              <w:keepNext/>
              <w:keepLines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Зменшення витрат палива на вироблену одиницю енергії, зменшить собівартість виробленої енергії що, в свою чергу, зменшить тариф для споживача такої енергії</w:t>
            </w:r>
            <w:r w:rsidR="006321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 xml:space="preserve"> та забезпечить скорочення </w:t>
            </w:r>
            <w:r w:rsidR="00632162"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обсягу викидів забруднюючих речовин в навколишнє природне середовище через</w:t>
            </w:r>
            <w:r w:rsidRPr="00324D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 w:bidi="uk-UA"/>
              </w:rPr>
              <w:t>.</w:t>
            </w:r>
          </w:p>
        </w:tc>
      </w:tr>
    </w:tbl>
    <w:p w:rsidR="006D2063" w:rsidRPr="00A23F6D" w:rsidRDefault="0004701B" w:rsidP="00324DC9"/>
    <w:sectPr w:rsidR="006D2063" w:rsidRPr="00A23F6D" w:rsidSect="008A4E0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2D"/>
    <w:rsid w:val="0004701B"/>
    <w:rsid w:val="00224B12"/>
    <w:rsid w:val="002939E1"/>
    <w:rsid w:val="00324DC9"/>
    <w:rsid w:val="003723ED"/>
    <w:rsid w:val="003954C6"/>
    <w:rsid w:val="003C6974"/>
    <w:rsid w:val="003F1708"/>
    <w:rsid w:val="00414BDD"/>
    <w:rsid w:val="00477815"/>
    <w:rsid w:val="00632162"/>
    <w:rsid w:val="00641825"/>
    <w:rsid w:val="006469DB"/>
    <w:rsid w:val="0068148A"/>
    <w:rsid w:val="006A55B1"/>
    <w:rsid w:val="00702B7B"/>
    <w:rsid w:val="0078062D"/>
    <w:rsid w:val="007B2872"/>
    <w:rsid w:val="008744A1"/>
    <w:rsid w:val="008A4E07"/>
    <w:rsid w:val="008D44F1"/>
    <w:rsid w:val="008E643E"/>
    <w:rsid w:val="0098299C"/>
    <w:rsid w:val="009C47D8"/>
    <w:rsid w:val="009E62AB"/>
    <w:rsid w:val="00A23F6D"/>
    <w:rsid w:val="00AB5335"/>
    <w:rsid w:val="00AF23F4"/>
    <w:rsid w:val="00AF46C0"/>
    <w:rsid w:val="00B92B02"/>
    <w:rsid w:val="00C5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A23F6D"/>
    <w:rPr>
      <w:sz w:val="26"/>
      <w:szCs w:val="26"/>
      <w:shd w:val="clear" w:color="auto" w:fill="FFFFFF"/>
    </w:rPr>
  </w:style>
  <w:style w:type="character" w:customStyle="1" w:styleId="2">
    <w:name w:val="Заголовок №2_"/>
    <w:link w:val="20"/>
    <w:rsid w:val="00A23F6D"/>
    <w:rPr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A23F6D"/>
    <w:pPr>
      <w:widowControl w:val="0"/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A23F6D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A23F6D"/>
    <w:rPr>
      <w:sz w:val="26"/>
      <w:szCs w:val="26"/>
      <w:shd w:val="clear" w:color="auto" w:fill="FFFFFF"/>
    </w:rPr>
  </w:style>
  <w:style w:type="character" w:customStyle="1" w:styleId="2">
    <w:name w:val="Заголовок №2_"/>
    <w:link w:val="20"/>
    <w:rsid w:val="00A23F6D"/>
    <w:rPr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A23F6D"/>
    <w:pPr>
      <w:widowControl w:val="0"/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A23F6D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2517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Streltsova</dc:creator>
  <cp:keywords/>
  <dc:description/>
  <cp:lastModifiedBy>Streltsova</cp:lastModifiedBy>
  <cp:revision>27</cp:revision>
  <cp:lastPrinted>2020-05-20T07:23:00Z</cp:lastPrinted>
  <dcterms:created xsi:type="dcterms:W3CDTF">2020-05-18T06:31:00Z</dcterms:created>
  <dcterms:modified xsi:type="dcterms:W3CDTF">2020-05-20T07:46:00Z</dcterms:modified>
</cp:coreProperties>
</file>