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EE" w:rsidRPr="000F28D2" w:rsidRDefault="000B2BEE" w:rsidP="00C32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0B2BEE" w:rsidRPr="000F28D2" w:rsidRDefault="003A0E36" w:rsidP="00C32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0B2BEE" w:rsidRPr="000F28D2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0B2BEE"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постанови Кабінету Міністрів України «</w:t>
      </w:r>
      <w:r w:rsidR="000E55E1" w:rsidRPr="000F28D2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деяких постанов Кабінету Міністрів України</w:t>
      </w:r>
      <w:r w:rsidR="000B2BEE" w:rsidRPr="000F28D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B2BEE" w:rsidRPr="000F28D2" w:rsidRDefault="000B2BEE" w:rsidP="00C3240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BEE" w:rsidRDefault="000B2BEE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І. Визначення проблеми</w:t>
      </w:r>
    </w:p>
    <w:p w:rsidR="00700AA9" w:rsidRPr="000F28D2" w:rsidRDefault="00700AA9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227" w:rsidRPr="000F28D2" w:rsidRDefault="00C7665F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Угода)</w:t>
      </w:r>
      <w:r w:rsidR="00CC019C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та Договір про заснування Енергетичного Співтовариства, до якого Україна приєдналася у лютому 2011 року </w:t>
      </w:r>
      <w:r w:rsidR="00373227" w:rsidRPr="000F28D2">
        <w:rPr>
          <w:rFonts w:ascii="Times New Roman" w:hAnsi="Times New Roman" w:cs="Times New Roman"/>
          <w:sz w:val="28"/>
          <w:szCs w:val="28"/>
          <w:lang w:val="uk-UA"/>
        </w:rPr>
        <w:t>створю</w:t>
      </w:r>
      <w:r w:rsidR="00CC019C" w:rsidRPr="000F28D2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373227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чіткі правові рамки, в межах яких Україна ратифікує відповідні норми законодавства </w:t>
      </w:r>
      <w:r w:rsidR="001A71F4" w:rsidRPr="000F28D2">
        <w:rPr>
          <w:rFonts w:ascii="Times New Roman" w:hAnsi="Times New Roman" w:cs="Times New Roman"/>
          <w:sz w:val="28"/>
          <w:szCs w:val="28"/>
          <w:lang w:val="uk-UA"/>
        </w:rPr>
        <w:t>Європейського Союзу</w:t>
      </w:r>
      <w:r w:rsidR="00373227" w:rsidRPr="000F28D2">
        <w:rPr>
          <w:rFonts w:ascii="Times New Roman" w:hAnsi="Times New Roman" w:cs="Times New Roman"/>
          <w:sz w:val="28"/>
          <w:szCs w:val="28"/>
          <w:lang w:val="uk-UA"/>
        </w:rPr>
        <w:t>, для того щоб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BD6411" w:rsidRPr="000F28D2" w:rsidRDefault="00373227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Одним із зобов’язань України згідно з</w:t>
      </w:r>
      <w:r w:rsidR="00BD716C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Угодою про асоціацію між Україною та Європейським Союзом та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Договором про заснування Енергетичного Співтовариства є </w:t>
      </w:r>
      <w:r w:rsidR="00BD6411" w:rsidRPr="000F28D2">
        <w:rPr>
          <w:rFonts w:ascii="Times New Roman" w:hAnsi="Times New Roman" w:cs="Times New Roman"/>
          <w:sz w:val="28"/>
          <w:szCs w:val="28"/>
          <w:lang w:val="uk-UA"/>
        </w:rPr>
        <w:t>внесення змін до технічних регламентів відповідно до Делегованого регламенту Комісії (ЄС) №</w:t>
      </w:r>
      <w:r w:rsidR="003A27E2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411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518/2014 </w:t>
      </w:r>
      <w:r w:rsidR="003A27E2" w:rsidRPr="000F28D2">
        <w:rPr>
          <w:rFonts w:ascii="Times New Roman" w:hAnsi="Times New Roman" w:cs="Times New Roman"/>
          <w:sz w:val="28"/>
          <w:szCs w:val="28"/>
          <w:lang w:val="uk-UA"/>
        </w:rPr>
        <w:t>від 5 </w:t>
      </w:r>
      <w:r w:rsidR="00BD6411" w:rsidRPr="000F28D2">
        <w:rPr>
          <w:rFonts w:ascii="Times New Roman" w:hAnsi="Times New Roman" w:cs="Times New Roman"/>
          <w:sz w:val="28"/>
          <w:szCs w:val="28"/>
          <w:lang w:val="uk-UA"/>
        </w:rPr>
        <w:t>березня 2014 року про внесення змін до Делегованих регламентів Комісії № 1059/2010, № 1060/2010</w:t>
      </w:r>
      <w:r w:rsidR="00F839A4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, № 1061/2010, № 1062/2010, № </w:t>
      </w:r>
      <w:r w:rsidR="002E265E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626/2011, № 392/2012, № 874/2012, № 665/2013, № 811/2013, № 812/2013 щодо маркування </w:t>
      </w:r>
      <w:proofErr w:type="spellStart"/>
      <w:r w:rsidR="002E265E" w:rsidRPr="000F28D2">
        <w:rPr>
          <w:rFonts w:ascii="Times New Roman" w:hAnsi="Times New Roman" w:cs="Times New Roman"/>
          <w:sz w:val="28"/>
          <w:szCs w:val="28"/>
          <w:lang w:val="uk-UA"/>
        </w:rPr>
        <w:t>енергоспоживчих</w:t>
      </w:r>
      <w:proofErr w:type="spellEnd"/>
      <w:r w:rsidR="002E265E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 в інтернеті та відповідно Делегованого регламенту Комісії (ЄС) №</w:t>
      </w:r>
      <w:r w:rsidR="004B298C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65E" w:rsidRPr="000F28D2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B298C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/254 </w:t>
      </w:r>
      <w:r w:rsidR="002E265E" w:rsidRPr="000F28D2">
        <w:rPr>
          <w:rFonts w:ascii="Times New Roman" w:hAnsi="Times New Roman" w:cs="Times New Roman"/>
          <w:sz w:val="28"/>
          <w:szCs w:val="28"/>
          <w:lang w:val="uk-UA"/>
        </w:rPr>
        <w:t>від 30 листопада 2016</w:t>
      </w:r>
      <w:r w:rsidR="002E59E4" w:rsidRPr="000F28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265E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року про внесення змін до Делегованих регламентів Комісії № 1059/2010, № 1060/2010, № 1061/2010, № 1062/2010, № 626/2011, № 392/2012, №  874/2012, № 665/2013, № 811/2013, № 812/2013 щодо </w:t>
      </w:r>
      <w:r w:rsidR="004B298C" w:rsidRPr="000F28D2">
        <w:rPr>
          <w:rFonts w:ascii="Times New Roman" w:hAnsi="Times New Roman" w:cs="Times New Roman"/>
          <w:sz w:val="28"/>
          <w:szCs w:val="28"/>
          <w:lang w:val="uk-UA"/>
        </w:rPr>
        <w:t>проведення перевірки органами державного ринкового нагляду.</w:t>
      </w:r>
    </w:p>
    <w:p w:rsidR="00CB7C3F" w:rsidRPr="000F28D2" w:rsidRDefault="00D95AB4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виконання Україною зобов’язань, які стосуються впровадження Директиви 2010/30/ЄС Європейського Парламенту і Ради </w:t>
      </w:r>
      <w:r w:rsidR="009304F0" w:rsidRPr="000F28D2"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CB7C3F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и прийняті </w:t>
      </w:r>
      <w:r w:rsidR="002E59E4" w:rsidRPr="000F28D2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="00CB7C3F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технічні регламенти</w:t>
      </w:r>
      <w:r w:rsidR="00F47A1F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(далі – Технічні регламенти)</w:t>
      </w:r>
      <w:r w:rsidR="00CB7C3F" w:rsidRPr="000F28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7C3F" w:rsidRPr="000F28D2" w:rsidRDefault="008B3C64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Технічний регламент</w:t>
      </w:r>
      <w:bookmarkStart w:id="0" w:name="BM4"/>
      <w:bookmarkEnd w:id="0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енергетичного маркування побутових посудомийних машин, затвердженого постановою Кабінету Міністрів України від 17 липня 2015 року № 514</w:t>
      </w:r>
      <w:r w:rsidR="00CB7C3F" w:rsidRPr="000F28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3C64" w:rsidRPr="000F28D2" w:rsidRDefault="008B3C64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Технічний регламент енергетичного маркування побутових електричних холодильників, затвердженого постановою Кабінету Міністрів України від 7 серпня 2013</w:t>
      </w:r>
      <w:r w:rsidR="00F47A1F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№ 702;</w:t>
      </w:r>
    </w:p>
    <w:p w:rsidR="008B3C64" w:rsidRPr="000F28D2" w:rsidRDefault="00F47A1F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Технічний регламент енергетичного маркування побутових пральних машин, затвердженого постановою Кабінету Міністрів України від 7 серпня 2013 року № 702;</w:t>
      </w:r>
    </w:p>
    <w:p w:rsidR="00F47A1F" w:rsidRPr="000F28D2" w:rsidRDefault="00F47A1F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Технічний регламент енергетичного маркування телевізорів затвердженого постановою Кабінету Міністрів України від 24 травня 2017 року № 359;</w:t>
      </w:r>
    </w:p>
    <w:p w:rsidR="00F47A1F" w:rsidRPr="000F28D2" w:rsidRDefault="00F47A1F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регламент енергетичного маркування кондиціонерів повітря затвердженого постановою Кабінету Міністрів України від </w:t>
      </w:r>
      <w:r w:rsidR="00FF63BC">
        <w:rPr>
          <w:rFonts w:ascii="Times New Roman" w:hAnsi="Times New Roman" w:cs="Times New Roman"/>
          <w:sz w:val="28"/>
          <w:szCs w:val="28"/>
          <w:lang w:val="uk-UA"/>
        </w:rPr>
        <w:t>24 травня 2017 року № 360;</w:t>
      </w:r>
    </w:p>
    <w:p w:rsidR="00F47A1F" w:rsidRPr="000F28D2" w:rsidRDefault="00F47A1F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Технічний регламент енергетичного маркування побутових барабанних сушильних машин, затвердженого постановою Кабінету Міністрів України від 31 травня 2017 року № 380;</w:t>
      </w:r>
    </w:p>
    <w:p w:rsidR="00F47A1F" w:rsidRPr="000F28D2" w:rsidRDefault="00F47A1F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Технічний регламент енергетичного маркування електричних ламп та світильників, затвердженого постановою Кабінету Міністрів України від 27 травня 2015 року № 340</w:t>
      </w:r>
      <w:r w:rsidR="009674E4" w:rsidRPr="000F28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6C9" w:rsidRPr="000F28D2" w:rsidRDefault="003D46C9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Разом з тим, за час впровадження/застосування Технічних регламентів виявлено ряд питань</w:t>
      </w:r>
      <w:r w:rsidR="009674E4" w:rsidRPr="000F28D2">
        <w:rPr>
          <w:rFonts w:ascii="Times New Roman" w:hAnsi="Times New Roman" w:cs="Times New Roman"/>
          <w:sz w:val="28"/>
          <w:szCs w:val="28"/>
          <w:lang w:val="uk-UA"/>
        </w:rPr>
        <w:t>, які потребують врегулювання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D1C57" w:rsidRPr="000F28D2" w:rsidRDefault="005D1C57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A15A92" w:rsidRPr="000F28D2">
        <w:rPr>
          <w:rFonts w:ascii="Times New Roman" w:hAnsi="Times New Roman" w:cs="Times New Roman"/>
          <w:sz w:val="28"/>
          <w:szCs w:val="28"/>
          <w:lang w:val="uk-UA"/>
        </w:rPr>
        <w:t>відповідн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5A92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до Делегованого регламенту Комісії (ЄС) № 518/2014 від 5 березня 2014 року пункти 4 та 7 </w:t>
      </w:r>
      <w:r w:rsidR="002E59E4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та доповнити додатком 9 </w:t>
      </w:r>
      <w:r w:rsidR="0075280E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(стосовно інформації, яка надається споживачам, якщо побутовий прилад реалізується для продажу у прокат або лізинг у дистанційний спосіб (через Інтернет) </w:t>
      </w:r>
      <w:r w:rsidR="002E59E4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до Технічного регламенту енергетичного маркування побутових посудомийних машин </w:t>
      </w:r>
      <w:r w:rsidR="0075280E" w:rsidRPr="000F28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E59E4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регламенту енергетичного маркування побутових пральних машин. Також, привести у відповідність до Делегованого регламенту Комісії (ЄС) № 2017/254 від 30 листопада 2016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9E4" w:rsidRPr="000F28D2">
        <w:rPr>
          <w:rFonts w:ascii="Times New Roman" w:hAnsi="Times New Roman" w:cs="Times New Roman"/>
          <w:sz w:val="28"/>
          <w:szCs w:val="28"/>
          <w:lang w:val="uk-UA"/>
        </w:rPr>
        <w:t>року додаток 6</w:t>
      </w:r>
      <w:r w:rsidR="0075280E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до зазначених Технічних регламентів (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вимоги </w:t>
      </w:r>
      <w:r w:rsidR="0075280E" w:rsidRPr="000F28D2">
        <w:rPr>
          <w:rFonts w:ascii="Times New Roman" w:hAnsi="Times New Roman" w:cs="Times New Roman"/>
          <w:sz w:val="28"/>
          <w:szCs w:val="28"/>
          <w:lang w:val="uk-UA"/>
        </w:rPr>
        <w:t>щодо проведення перевірки відповідності фактичних технічних енергетичних характеристик п</w:t>
      </w:r>
      <w:r w:rsidR="00FF63BC">
        <w:rPr>
          <w:rFonts w:ascii="Times New Roman" w:hAnsi="Times New Roman" w:cs="Times New Roman"/>
          <w:sz w:val="28"/>
          <w:szCs w:val="28"/>
          <w:lang w:val="uk-UA"/>
        </w:rPr>
        <w:t xml:space="preserve">обутових посудомийних машин та </w:t>
      </w:r>
      <w:r w:rsidR="0075280E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побутових пральних машин вимогам відповідних Технічних 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регламентів</w:t>
      </w:r>
      <w:r w:rsidR="0075280E" w:rsidRPr="000F28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76B8" w:rsidRPr="000F28D2" w:rsidRDefault="003D46C9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невідповідність посилань вказаних у </w:t>
      </w:r>
      <w:r w:rsidR="0069445A" w:rsidRPr="000F28D2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69445A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445A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енергетичного маркування </w:t>
      </w:r>
      <w:r w:rsidR="005D1C57" w:rsidRPr="000F28D2">
        <w:rPr>
          <w:rFonts w:ascii="Times New Roman" w:hAnsi="Times New Roman" w:cs="Times New Roman"/>
          <w:sz w:val="28"/>
          <w:szCs w:val="28"/>
          <w:lang w:val="uk-UA"/>
        </w:rPr>
        <w:t>побутових електричних холодильників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(зокрема, посилань</w:t>
      </w:r>
      <w:r w:rsidR="00D86796" w:rsidRPr="000F28D2">
        <w:t xml:space="preserve"> 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вказаних у пунктах </w:t>
      </w:r>
      <w:r w:rsidR="005D1C57" w:rsidRPr="000F28D2">
        <w:rPr>
          <w:rFonts w:ascii="Times New Roman" w:hAnsi="Times New Roman" w:cs="Times New Roman"/>
          <w:sz w:val="28"/>
          <w:szCs w:val="28"/>
          <w:lang w:val="uk-UA"/>
        </w:rPr>
        <w:t>5 та 8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регламенту</w:t>
      </w:r>
      <w:r w:rsidR="00302F8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57" w:rsidRPr="000F28D2">
        <w:rPr>
          <w:rFonts w:ascii="Times New Roman" w:hAnsi="Times New Roman" w:cs="Times New Roman"/>
          <w:sz w:val="28"/>
          <w:szCs w:val="28"/>
          <w:lang w:val="uk-UA"/>
        </w:rPr>
        <w:t>та доповнити Технічний регламент</w:t>
      </w:r>
      <w:r w:rsidR="00302F8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C57" w:rsidRPr="000F28D2">
        <w:rPr>
          <w:rFonts w:ascii="Times New Roman" w:hAnsi="Times New Roman" w:cs="Times New Roman"/>
          <w:sz w:val="28"/>
          <w:szCs w:val="28"/>
          <w:lang w:val="uk-UA"/>
        </w:rPr>
        <w:t>додатком 10 стосовно інформації, яка надається споживачам, якщо побутовий прилад реалізується для продажу у прокат або лізинг у дистанційний спосіб (через Інтернет)</w:t>
      </w:r>
      <w:r w:rsidR="00781DE1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, додаток 7 (вимоги щодо проведення перевірки відповідності фактичних технічних енергетичних характеристик побутових електричних холодильників вимогам Технічного регламенту енергетичного маркування побутових електричних холодильників) 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>до Технічного регламенту викласти відповідно до Делегованого регламенту Комісії (ЄС) №  2017/254 від 30 листопада 2016 року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6796" w:rsidRPr="000F28D2" w:rsidRDefault="0069445A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присутня розбіжність</w:t>
      </w:r>
      <w:r w:rsidR="00302F8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додатку 7 до </w:t>
      </w:r>
      <w:r w:rsidR="00302F86" w:rsidRPr="000F28D2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02F8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2F8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>енергетичного маркування телевізорів</w:t>
      </w:r>
      <w:r w:rsidR="00302F8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та Технічно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>го регламенту</w:t>
      </w:r>
      <w:r w:rsidR="00302F86" w:rsidRPr="000F28D2">
        <w:rPr>
          <w:lang w:val="uk-UA"/>
        </w:rPr>
        <w:t xml:space="preserve"> 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енергетичного маркування кондиціонерів повітря 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з Регламент</w:t>
      </w:r>
      <w:r w:rsidR="004476B8" w:rsidRPr="000F28D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Комісії (ЄС)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lastRenderedPageBreak/>
        <w:t>(зокрема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C97" w:rsidRPr="000F28D2">
        <w:rPr>
          <w:rFonts w:ascii="Times New Roman" w:hAnsi="Times New Roman" w:cs="Times New Roman"/>
          <w:sz w:val="28"/>
          <w:szCs w:val="28"/>
          <w:lang w:val="uk-UA"/>
        </w:rPr>
        <w:t>вимоги щодо проведення перевірки відповідності фактичних технічних енергетичних характеристик телевізорів та  кондиціонерів повітря вимогам відповідних Технічних регламентів</w:t>
      </w:r>
      <w:r w:rsidR="00D86796" w:rsidRPr="000F28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6F3E" w:rsidRPr="000F2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075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075" w:rsidRPr="000F28D2" w:rsidRDefault="00000075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Аналогічна розбіжність у додатку 6 до Технічного регламенту енергетичного маркування побутових барабанних сушильних машин (вимоги щодо проведення перевірки відповідності фактичних технічних енергетичних характеристик побутової барабанної сушильної машини вимогам Технічного регламенту енергетичного маркування побуто</w:t>
      </w:r>
      <w:r w:rsidR="0008085D">
        <w:rPr>
          <w:rFonts w:ascii="Times New Roman" w:hAnsi="Times New Roman" w:cs="Times New Roman"/>
          <w:sz w:val="28"/>
          <w:szCs w:val="28"/>
          <w:lang w:val="uk-UA"/>
        </w:rPr>
        <w:t>вих барабанних сушильних машин);</w:t>
      </w:r>
    </w:p>
    <w:p w:rsidR="00000075" w:rsidRPr="000F28D2" w:rsidRDefault="00DC1898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невідповідність посилань вказаних у Технічному регламенті енергетичного маркування електричних ламп та світильників (зокрема, посилань</w:t>
      </w:r>
      <w:r w:rsidRPr="000F28D2">
        <w:t xml:space="preserve"> 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вказаних у пунктах 6 та 12 Технічного регламенту та доповнити Технічний регламент додатком 9 стосовно інформації, яка надається споживачам, якщо побутовий прилад реалізується для продажу у прокат або лізинг у дистанційний спосіб (через Інтернет), додаток 6 (вимоги щодо проведення перевірки відповідності фактичних технічних енергетичних характеристик </w:t>
      </w:r>
      <w:r w:rsidR="00781DE1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електричних ламп та світильників 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вимогам Технічного регламенту енергетичного </w:t>
      </w:r>
      <w:r w:rsidR="00781DE1" w:rsidRPr="000F28D2">
        <w:rPr>
          <w:rFonts w:ascii="Times New Roman" w:hAnsi="Times New Roman" w:cs="Times New Roman"/>
          <w:sz w:val="28"/>
          <w:szCs w:val="28"/>
          <w:lang w:val="uk-UA"/>
        </w:rPr>
        <w:t>маркування електричних ламп та світильників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) до Технічного регламенту викласти відповідно до Делегованого регламенту Комісії (ЄС) №  2017/254 від 30 листопада 2016 року)</w:t>
      </w:r>
      <w:r w:rsidR="00781DE1" w:rsidRPr="000F28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1CF" w:rsidRPr="000F28D2" w:rsidRDefault="00BE71CF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розбіжності </w:t>
      </w:r>
      <w:r w:rsidR="00781DE1" w:rsidRPr="000F28D2">
        <w:rPr>
          <w:rFonts w:ascii="Times New Roman" w:hAnsi="Times New Roman" w:cs="Times New Roman"/>
          <w:sz w:val="28"/>
          <w:szCs w:val="28"/>
          <w:lang w:val="uk-UA"/>
        </w:rPr>
        <w:t>ускладню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ють постачання та розповсюдження на території України </w:t>
      </w:r>
      <w:r w:rsidR="00781DE1" w:rsidRPr="000F28D2"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 w:rsidR="0064649A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proofErr w:type="spellStart"/>
      <w:r w:rsidR="0064649A" w:rsidRPr="000F28D2">
        <w:rPr>
          <w:rFonts w:ascii="Times New Roman" w:hAnsi="Times New Roman" w:cs="Times New Roman"/>
          <w:sz w:val="28"/>
          <w:szCs w:val="28"/>
          <w:lang w:val="uk-UA"/>
        </w:rPr>
        <w:t>енергоспоживчих</w:t>
      </w:r>
      <w:proofErr w:type="spellEnd"/>
      <w:r w:rsidR="0064649A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</w:t>
      </w:r>
      <w:r w:rsidR="0064649A" w:rsidRPr="000F28D2">
        <w:rPr>
          <w:rFonts w:ascii="Times New Roman" w:hAnsi="Times New Roman" w:cs="Times New Roman"/>
          <w:sz w:val="28"/>
          <w:szCs w:val="28"/>
          <w:lang w:val="uk-UA"/>
        </w:rPr>
        <w:t>з тим, що національні нормативн</w:t>
      </w:r>
      <w:r w:rsidR="0088337A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4649A" w:rsidRPr="000F28D2">
        <w:rPr>
          <w:rFonts w:ascii="Times New Roman" w:hAnsi="Times New Roman" w:cs="Times New Roman"/>
          <w:sz w:val="28"/>
          <w:szCs w:val="28"/>
          <w:lang w:val="uk-UA"/>
        </w:rPr>
        <w:t>акти не приведені у відповідність до актів Європейського Союзу.</w:t>
      </w:r>
    </w:p>
    <w:p w:rsidR="003513AD" w:rsidRPr="000F28D2" w:rsidRDefault="003513AD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виникла потреба приведення </w:t>
      </w:r>
      <w:r w:rsidR="007D3A85" w:rsidRPr="000F28D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ехнічних регламентів у відповідність до Регламентів Комісії (ЄС). </w:t>
      </w:r>
    </w:p>
    <w:p w:rsidR="003513AD" w:rsidRPr="000F28D2" w:rsidRDefault="003513AD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FF63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існує нагальна потреба прийняття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3F7" w:rsidRPr="000F28D2" w:rsidRDefault="000753F7" w:rsidP="00EA3D5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D5D" w:rsidRPr="000F28D2" w:rsidRDefault="00EA3D5D" w:rsidP="000753F7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Основні групи, на які проблема справляє вплив: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332"/>
        <w:gridCol w:w="2595"/>
      </w:tblGrid>
      <w:tr w:rsidR="00EA3D5D" w:rsidRPr="000F28D2" w:rsidTr="000753F7">
        <w:trPr>
          <w:trHeight w:val="390"/>
        </w:trPr>
        <w:tc>
          <w:tcPr>
            <w:tcW w:w="4536" w:type="dxa"/>
            <w:tcBorders>
              <w:left w:val="nil"/>
            </w:tcBorders>
            <w:vAlign w:val="center"/>
          </w:tcPr>
          <w:p w:rsidR="00EA3D5D" w:rsidRPr="000F28D2" w:rsidRDefault="00EA3D5D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2332" w:type="dxa"/>
            <w:vAlign w:val="center"/>
          </w:tcPr>
          <w:p w:rsidR="00EA3D5D" w:rsidRPr="000F28D2" w:rsidRDefault="00EA3D5D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595" w:type="dxa"/>
            <w:tcBorders>
              <w:right w:val="nil"/>
            </w:tcBorders>
            <w:vAlign w:val="center"/>
          </w:tcPr>
          <w:p w:rsidR="00EA3D5D" w:rsidRPr="000F28D2" w:rsidRDefault="00EA3D5D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</w:p>
        </w:tc>
      </w:tr>
      <w:tr w:rsidR="00EA3D5D" w:rsidRPr="000F28D2" w:rsidTr="000753F7">
        <w:trPr>
          <w:trHeight w:val="390"/>
        </w:trPr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A3D5D" w:rsidRPr="000F28D2" w:rsidRDefault="00EA3D5D" w:rsidP="00BE71C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2332" w:type="dxa"/>
            <w:tcBorders>
              <w:left w:val="nil"/>
              <w:bottom w:val="nil"/>
              <w:right w:val="nil"/>
            </w:tcBorders>
            <w:vAlign w:val="center"/>
          </w:tcPr>
          <w:p w:rsidR="00EA3D5D" w:rsidRPr="000F28D2" w:rsidRDefault="00EA3D5D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595" w:type="dxa"/>
            <w:tcBorders>
              <w:left w:val="nil"/>
              <w:bottom w:val="nil"/>
              <w:right w:val="nil"/>
            </w:tcBorders>
            <w:vAlign w:val="center"/>
          </w:tcPr>
          <w:p w:rsidR="00EA3D5D" w:rsidRPr="000F28D2" w:rsidRDefault="00ED2F97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EA3D5D" w:rsidRPr="000F28D2" w:rsidTr="000753F7">
        <w:trPr>
          <w:trHeight w:val="3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A3D5D" w:rsidRPr="000F28D2" w:rsidRDefault="00EA3D5D" w:rsidP="00BE71C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D5D" w:rsidRPr="000F28D2" w:rsidRDefault="00EA3D5D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D5D" w:rsidRPr="000F28D2" w:rsidRDefault="00ED2F97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EA3D5D" w:rsidRPr="000F28D2" w:rsidTr="000753F7">
        <w:trPr>
          <w:trHeight w:val="12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A3D5D" w:rsidRPr="000F28D2" w:rsidRDefault="00EA3D5D" w:rsidP="00BE71C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Суб’єкти господарювання, </w:t>
            </w:r>
            <w:r w:rsidRPr="000F28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D5D" w:rsidRPr="000F28D2" w:rsidRDefault="00EA3D5D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D5D" w:rsidRPr="000F28D2" w:rsidRDefault="00ED2F97" w:rsidP="000753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</w:tbl>
    <w:p w:rsidR="00EA3D5D" w:rsidRPr="000F28D2" w:rsidRDefault="00EA3D5D" w:rsidP="00EA3D5D">
      <w:pPr>
        <w:pStyle w:val="a4"/>
        <w:spacing w:after="0" w:line="276" w:lineRule="auto"/>
        <w:ind w:left="0" w:firstLine="567"/>
        <w:jc w:val="both"/>
        <w:rPr>
          <w:sz w:val="28"/>
          <w:szCs w:val="28"/>
        </w:rPr>
      </w:pPr>
      <w:r w:rsidRPr="000F28D2">
        <w:rPr>
          <w:sz w:val="28"/>
          <w:szCs w:val="28"/>
        </w:rPr>
        <w:t>Проблема не може бути розв’язана за допомогою ринкових механізмів, оскільки це не буде відповідати вимогам чинного законодавства України.</w:t>
      </w:r>
    </w:p>
    <w:p w:rsidR="00EA3D5D" w:rsidRPr="000F28D2" w:rsidRDefault="00EA3D5D" w:rsidP="00EA3D5D">
      <w:pPr>
        <w:pStyle w:val="a4"/>
        <w:spacing w:after="0" w:line="276" w:lineRule="auto"/>
        <w:ind w:left="0" w:firstLine="567"/>
        <w:jc w:val="both"/>
        <w:rPr>
          <w:sz w:val="28"/>
          <w:szCs w:val="28"/>
        </w:rPr>
      </w:pPr>
      <w:r w:rsidRPr="000F28D2">
        <w:rPr>
          <w:sz w:val="28"/>
          <w:szCs w:val="28"/>
        </w:rPr>
        <w:t xml:space="preserve">Проблема не може бути розв’язана за допомогою діючих </w:t>
      </w:r>
      <w:r w:rsidR="007D3A85" w:rsidRPr="000F28D2">
        <w:rPr>
          <w:sz w:val="28"/>
          <w:szCs w:val="28"/>
        </w:rPr>
        <w:t>регуляторних актів</w:t>
      </w:r>
      <w:r w:rsidR="002612FD" w:rsidRPr="000F28D2">
        <w:rPr>
          <w:sz w:val="28"/>
          <w:szCs w:val="28"/>
        </w:rPr>
        <w:t xml:space="preserve"> і потребує внесення відповідних змін</w:t>
      </w:r>
      <w:r w:rsidRPr="000F28D2">
        <w:rPr>
          <w:sz w:val="28"/>
          <w:szCs w:val="28"/>
        </w:rPr>
        <w:t>.</w:t>
      </w:r>
    </w:p>
    <w:p w:rsidR="00700AA9" w:rsidRDefault="00EA3D5D" w:rsidP="00700AA9">
      <w:pPr>
        <w:pStyle w:val="a4"/>
        <w:spacing w:after="0" w:line="276" w:lineRule="auto"/>
        <w:ind w:left="0" w:firstLine="567"/>
        <w:jc w:val="both"/>
        <w:rPr>
          <w:sz w:val="28"/>
          <w:szCs w:val="28"/>
        </w:rPr>
      </w:pPr>
      <w:r w:rsidRPr="000F28D2">
        <w:rPr>
          <w:sz w:val="28"/>
          <w:szCs w:val="28"/>
        </w:rPr>
        <w:lastRenderedPageBreak/>
        <w:t>Отже</w:t>
      </w:r>
      <w:r w:rsidR="0088337A" w:rsidRPr="000F28D2">
        <w:rPr>
          <w:sz w:val="28"/>
          <w:szCs w:val="28"/>
        </w:rPr>
        <w:t>,</w:t>
      </w:r>
      <w:r w:rsidRPr="000F28D2">
        <w:rPr>
          <w:sz w:val="28"/>
          <w:szCs w:val="28"/>
        </w:rPr>
        <w:t xml:space="preserve"> </w:t>
      </w:r>
      <w:proofErr w:type="spellStart"/>
      <w:r w:rsidRPr="000F28D2">
        <w:rPr>
          <w:sz w:val="28"/>
          <w:szCs w:val="28"/>
        </w:rPr>
        <w:t>про</w:t>
      </w:r>
      <w:r w:rsidR="00633321" w:rsidRPr="000F28D2">
        <w:rPr>
          <w:sz w:val="28"/>
          <w:szCs w:val="28"/>
        </w:rPr>
        <w:t>є</w:t>
      </w:r>
      <w:r w:rsidRPr="000F28D2">
        <w:rPr>
          <w:sz w:val="28"/>
          <w:szCs w:val="28"/>
        </w:rPr>
        <w:t>кт</w:t>
      </w:r>
      <w:proofErr w:type="spellEnd"/>
      <w:r w:rsidRPr="000F28D2">
        <w:rPr>
          <w:sz w:val="28"/>
          <w:szCs w:val="28"/>
        </w:rPr>
        <w:t xml:space="preserve"> </w:t>
      </w:r>
      <w:proofErr w:type="spellStart"/>
      <w:r w:rsidRPr="000F28D2">
        <w:rPr>
          <w:sz w:val="28"/>
          <w:szCs w:val="28"/>
        </w:rPr>
        <w:t>акта</w:t>
      </w:r>
      <w:proofErr w:type="spellEnd"/>
      <w:r w:rsidRPr="000F28D2">
        <w:rPr>
          <w:sz w:val="28"/>
          <w:szCs w:val="28"/>
        </w:rPr>
        <w:t xml:space="preserve"> розроблено з дотриманням принципів державної регуляторної політики, зокрема принципу доцільності, оскільки він розроблений з метою приведення нормативних актів у відповідність </w:t>
      </w:r>
      <w:r w:rsidR="00495EA2" w:rsidRPr="000F28D2">
        <w:rPr>
          <w:sz w:val="28"/>
          <w:szCs w:val="28"/>
        </w:rPr>
        <w:t>до Р</w:t>
      </w:r>
      <w:r w:rsidRPr="000F28D2">
        <w:rPr>
          <w:sz w:val="28"/>
          <w:szCs w:val="28"/>
        </w:rPr>
        <w:t>егламентів Комісії (ЄС).</w:t>
      </w:r>
    </w:p>
    <w:p w:rsidR="00700AA9" w:rsidRPr="00700AA9" w:rsidRDefault="00700AA9" w:rsidP="00700AA9">
      <w:pPr>
        <w:pStyle w:val="a4"/>
        <w:spacing w:after="0" w:line="276" w:lineRule="auto"/>
        <w:ind w:left="0" w:firstLine="567"/>
        <w:jc w:val="both"/>
        <w:rPr>
          <w:sz w:val="28"/>
          <w:szCs w:val="28"/>
        </w:rPr>
      </w:pPr>
    </w:p>
    <w:p w:rsidR="000B2BEE" w:rsidRDefault="000B2BEE" w:rsidP="00700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ІІ. Цілі державного регулювання</w:t>
      </w:r>
    </w:p>
    <w:p w:rsidR="00700AA9" w:rsidRPr="000F28D2" w:rsidRDefault="00700AA9" w:rsidP="00700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612FD" w:rsidRPr="000F28D2" w:rsidRDefault="002612FD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Цілями державного регулювання є необхідність приведення </w:t>
      </w:r>
      <w:r w:rsidR="00495EA2" w:rsidRPr="000F28D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ехнічних регламентів у відповідність з Регламентами Комісії (ЄС).</w:t>
      </w:r>
    </w:p>
    <w:p w:rsidR="00FE2A53" w:rsidRPr="000F28D2" w:rsidRDefault="002612FD" w:rsidP="00E61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Шляхом державного регулювання пропонується внести зміни до </w:t>
      </w:r>
      <w:r w:rsidR="00495EA2" w:rsidRPr="000F28D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ехнічних регламентів </w:t>
      </w:r>
      <w:r w:rsidR="00285476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E2A53" w:rsidRPr="000F28D2">
        <w:rPr>
          <w:rFonts w:ascii="Times New Roman" w:hAnsi="Times New Roman" w:cs="Times New Roman"/>
          <w:sz w:val="28"/>
          <w:szCs w:val="28"/>
          <w:lang w:val="uk-UA"/>
        </w:rPr>
        <w:t>частині регламентації вимог щодо енергетичного маркування</w:t>
      </w:r>
      <w:r w:rsidR="00886AFF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6AFF" w:rsidRPr="000F28D2">
        <w:rPr>
          <w:rFonts w:ascii="Times New Roman" w:hAnsi="Times New Roman" w:cs="Times New Roman"/>
          <w:sz w:val="28"/>
          <w:szCs w:val="28"/>
          <w:lang w:val="uk-UA"/>
        </w:rPr>
        <w:t>енергоспоживчих</w:t>
      </w:r>
      <w:proofErr w:type="spellEnd"/>
      <w:r w:rsidR="00886AFF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 відповідно </w:t>
      </w:r>
      <w:r w:rsidR="00285476" w:rsidRPr="000F28D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E2A53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ЄС.</w:t>
      </w:r>
    </w:p>
    <w:p w:rsidR="00C00050" w:rsidRPr="000F28D2" w:rsidRDefault="00C00050" w:rsidP="00E611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Наслідком цього, вир</w:t>
      </w:r>
      <w:r w:rsidR="00136080" w:rsidRPr="000F28D2">
        <w:rPr>
          <w:rFonts w:ascii="Times New Roman" w:hAnsi="Times New Roman" w:cs="Times New Roman"/>
          <w:sz w:val="28"/>
          <w:szCs w:val="28"/>
          <w:lang w:val="uk-UA"/>
        </w:rPr>
        <w:t>обники зможуть вводити в обіг посудомийні машини, побутові електричні холодильники, пральні машини, телевізори, кондиціонери повітря, барабанні сушильні машини, електричні лампи та світильники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України. Зазначене призведе до збільшення обсягів реалізації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енергоспоживчої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продукції. Населення отримає більший споживчий вибір </w:t>
      </w:r>
      <w:r w:rsidR="00136080" w:rsidRPr="000F28D2">
        <w:rPr>
          <w:rFonts w:ascii="Times New Roman" w:hAnsi="Times New Roman" w:cs="Times New Roman"/>
          <w:sz w:val="28"/>
          <w:szCs w:val="28"/>
          <w:lang w:val="uk-UA"/>
        </w:rPr>
        <w:t>посудомийних машин, побутових електричних холодильників, пральних машин, телевізорів, кондиціонерів повітря, барабанних сушильних машин, електричних ламп та світильників. Держава – підвищить кількість податків від продажу посудомийних машин, побутових електричних холодильників, пральних машин, телевізорів, кондиціонерів повітря, барабанних сушильних машин, електричних ламп та світильників.</w:t>
      </w:r>
    </w:p>
    <w:p w:rsidR="00285476" w:rsidRPr="000F28D2" w:rsidRDefault="00285476" w:rsidP="00C324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Default="000B2BEE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:rsidR="00700AA9" w:rsidRPr="000F28D2" w:rsidRDefault="00700AA9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F97" w:rsidRPr="000F28D2" w:rsidRDefault="00E6110C" w:rsidP="00E6110C">
      <w:pPr>
        <w:pStyle w:val="a3"/>
        <w:numPr>
          <w:ilvl w:val="0"/>
          <w:numId w:val="1"/>
        </w:numPr>
        <w:ind w:left="567" w:hanging="2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97" w:rsidRPr="000F28D2">
        <w:rPr>
          <w:rFonts w:ascii="Times New Roman" w:hAnsi="Times New Roman" w:cs="Times New Roman"/>
          <w:sz w:val="28"/>
          <w:szCs w:val="28"/>
          <w:lang w:val="uk-UA"/>
        </w:rPr>
        <w:t>Визначення альтернативних способів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7479"/>
      </w:tblGrid>
      <w:tr w:rsidR="00ED2F97" w:rsidRPr="000F28D2" w:rsidTr="000753F7">
        <w:tc>
          <w:tcPr>
            <w:tcW w:w="1985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альтернатив</w:t>
            </w:r>
          </w:p>
        </w:tc>
        <w:tc>
          <w:tcPr>
            <w:tcW w:w="7513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ED2F97" w:rsidRPr="00996031" w:rsidTr="000753F7">
        <w:tc>
          <w:tcPr>
            <w:tcW w:w="1985" w:type="dxa"/>
          </w:tcPr>
          <w:p w:rsidR="00756808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1</w:t>
            </w:r>
            <w:r w:rsidR="00FF2781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756808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Залишення ситуації без змін</w:t>
            </w:r>
          </w:p>
        </w:tc>
        <w:tc>
          <w:tcPr>
            <w:tcW w:w="7513" w:type="dxa"/>
          </w:tcPr>
          <w:p w:rsidR="00B47E8F" w:rsidRPr="00381494" w:rsidRDefault="00B47E8F" w:rsidP="00C00050">
            <w:pPr>
              <w:pStyle w:val="a3"/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залишення ситуації без змін досягнення визначених цілей державного регулювання неможливе.</w:t>
            </w:r>
          </w:p>
          <w:p w:rsidR="00B47E8F" w:rsidRPr="00381494" w:rsidRDefault="00B47E8F" w:rsidP="00C00050">
            <w:pPr>
              <w:pStyle w:val="a3"/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Обрання цього способу не </w:t>
            </w:r>
            <w:r w:rsidR="00BD1C53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дасть </w:t>
            </w:r>
            <w:r w:rsidR="005C55A4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змоги</w:t>
            </w:r>
            <w:r w:rsidR="00BD1C53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виробникам в повній мірі виконувати вимоги </w:t>
            </w:r>
            <w:r w:rsidR="005C55A4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прийнятих </w:t>
            </w:r>
            <w:r w:rsidR="007D3A85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5C55A4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ехнічних регламентів</w:t>
            </w:r>
            <w:r w:rsidR="00BD1C53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D354C" w:rsidRPr="00381494" w:rsidRDefault="008D354C" w:rsidP="00C00050">
            <w:pPr>
              <w:pStyle w:val="a3"/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Зобов’язання щодо приведення у відповідність законодавств</w:t>
            </w:r>
            <w:r w:rsidR="007C17F0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до європейського не будуть виконані, що може призвести до погіршення політичних та економічних відносин з європейським співтовариством.</w:t>
            </w:r>
          </w:p>
          <w:p w:rsidR="008D354C" w:rsidRPr="00381494" w:rsidRDefault="00B47E8F" w:rsidP="00C00050">
            <w:pPr>
              <w:pStyle w:val="a3"/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вищевикладеного можна дійти висновку, що від такої альтернативи необхідно в</w:t>
            </w:r>
            <w:r w:rsidR="007D3A85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ідмовитись виходячи з інтересів</w:t>
            </w: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держави та суб’єктів господарювання.</w:t>
            </w:r>
          </w:p>
        </w:tc>
      </w:tr>
      <w:tr w:rsidR="00ED2F97" w:rsidRPr="000F28D2" w:rsidTr="000753F7">
        <w:tc>
          <w:tcPr>
            <w:tcW w:w="1985" w:type="dxa"/>
          </w:tcPr>
          <w:p w:rsidR="00756808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2</w:t>
            </w:r>
            <w:r w:rsidR="00FF2781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756808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акта</w:t>
            </w:r>
          </w:p>
        </w:tc>
        <w:tc>
          <w:tcPr>
            <w:tcW w:w="7513" w:type="dxa"/>
          </w:tcPr>
          <w:p w:rsidR="00F5072C" w:rsidRPr="00381494" w:rsidRDefault="00F5072C" w:rsidP="00756808">
            <w:pPr>
              <w:pStyle w:val="a3"/>
              <w:ind w:left="0" w:firstLine="4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Забезпечить усунення існуючої проблеми шляхом</w:t>
            </w:r>
            <w:r w:rsidR="00B47E8F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внесення змін щодо </w:t>
            </w:r>
            <w:r w:rsidR="00444048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інформації для </w:t>
            </w:r>
            <w:r w:rsidR="00FB5BDD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44048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поживачів під час продажу </w:t>
            </w:r>
            <w:proofErr w:type="spellStart"/>
            <w:r w:rsidR="00444048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енергоспоживчої</w:t>
            </w:r>
            <w:proofErr w:type="spellEnd"/>
            <w:r w:rsidR="00444048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продукції через інтернет та</w:t>
            </w:r>
            <w:r w:rsidR="00B47E8F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застосування</w:t>
            </w:r>
            <w:r w:rsidR="008D354C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444048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проведення перевірки органами державного ринкового нагляду</w:t>
            </w:r>
            <w:r w:rsidR="007D3A85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7E8F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приведення у відповідність</w:t>
            </w:r>
            <w:r w:rsidR="00BD1C53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окремих вимог по аналогії з вимогами, які наразі застосовуються в Європейському Союзі.</w:t>
            </w:r>
          </w:p>
          <w:p w:rsidR="008D354C" w:rsidRPr="00381494" w:rsidRDefault="009754F8" w:rsidP="008D354C">
            <w:pPr>
              <w:pStyle w:val="a3"/>
              <w:ind w:left="0" w:firstLine="4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D354C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озволить індустрії більш плавно підготуватися до виконання вимог </w:t>
            </w:r>
            <w:r w:rsidR="007D3A85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8D354C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ехнічних регламентів та уникнути можливих непорозумінь та тиску з боку державного ринкового нагляду.</w:t>
            </w:r>
          </w:p>
          <w:p w:rsidR="00ED2F97" w:rsidRPr="00381494" w:rsidRDefault="009754F8" w:rsidP="007D3A85">
            <w:pPr>
              <w:pStyle w:val="a3"/>
              <w:ind w:left="0" w:firstLine="4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Полегшить умови ведення </w:t>
            </w:r>
            <w:r w:rsidR="007D3A85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</w:t>
            </w: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Україні для виробників </w:t>
            </w:r>
            <w:proofErr w:type="spellStart"/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енергоспоживчої</w:t>
            </w:r>
            <w:proofErr w:type="spellEnd"/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продукції на </w:t>
            </w:r>
            <w:r w:rsidR="007D3A85"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поширюються вимоги Т</w:t>
            </w:r>
            <w:r w:rsidRPr="003814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ехнічних регламентів.</w:t>
            </w:r>
          </w:p>
        </w:tc>
      </w:tr>
    </w:tbl>
    <w:p w:rsidR="00447ABE" w:rsidRPr="000F28D2" w:rsidRDefault="00447ABE" w:rsidP="007C17F0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ED2F97" w:rsidRPr="000F28D2" w:rsidRDefault="00ED2F97" w:rsidP="00E6110C">
      <w:pPr>
        <w:pStyle w:val="a3"/>
        <w:numPr>
          <w:ilvl w:val="0"/>
          <w:numId w:val="1"/>
        </w:numPr>
        <w:spacing w:after="120"/>
        <w:ind w:left="567" w:hanging="207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Оцінка вибраних альтернативних способів досягнення цілей</w:t>
      </w:r>
    </w:p>
    <w:p w:rsidR="00ED2F97" w:rsidRPr="000F28D2" w:rsidRDefault="00ED2F97" w:rsidP="00ED2F97">
      <w:pPr>
        <w:pStyle w:val="a3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ED2F97" w:rsidRPr="000F28D2" w:rsidRDefault="00ED2F97" w:rsidP="00ED2F97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i/>
          <w:sz w:val="28"/>
          <w:szCs w:val="28"/>
          <w:lang w:val="uk-UA"/>
        </w:rPr>
        <w:t>Оцінка впливу на сферу інтересів держави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807"/>
        <w:gridCol w:w="3529"/>
      </w:tblGrid>
      <w:tr w:rsidR="00ED2F97" w:rsidRPr="000F28D2" w:rsidTr="00FF2781">
        <w:tc>
          <w:tcPr>
            <w:tcW w:w="2127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807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529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ED2F97" w:rsidRPr="000F28D2" w:rsidTr="00FF2781">
        <w:tc>
          <w:tcPr>
            <w:tcW w:w="2127" w:type="dxa"/>
          </w:tcPr>
          <w:p w:rsidR="00ED2F97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1</w:t>
            </w:r>
            <w:r w:rsidR="00FF2781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</w:t>
            </w:r>
            <w:r w:rsidR="00756808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ення</w:t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ситуаці</w:t>
            </w:r>
            <w:r w:rsidR="00756808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3807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 відсутні</w:t>
            </w:r>
          </w:p>
        </w:tc>
        <w:tc>
          <w:tcPr>
            <w:tcW w:w="3529" w:type="dxa"/>
          </w:tcPr>
          <w:p w:rsidR="00ED2F97" w:rsidRPr="000F28D2" w:rsidRDefault="00B86E45" w:rsidP="00932D4F">
            <w:pPr>
              <w:pStyle w:val="a3"/>
              <w:ind w:left="5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технічних бар’єрів під</w:t>
            </w:r>
            <w:r w:rsidR="00932D4F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введення в обіг та розповсюдження товарів на ринку України.</w:t>
            </w:r>
          </w:p>
        </w:tc>
      </w:tr>
      <w:tr w:rsidR="00ED2F97" w:rsidRPr="000F28D2" w:rsidTr="00FF2781">
        <w:tc>
          <w:tcPr>
            <w:tcW w:w="2127" w:type="dxa"/>
          </w:tcPr>
          <w:p w:rsidR="00ED2F97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2</w:t>
            </w:r>
            <w:r w:rsidR="00FF2781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акта</w:t>
            </w:r>
          </w:p>
        </w:tc>
        <w:tc>
          <w:tcPr>
            <w:tcW w:w="3807" w:type="dxa"/>
          </w:tcPr>
          <w:p w:rsidR="00B86E45" w:rsidRPr="000F28D2" w:rsidRDefault="00B86E45" w:rsidP="00864EC7">
            <w:pPr>
              <w:pStyle w:val="a3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Зобов’язання щодо приведення у відповідність законодавства України до європейського будуть виконані, що призв</w:t>
            </w:r>
            <w:r w:rsidR="00FF3697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покращення політичних та економічних відносин з європейським співтовариством.</w:t>
            </w:r>
          </w:p>
          <w:p w:rsidR="00ED2F97" w:rsidRPr="000F28D2" w:rsidRDefault="00864EC7" w:rsidP="00CD275E">
            <w:pPr>
              <w:pStyle w:val="a3"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Усунення технічних бар’єрів під час </w:t>
            </w:r>
            <w:r w:rsidR="000F2816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введення в обіг та розповсюдження </w:t>
            </w:r>
            <w:r w:rsidR="004040FF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товарів на ринку України.</w:t>
            </w:r>
          </w:p>
        </w:tc>
        <w:tc>
          <w:tcPr>
            <w:tcW w:w="3529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 не передбачається</w:t>
            </w:r>
          </w:p>
        </w:tc>
      </w:tr>
    </w:tbl>
    <w:p w:rsidR="000753F7" w:rsidRPr="000F28D2" w:rsidRDefault="000753F7" w:rsidP="0044404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F97" w:rsidRPr="000F28D2" w:rsidRDefault="00ED2F97" w:rsidP="000753F7">
      <w:pPr>
        <w:spacing w:after="12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i/>
          <w:sz w:val="28"/>
          <w:szCs w:val="28"/>
          <w:lang w:val="uk-UA"/>
        </w:rPr>
        <w:t>Оцінка впливу на сферу інтересів громадян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524"/>
        <w:gridCol w:w="3529"/>
      </w:tblGrid>
      <w:tr w:rsidR="00ED2F97" w:rsidRPr="000F28D2" w:rsidTr="00FF2781">
        <w:tc>
          <w:tcPr>
            <w:tcW w:w="2410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524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529" w:type="dxa"/>
          </w:tcPr>
          <w:p w:rsidR="00ED2F97" w:rsidRPr="000F28D2" w:rsidRDefault="00ED2F97" w:rsidP="00BE71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ED2F97" w:rsidRPr="000F28D2" w:rsidTr="00FF2781">
        <w:tc>
          <w:tcPr>
            <w:tcW w:w="2410" w:type="dxa"/>
          </w:tcPr>
          <w:p w:rsidR="00ED2F97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1</w:t>
            </w:r>
            <w:r w:rsidR="00FF2781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</w:t>
            </w:r>
            <w:r w:rsidR="00864EC7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ення ситуації</w:t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3524" w:type="dxa"/>
          </w:tcPr>
          <w:p w:rsidR="00ED2F97" w:rsidRPr="000F28D2" w:rsidRDefault="00CD275E" w:rsidP="00FF2781">
            <w:pPr>
              <w:pStyle w:val="a3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 відсутні</w:t>
            </w:r>
          </w:p>
        </w:tc>
        <w:tc>
          <w:tcPr>
            <w:tcW w:w="3529" w:type="dxa"/>
          </w:tcPr>
          <w:p w:rsidR="00864EC7" w:rsidRPr="000F28D2" w:rsidRDefault="00CD275E" w:rsidP="00CD27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введення в обіг на ринку України посудомийних машин, побутових електричних холодильників, пральних машин, телевізорів, кондиціонерів повітря, барабанних сушильних машин, електричних ламп та світильників</w:t>
            </w:r>
          </w:p>
        </w:tc>
      </w:tr>
      <w:tr w:rsidR="00ED2F97" w:rsidRPr="000F28D2" w:rsidTr="00FF2781">
        <w:tc>
          <w:tcPr>
            <w:tcW w:w="2410" w:type="dxa"/>
          </w:tcPr>
          <w:p w:rsidR="00ED2F97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2</w:t>
            </w:r>
            <w:r w:rsidR="00FF2781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</w:t>
            </w:r>
            <w:r w:rsidR="009363C4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3524" w:type="dxa"/>
          </w:tcPr>
          <w:p w:rsidR="00ED2F97" w:rsidRPr="000F28D2" w:rsidRDefault="00CD275E" w:rsidP="00CD27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споживчого вибору посудомийних машин, побутових електричних холодильників, пральних 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машин, телевізорів, кондиціонерів повітря, барабанних сушильних машин, електричних ламп та світильників </w:t>
            </w:r>
          </w:p>
        </w:tc>
        <w:tc>
          <w:tcPr>
            <w:tcW w:w="3529" w:type="dxa"/>
          </w:tcPr>
          <w:p w:rsidR="00ED2F97" w:rsidRPr="000F28D2" w:rsidRDefault="00CD275E" w:rsidP="00FF27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Витрат н</w:t>
            </w:r>
            <w:r w:rsidR="00864EC7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передбача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864EC7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</w:t>
            </w:r>
          </w:p>
        </w:tc>
      </w:tr>
    </w:tbl>
    <w:p w:rsidR="00DC51A8" w:rsidRPr="00DC51A8" w:rsidRDefault="00DC51A8" w:rsidP="00DC51A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F97" w:rsidRPr="000F28D2" w:rsidRDefault="00ED2F97" w:rsidP="00ED2F97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Оцінка впливу на сферу інтересів суб’єктів господарювання </w:t>
      </w:r>
    </w:p>
    <w:tbl>
      <w:tblPr>
        <w:tblW w:w="498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25"/>
        <w:gridCol w:w="1116"/>
        <w:gridCol w:w="1077"/>
        <w:gridCol w:w="1019"/>
        <w:gridCol w:w="1118"/>
        <w:gridCol w:w="1094"/>
      </w:tblGrid>
      <w:tr w:rsidR="000753F7" w:rsidRPr="000F28D2" w:rsidTr="000753F7">
        <w:tc>
          <w:tcPr>
            <w:tcW w:w="20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Малі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Мікро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Разом</w:t>
            </w:r>
          </w:p>
        </w:tc>
      </w:tr>
      <w:tr w:rsidR="000753F7" w:rsidRPr="000F28D2" w:rsidTr="000753F7">
        <w:trPr>
          <w:trHeight w:val="855"/>
        </w:trPr>
        <w:tc>
          <w:tcPr>
            <w:tcW w:w="20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97" w:rsidRPr="000F28D2" w:rsidRDefault="00ED2F97" w:rsidP="00BE71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суб’єктів господарювання, що підпадають під дію регулювання, одиниць</w:t>
            </w: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*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6C1BC7" w:rsidP="00BE71CF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color w:val="000000"/>
              </w:rPr>
            </w:pPr>
            <w:r w:rsidRPr="000F28D2">
              <w:t>22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6C1BC7" w:rsidP="00BE71CF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 w:rsidRPr="000F28D2">
              <w:t>2</w:t>
            </w:r>
            <w:r w:rsidR="00E2685A" w:rsidRPr="000F28D2"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6C1BC7" w:rsidP="00BE71CF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 w:rsidRPr="000F28D2">
              <w:t>9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ED2F97" w:rsidP="00BE71CF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 w:rsidRPr="000F28D2"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6C1BC7" w:rsidP="00BE71CF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 w:rsidRPr="000F28D2">
              <w:t>56</w:t>
            </w:r>
          </w:p>
        </w:tc>
      </w:tr>
      <w:tr w:rsidR="000753F7" w:rsidRPr="000F28D2" w:rsidTr="000753F7">
        <w:trPr>
          <w:trHeight w:val="7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97" w:rsidRPr="000F28D2" w:rsidRDefault="00ED2F97" w:rsidP="00BE71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161AEE" w:rsidP="00BE71CF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39,29</w:t>
            </w:r>
            <w:r w:rsidR="00ED2F97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161AEE" w:rsidP="00BE71CF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44,64</w:t>
            </w:r>
            <w:r w:rsidR="00ED2F97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161AEE" w:rsidP="00BE71CF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16,07</w:t>
            </w:r>
            <w:r w:rsidR="00ED2F97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ED2F97" w:rsidP="00BE71CF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97" w:rsidRPr="000F28D2" w:rsidRDefault="00ED2F97" w:rsidP="00BE71CF">
            <w:pPr>
              <w:spacing w:before="150" w:after="15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</w:tbl>
    <w:p w:rsidR="00ED2F97" w:rsidRPr="000F28D2" w:rsidRDefault="00ED2F97" w:rsidP="00ED2F97">
      <w:pPr>
        <w:pStyle w:val="a3"/>
        <w:rPr>
          <w:rFonts w:ascii="Times New Roman" w:hAnsi="Times New Roman" w:cs="Times New Roman"/>
          <w:i/>
          <w:sz w:val="16"/>
          <w:szCs w:val="1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543"/>
        <w:gridCol w:w="3828"/>
      </w:tblGrid>
      <w:tr w:rsidR="00ED2F97" w:rsidRPr="000F28D2" w:rsidTr="00FF2781">
        <w:trPr>
          <w:trHeight w:val="285"/>
        </w:trPr>
        <w:tc>
          <w:tcPr>
            <w:tcW w:w="2127" w:type="dxa"/>
          </w:tcPr>
          <w:p w:rsidR="00ED2F97" w:rsidRPr="000F28D2" w:rsidRDefault="00ED2F97" w:rsidP="00BD32DE">
            <w:pPr>
              <w:spacing w:after="0" w:line="276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543" w:type="dxa"/>
          </w:tcPr>
          <w:p w:rsidR="00ED2F97" w:rsidRPr="000F28D2" w:rsidRDefault="00ED2F97" w:rsidP="00BE7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828" w:type="dxa"/>
          </w:tcPr>
          <w:p w:rsidR="00ED2F97" w:rsidRPr="000F28D2" w:rsidRDefault="00ED2F97" w:rsidP="00BE71CF">
            <w:pPr>
              <w:spacing w:line="276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ED2F97" w:rsidRPr="000F28D2" w:rsidTr="00FF2781">
        <w:trPr>
          <w:trHeight w:val="1087"/>
        </w:trPr>
        <w:tc>
          <w:tcPr>
            <w:tcW w:w="2127" w:type="dxa"/>
          </w:tcPr>
          <w:p w:rsidR="00ED2F97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1</w:t>
            </w:r>
            <w:r w:rsidR="00FF2781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</w:t>
            </w:r>
            <w:r w:rsidR="00E2685A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ення</w:t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ситуаці</w:t>
            </w:r>
            <w:r w:rsidR="00E2685A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3543" w:type="dxa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828" w:type="dxa"/>
          </w:tcPr>
          <w:p w:rsidR="004040FF" w:rsidRPr="000F28D2" w:rsidRDefault="004040FF" w:rsidP="005546EB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Ускладнення умов ведення бізнесу в Україні для виробників </w:t>
            </w:r>
            <w:proofErr w:type="spellStart"/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енергоспоживчої</w:t>
            </w:r>
            <w:proofErr w:type="spellEnd"/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проду</w:t>
            </w:r>
            <w:r w:rsidR="00B86E45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кції на які поширюються вимоги Т</w:t>
            </w: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ехнічних регламенті</w:t>
            </w:r>
            <w:r w:rsidR="00784BD8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4040FF" w:rsidRPr="000F28D2" w:rsidRDefault="004040FF" w:rsidP="005546EB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Створення технічних бар’єрів під</w:t>
            </w:r>
            <w:r w:rsidR="009E1E88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час</w:t>
            </w: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вв</w:t>
            </w:r>
            <w:r w:rsidR="00E53FC3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едення в обіг та розповсюдження</w:t>
            </w:r>
            <w:r w:rsidR="00CD275E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53FC3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посудомийних машин, побутових електричних холодильників, пральних машин, телевізорів, кондиціонерів повітря, барабанних сушильних машин, електричних ламп та світильників</w:t>
            </w:r>
            <w:r w:rsidR="00E53FC3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ринку України.</w:t>
            </w:r>
          </w:p>
          <w:p w:rsidR="00BD32DE" w:rsidRPr="000F28D2" w:rsidRDefault="00E2685A" w:rsidP="00FF3697">
            <w:pPr>
              <w:spacing w:after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Вищезазначене призведе до додаткових витрат.</w:t>
            </w:r>
          </w:p>
        </w:tc>
      </w:tr>
      <w:tr w:rsidR="00ED2F97" w:rsidRPr="000F28D2" w:rsidTr="00FF2781">
        <w:trPr>
          <w:trHeight w:val="375"/>
        </w:trPr>
        <w:tc>
          <w:tcPr>
            <w:tcW w:w="2127" w:type="dxa"/>
          </w:tcPr>
          <w:p w:rsidR="00ED2F97" w:rsidRPr="000F28D2" w:rsidRDefault="00ED2F97" w:rsidP="00FF278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2</w:t>
            </w:r>
            <w:r w:rsidR="00FF2781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</w:t>
            </w:r>
            <w:r w:rsidR="009363C4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3543" w:type="dxa"/>
          </w:tcPr>
          <w:p w:rsidR="004040FF" w:rsidRPr="000F28D2" w:rsidRDefault="004040FF" w:rsidP="004040FF">
            <w:pPr>
              <w:pStyle w:val="a3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Полегшення умов ведення бізнесу в Україні для виробників </w:t>
            </w:r>
            <w:proofErr w:type="spellStart"/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енергоспоживчо</w:t>
            </w:r>
            <w:r w:rsidR="009E1E88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</w:t>
            </w:r>
            <w:r w:rsidR="00B86E45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кції на які поширюються вимоги Т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ехнічних регламентів.</w:t>
            </w:r>
          </w:p>
          <w:p w:rsidR="005546EB" w:rsidRPr="000F28D2" w:rsidRDefault="004040FF" w:rsidP="004040FF">
            <w:pPr>
              <w:pStyle w:val="a3"/>
              <w:spacing w:after="0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Усунення технічних бар’єрів під час введення в обіг та розповсюдження товарів на ринку України.</w:t>
            </w:r>
          </w:p>
          <w:p w:rsidR="004040FF" w:rsidRPr="000F28D2" w:rsidRDefault="00D671AA" w:rsidP="004040FF">
            <w:pPr>
              <w:pStyle w:val="a3"/>
              <w:spacing w:after="0"/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Позитивний вплив на економічну ефективність виробництва.</w:t>
            </w:r>
          </w:p>
        </w:tc>
        <w:tc>
          <w:tcPr>
            <w:tcW w:w="3828" w:type="dxa"/>
            <w:shd w:val="clear" w:color="auto" w:fill="FFFFFF" w:themeFill="background1"/>
          </w:tcPr>
          <w:p w:rsidR="00ED2F97" w:rsidRPr="000F28D2" w:rsidRDefault="004040FF" w:rsidP="00F6190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передбачаються</w:t>
            </w:r>
          </w:p>
        </w:tc>
      </w:tr>
    </w:tbl>
    <w:p w:rsidR="00ED2F97" w:rsidRPr="000F28D2" w:rsidRDefault="00ED2F97" w:rsidP="00ED2F97">
      <w:pPr>
        <w:pStyle w:val="a3"/>
        <w:rPr>
          <w:rFonts w:ascii="Times New Roman" w:hAnsi="Times New Roman" w:cs="Times New Roman"/>
          <w:i/>
          <w:sz w:val="16"/>
          <w:szCs w:val="1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387"/>
      </w:tblGrid>
      <w:tr w:rsidR="00ED2F97" w:rsidRPr="000F28D2" w:rsidTr="000753F7">
        <w:tc>
          <w:tcPr>
            <w:tcW w:w="4111" w:type="dxa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Сумарні витрати за альтернативами</w:t>
            </w:r>
          </w:p>
        </w:tc>
        <w:tc>
          <w:tcPr>
            <w:tcW w:w="5387" w:type="dxa"/>
          </w:tcPr>
          <w:p w:rsidR="00ED2F97" w:rsidRPr="000F28D2" w:rsidRDefault="00ED2F97" w:rsidP="00BE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витрат, гривень</w:t>
            </w:r>
          </w:p>
        </w:tc>
      </w:tr>
      <w:tr w:rsidR="00ED2F97" w:rsidRPr="000F28D2" w:rsidTr="009E1E88">
        <w:tc>
          <w:tcPr>
            <w:tcW w:w="4111" w:type="dxa"/>
            <w:shd w:val="clear" w:color="auto" w:fill="FFFFFF" w:themeFill="background1"/>
          </w:tcPr>
          <w:p w:rsidR="00ED2F97" w:rsidRPr="000F28D2" w:rsidRDefault="00FF2781" w:rsidP="009363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 </w:t>
            </w:r>
            <w:r w:rsidR="00ED2F97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9363C4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Залишення</w:t>
            </w:r>
            <w:r w:rsidR="00ED2F97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ситуаці</w:t>
            </w:r>
            <w:r w:rsidR="009363C4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 w:rsidR="00ED2F97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без змін</w:t>
            </w:r>
          </w:p>
          <w:p w:rsidR="00ED2F97" w:rsidRPr="000F28D2" w:rsidRDefault="009363C4" w:rsidP="00BE71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Сумарні витрати для суб'єктів господарювання великого і середнього підприємництва згідно з додатком 2 до Методики проведення аналізу впливу регуляторного акта (рядок 11 таблиці «Витрати на одного суб’єкта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5387" w:type="dxa"/>
            <w:shd w:val="clear" w:color="auto" w:fill="auto"/>
          </w:tcPr>
          <w:p w:rsidR="00ED2F97" w:rsidRPr="000F28D2" w:rsidRDefault="00ED2F97" w:rsidP="009E1E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витрати, якщо залишити ситуацію без змін:</w:t>
            </w:r>
          </w:p>
          <w:p w:rsidR="004040FF" w:rsidRPr="000F28D2" w:rsidRDefault="009E1E88" w:rsidP="005C55A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технічних бар’єрів під час введення в обіг та розповсюдження товарів на ринку України.</w:t>
            </w:r>
          </w:p>
          <w:p w:rsidR="00ED2F97" w:rsidRPr="000F28D2" w:rsidRDefault="001971BA" w:rsidP="009E1E88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Значне з</w:t>
            </w:r>
            <w:r w:rsidR="004040FF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ниження продаж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363C4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63C4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енергоспоживч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9363C4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продукці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на ринку</w:t>
            </w:r>
            <w:r w:rsidR="009363C4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9E1E88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призведе до негативного впливу на економічну ефективність виробництва.</w:t>
            </w:r>
          </w:p>
        </w:tc>
      </w:tr>
      <w:tr w:rsidR="00ED2F97" w:rsidRPr="000F28D2" w:rsidTr="000753F7">
        <w:tc>
          <w:tcPr>
            <w:tcW w:w="4111" w:type="dxa"/>
            <w:shd w:val="clear" w:color="auto" w:fill="FFFFFF" w:themeFill="background1"/>
          </w:tcPr>
          <w:p w:rsidR="00ED2F97" w:rsidRPr="000F28D2" w:rsidRDefault="00FF2781" w:rsidP="009363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 2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9363C4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акта</w:t>
            </w:r>
          </w:p>
          <w:p w:rsidR="00ED2F97" w:rsidRPr="000F28D2" w:rsidRDefault="009363C4" w:rsidP="00BE71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11 таблиці «Витрати на одного суб'єкта господарювання великого і середнього підприємництва, які виникають внаслідок дії регуляторного акта»)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ED2F97" w:rsidRPr="000F28D2" w:rsidRDefault="004040FF" w:rsidP="00197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</w:t>
            </w:r>
            <w:r w:rsidR="00B47E8F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971BA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</w:t>
            </w:r>
          </w:p>
        </w:tc>
      </w:tr>
    </w:tbl>
    <w:p w:rsidR="00ED2F97" w:rsidRPr="000F28D2" w:rsidRDefault="00ED2F97" w:rsidP="00C32401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Default="000B2BEE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IV. Вибір найбільш оптимального альтернативного способу </w:t>
      </w:r>
      <w:r w:rsidR="000753F7" w:rsidRPr="000F28D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досягнення цілей</w:t>
      </w:r>
    </w:p>
    <w:p w:rsidR="00700AA9" w:rsidRPr="000F28D2" w:rsidRDefault="00700AA9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268"/>
        <w:gridCol w:w="4827"/>
      </w:tblGrid>
      <w:tr w:rsidR="009363C4" w:rsidRPr="000F28D2" w:rsidTr="00FF2781">
        <w:trPr>
          <w:trHeight w:val="300"/>
        </w:trPr>
        <w:tc>
          <w:tcPr>
            <w:tcW w:w="2410" w:type="dxa"/>
          </w:tcPr>
          <w:p w:rsidR="009363C4" w:rsidRPr="000F28D2" w:rsidRDefault="009363C4" w:rsidP="00BE7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</w:tcPr>
          <w:p w:rsidR="009363C4" w:rsidRPr="000F28D2" w:rsidRDefault="009363C4" w:rsidP="00BE7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827" w:type="dxa"/>
          </w:tcPr>
          <w:p w:rsidR="009363C4" w:rsidRPr="000F28D2" w:rsidRDefault="009363C4" w:rsidP="00BE71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Коментарі щодо присвоєння </w:t>
            </w:r>
            <w:r w:rsidR="00BD32DE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 бала</w:t>
            </w:r>
          </w:p>
        </w:tc>
      </w:tr>
      <w:tr w:rsidR="009363C4" w:rsidRPr="000F28D2" w:rsidTr="00FF2781">
        <w:trPr>
          <w:trHeight w:val="671"/>
        </w:trPr>
        <w:tc>
          <w:tcPr>
            <w:tcW w:w="2410" w:type="dxa"/>
          </w:tcPr>
          <w:p w:rsidR="009363C4" w:rsidRPr="000F28D2" w:rsidRDefault="00FF2781" w:rsidP="00FF2781">
            <w:pPr>
              <w:ind w:left="-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Альтернатива 1</w:t>
            </w: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br/>
            </w:r>
            <w:r w:rsidR="009363C4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Залишення ситуації без змін</w:t>
            </w:r>
            <w:r w:rsidR="009363C4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9363C4" w:rsidRPr="000F28D2" w:rsidRDefault="009363C4" w:rsidP="00BE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7" w:type="dxa"/>
          </w:tcPr>
          <w:p w:rsidR="009363C4" w:rsidRPr="000F28D2" w:rsidRDefault="001971BA" w:rsidP="00BE71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прийняття регуляторного акта не можуть бути досягнуті (проблема продовжить існувати).</w:t>
            </w:r>
          </w:p>
        </w:tc>
      </w:tr>
      <w:tr w:rsidR="009363C4" w:rsidRPr="000F28D2" w:rsidTr="00FF2781">
        <w:trPr>
          <w:trHeight w:val="759"/>
        </w:trPr>
        <w:tc>
          <w:tcPr>
            <w:tcW w:w="2410" w:type="dxa"/>
          </w:tcPr>
          <w:p w:rsidR="009363C4" w:rsidRPr="000F28D2" w:rsidRDefault="009363C4" w:rsidP="00FF2781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Альтернатива 2</w:t>
            </w:r>
            <w:r w:rsidR="00FF2781"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акта</w:t>
            </w:r>
          </w:p>
        </w:tc>
        <w:tc>
          <w:tcPr>
            <w:tcW w:w="2268" w:type="dxa"/>
          </w:tcPr>
          <w:p w:rsidR="009363C4" w:rsidRPr="000F28D2" w:rsidRDefault="008254A5" w:rsidP="00BE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7" w:type="dxa"/>
          </w:tcPr>
          <w:p w:rsidR="009363C4" w:rsidRPr="000F28D2" w:rsidRDefault="001971BA" w:rsidP="001D5C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прийняття регуляторного акта можуть бути досягнуті повною мірою (проблема більше існувати не буде).</w:t>
            </w:r>
          </w:p>
        </w:tc>
      </w:tr>
    </w:tbl>
    <w:p w:rsidR="009363C4" w:rsidRPr="000F28D2" w:rsidRDefault="009363C4" w:rsidP="00C32401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2854"/>
        <w:gridCol w:w="2268"/>
        <w:gridCol w:w="2268"/>
      </w:tblGrid>
      <w:tr w:rsidR="00D46C42" w:rsidRPr="000F28D2" w:rsidTr="00FF2781">
        <w:trPr>
          <w:trHeight w:val="1480"/>
        </w:trPr>
        <w:tc>
          <w:tcPr>
            <w:tcW w:w="2108" w:type="dxa"/>
            <w:vAlign w:val="center"/>
          </w:tcPr>
          <w:p w:rsidR="00C03FC1" w:rsidRPr="000F28D2" w:rsidRDefault="00C03FC1" w:rsidP="00BE71CF">
            <w:pPr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2854" w:type="dxa"/>
            <w:vAlign w:val="center"/>
          </w:tcPr>
          <w:p w:rsidR="00C03FC1" w:rsidRPr="000F28D2" w:rsidRDefault="00C03FC1" w:rsidP="00BE71CF">
            <w:pPr>
              <w:ind w:left="12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Вигоди </w:t>
            </w:r>
            <w:r w:rsidR="00BD32DE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(підсумок)</w:t>
            </w:r>
          </w:p>
        </w:tc>
        <w:tc>
          <w:tcPr>
            <w:tcW w:w="2268" w:type="dxa"/>
            <w:vAlign w:val="center"/>
          </w:tcPr>
          <w:p w:rsidR="00C03FC1" w:rsidRPr="000F28D2" w:rsidRDefault="00C03FC1" w:rsidP="00BE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Витрати </w:t>
            </w:r>
            <w:r w:rsidR="00BD32DE"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(підсумок)</w:t>
            </w:r>
          </w:p>
        </w:tc>
        <w:tc>
          <w:tcPr>
            <w:tcW w:w="2268" w:type="dxa"/>
            <w:vAlign w:val="center"/>
          </w:tcPr>
          <w:p w:rsidR="00C03FC1" w:rsidRPr="000F28D2" w:rsidRDefault="00C03FC1" w:rsidP="00BE71CF">
            <w:pPr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D46C42" w:rsidRPr="000F28D2" w:rsidTr="00FF2781">
        <w:trPr>
          <w:trHeight w:val="1959"/>
        </w:trPr>
        <w:tc>
          <w:tcPr>
            <w:tcW w:w="2108" w:type="dxa"/>
          </w:tcPr>
          <w:p w:rsidR="00C03FC1" w:rsidRPr="000F28D2" w:rsidRDefault="00FF2781" w:rsidP="00FF2781">
            <w:pPr>
              <w:ind w:left="-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Альтернатива 1</w:t>
            </w: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br/>
            </w:r>
            <w:r w:rsidR="00112950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Залишення ситуації без змін</w:t>
            </w:r>
          </w:p>
        </w:tc>
        <w:tc>
          <w:tcPr>
            <w:tcW w:w="2854" w:type="dxa"/>
          </w:tcPr>
          <w:p w:rsidR="00C03FC1" w:rsidRPr="000F28D2" w:rsidRDefault="00C03FC1" w:rsidP="00FF3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 відсутні</w:t>
            </w:r>
          </w:p>
          <w:p w:rsidR="00C03FC1" w:rsidRPr="000F28D2" w:rsidRDefault="00C03FC1" w:rsidP="00BE71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03FC1" w:rsidRPr="000F28D2" w:rsidRDefault="00D46C42" w:rsidP="00495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Неузгодженість </w:t>
            </w:r>
            <w:r w:rsidR="00495EA2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</w:t>
            </w:r>
            <w:r w:rsidR="00495EA2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регламентів з Регламентами К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омісії (ЄС).</w:t>
            </w:r>
          </w:p>
        </w:tc>
        <w:tc>
          <w:tcPr>
            <w:tcW w:w="2268" w:type="dxa"/>
          </w:tcPr>
          <w:p w:rsidR="00C03FC1" w:rsidRPr="000F28D2" w:rsidRDefault="00FF2781" w:rsidP="00FF2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 місце альтернативи у рейтингу, так як вигоди не передбачаються.</w:t>
            </w:r>
          </w:p>
        </w:tc>
      </w:tr>
      <w:tr w:rsidR="00D46C42" w:rsidRPr="000F28D2" w:rsidTr="00FF2781">
        <w:trPr>
          <w:trHeight w:val="1622"/>
        </w:trPr>
        <w:tc>
          <w:tcPr>
            <w:tcW w:w="2108" w:type="dxa"/>
          </w:tcPr>
          <w:p w:rsidR="00C03FC1" w:rsidRPr="000F28D2" w:rsidRDefault="00C03FC1" w:rsidP="00FF2781">
            <w:pPr>
              <w:spacing w:after="0"/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Альтернатива 2</w:t>
            </w:r>
            <w:r w:rsidR="00FF2781"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br/>
            </w:r>
            <w:r w:rsidR="00112950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акта</w:t>
            </w:r>
            <w:r w:rsidR="00112950"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54" w:type="dxa"/>
          </w:tcPr>
          <w:p w:rsidR="005546EB" w:rsidRPr="000F28D2" w:rsidRDefault="00F568B9" w:rsidP="005546EB">
            <w:pPr>
              <w:pStyle w:val="a3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Технічних регламентів полегшить</w:t>
            </w:r>
            <w:r w:rsidR="005546EB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546EB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ведення бізнесу в Україні для виробників </w:t>
            </w:r>
            <w:proofErr w:type="spellStart"/>
            <w:r w:rsidR="005546EB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енергоспоживчо</w:t>
            </w:r>
            <w:r w:rsidR="00B47E8F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  <w:r w:rsidR="005546EB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</w:t>
            </w:r>
            <w:r w:rsidR="00495EA2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кції на які поширюються вимоги Т</w:t>
            </w:r>
            <w:r w:rsidR="005546EB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ехнічних регламентів.</w:t>
            </w:r>
          </w:p>
          <w:p w:rsidR="00F568B9" w:rsidRPr="00381494" w:rsidRDefault="005546EB" w:rsidP="00381494">
            <w:pPr>
              <w:pStyle w:val="a3"/>
              <w:spacing w:after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Усунення технічних бар’єрів під час вв</w:t>
            </w:r>
            <w:r w:rsidR="00F568B9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в обіг та розповсюдження посудомийних машин, побутових електричних холодильників, пральних машин, телевізорів, кондиціонерів повітря, барабанних сушильних машин, електричних ламп та світильників</w:t>
            </w:r>
            <w:r w:rsidR="00F568B9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ринку України.</w:t>
            </w:r>
          </w:p>
        </w:tc>
        <w:tc>
          <w:tcPr>
            <w:tcW w:w="2268" w:type="dxa"/>
          </w:tcPr>
          <w:p w:rsidR="00C03FC1" w:rsidRPr="000F28D2" w:rsidRDefault="00D46C42" w:rsidP="00FF2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передбачаються</w:t>
            </w:r>
          </w:p>
        </w:tc>
        <w:tc>
          <w:tcPr>
            <w:tcW w:w="2268" w:type="dxa"/>
          </w:tcPr>
          <w:p w:rsidR="00C03FC1" w:rsidRPr="000F28D2" w:rsidRDefault="00FF3697" w:rsidP="00FF2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FF2781" w:rsidRPr="000F2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місце альтернативи у рейтингу,</w:t>
            </w:r>
            <w:r w:rsidR="00C03FC1"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оскільки дає змогу повністю досягнути поставлених цілей державного регулювання.</w:t>
            </w:r>
          </w:p>
        </w:tc>
      </w:tr>
    </w:tbl>
    <w:p w:rsidR="00C03FC1" w:rsidRPr="000F28D2" w:rsidRDefault="00C03FC1" w:rsidP="00C32401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3"/>
        <w:gridCol w:w="2835"/>
      </w:tblGrid>
      <w:tr w:rsidR="00D46C42" w:rsidRPr="000F28D2" w:rsidTr="005546EB">
        <w:trPr>
          <w:trHeight w:val="1480"/>
        </w:trPr>
        <w:tc>
          <w:tcPr>
            <w:tcW w:w="2410" w:type="dxa"/>
            <w:vAlign w:val="center"/>
          </w:tcPr>
          <w:p w:rsidR="00D46C42" w:rsidRPr="000F28D2" w:rsidRDefault="00D46C42" w:rsidP="00BE71CF">
            <w:pPr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</w:t>
            </w:r>
          </w:p>
        </w:tc>
        <w:tc>
          <w:tcPr>
            <w:tcW w:w="4253" w:type="dxa"/>
            <w:vAlign w:val="center"/>
          </w:tcPr>
          <w:p w:rsidR="00D46C42" w:rsidRPr="000F28D2" w:rsidRDefault="00D46C42" w:rsidP="00BE71CF">
            <w:pPr>
              <w:ind w:left="12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835" w:type="dxa"/>
            <w:vAlign w:val="center"/>
          </w:tcPr>
          <w:p w:rsidR="00D46C42" w:rsidRPr="000F28D2" w:rsidRDefault="00D46C42" w:rsidP="00BE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D46C42" w:rsidRPr="000F28D2" w:rsidTr="005546EB">
        <w:trPr>
          <w:trHeight w:val="1031"/>
        </w:trPr>
        <w:tc>
          <w:tcPr>
            <w:tcW w:w="2410" w:type="dxa"/>
          </w:tcPr>
          <w:p w:rsidR="00D46C42" w:rsidRPr="000F28D2" w:rsidRDefault="00FF2781" w:rsidP="00FF2781">
            <w:pPr>
              <w:ind w:left="-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Альтернатива 1</w:t>
            </w: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br/>
            </w:r>
            <w:r w:rsidR="00112950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Залишення ситуації без змін</w:t>
            </w:r>
          </w:p>
        </w:tc>
        <w:tc>
          <w:tcPr>
            <w:tcW w:w="4253" w:type="dxa"/>
          </w:tcPr>
          <w:p w:rsidR="00D46C42" w:rsidRPr="000F28D2" w:rsidRDefault="00112950" w:rsidP="00BE71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залишення ситуації без змін досягнення зазначених цілей неможливе.</w:t>
            </w:r>
          </w:p>
        </w:tc>
        <w:tc>
          <w:tcPr>
            <w:tcW w:w="2835" w:type="dxa"/>
          </w:tcPr>
          <w:p w:rsidR="00D46C42" w:rsidRPr="000F28D2" w:rsidRDefault="00D46C42" w:rsidP="00112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46C42" w:rsidRPr="000F28D2" w:rsidTr="005546EB">
        <w:trPr>
          <w:trHeight w:val="793"/>
        </w:trPr>
        <w:tc>
          <w:tcPr>
            <w:tcW w:w="2410" w:type="dxa"/>
          </w:tcPr>
          <w:p w:rsidR="00D46C42" w:rsidRPr="000F28D2" w:rsidRDefault="00FF2781" w:rsidP="00FF2781">
            <w:pPr>
              <w:spacing w:after="0"/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Альтернатива 2</w:t>
            </w:r>
            <w:r w:rsidRPr="000F2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br/>
            </w:r>
            <w:r w:rsidR="00D46C42" w:rsidRPr="000F28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Прийняття регуляторного акта</w:t>
            </w:r>
          </w:p>
        </w:tc>
        <w:tc>
          <w:tcPr>
            <w:tcW w:w="4253" w:type="dxa"/>
          </w:tcPr>
          <w:p w:rsidR="00D46C42" w:rsidRPr="000F28D2" w:rsidRDefault="00112950" w:rsidP="00BE71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</w:t>
            </w:r>
            <w:proofErr w:type="spellStart"/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0F2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дозволить досягти зазначених цілей державного регулювання.</w:t>
            </w:r>
          </w:p>
        </w:tc>
        <w:tc>
          <w:tcPr>
            <w:tcW w:w="2835" w:type="dxa"/>
          </w:tcPr>
          <w:p w:rsidR="00D46C42" w:rsidRPr="000F28D2" w:rsidRDefault="00D46C42" w:rsidP="00112950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8D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D46C42" w:rsidRPr="000F28D2" w:rsidRDefault="00D46C42" w:rsidP="00C32401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B2BEE" w:rsidRDefault="000B2BEE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V. Механізми та заходи, які забезпечать розв'язання </w:t>
      </w:r>
      <w:r w:rsidR="00414A8F" w:rsidRPr="000F28D2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визначеної проблеми</w:t>
      </w:r>
    </w:p>
    <w:p w:rsidR="00700AA9" w:rsidRPr="000F28D2" w:rsidRDefault="00700AA9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8B9" w:rsidRPr="000F28D2" w:rsidRDefault="00F568B9" w:rsidP="00DC51A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28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 Механізми дії регуляторного </w:t>
      </w:r>
      <w:proofErr w:type="spellStart"/>
      <w:r w:rsidRPr="000F28D2">
        <w:rPr>
          <w:rFonts w:ascii="Times New Roman" w:eastAsia="Calibri" w:hAnsi="Times New Roman" w:cs="Times New Roman"/>
          <w:sz w:val="28"/>
          <w:szCs w:val="28"/>
          <w:lang w:val="uk-UA"/>
        </w:rPr>
        <w:t>акта</w:t>
      </w:r>
      <w:proofErr w:type="spellEnd"/>
      <w:r w:rsidRPr="000F28D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68B9" w:rsidRPr="000F28D2" w:rsidRDefault="00F568B9" w:rsidP="00DC51A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Внесення змін до Технічних регламентів в частині регламентації вимог щодо енергетичного маркування</w:t>
      </w:r>
      <w:r w:rsidR="0038149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81494">
        <w:rPr>
          <w:rFonts w:ascii="Times New Roman" w:hAnsi="Times New Roman" w:cs="Times New Roman"/>
          <w:sz w:val="28"/>
          <w:szCs w:val="28"/>
          <w:lang w:val="uk-UA"/>
        </w:rPr>
        <w:t>екодизайну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енергоспоживчих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</w:t>
      </w:r>
      <w:r w:rsidR="003814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законодавства ЄС.</w:t>
      </w:r>
    </w:p>
    <w:p w:rsidR="00F568B9" w:rsidRPr="000F28D2" w:rsidRDefault="00F568B9" w:rsidP="00DC51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2. Організаційні заходи, які необхідно здійснити для впровадження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постанови:</w:t>
      </w:r>
    </w:p>
    <w:p w:rsidR="00F568B9" w:rsidRPr="000F28D2" w:rsidRDefault="00F568B9" w:rsidP="00DC51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а) дії суб’єктів господарювання – ознайомлення з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та заходами, які спрямовані на його реалізацію;</w:t>
      </w:r>
    </w:p>
    <w:p w:rsidR="00F568B9" w:rsidRPr="000F28D2" w:rsidRDefault="00F568B9" w:rsidP="00DC51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б) дії органів виконавчої влади – забезпечення інформування громадськості про положення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в засобах масової інформації та на офі</w:t>
      </w:r>
      <w:r w:rsidR="00480E16">
        <w:rPr>
          <w:rFonts w:ascii="Times New Roman" w:hAnsi="Times New Roman" w:cs="Times New Roman"/>
          <w:sz w:val="28"/>
          <w:szCs w:val="28"/>
          <w:lang w:val="uk-UA"/>
        </w:rPr>
        <w:t xml:space="preserve">ційних </w:t>
      </w:r>
      <w:proofErr w:type="spellStart"/>
      <w:r w:rsidR="00480E16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сайтах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Міненерго та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68B9" w:rsidRPr="000F28D2" w:rsidRDefault="00F568B9" w:rsidP="00C32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EE" w:rsidRDefault="000B2BEE" w:rsidP="00700AA9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0F28D2">
        <w:rPr>
          <w:b/>
          <w:sz w:val="28"/>
          <w:szCs w:val="28"/>
        </w:rPr>
        <w:t xml:space="preserve">VI. Оцінка виконання вимог регуляторного акта залежно від </w:t>
      </w:r>
      <w:r w:rsidR="00414A8F" w:rsidRPr="000F28D2">
        <w:rPr>
          <w:b/>
          <w:sz w:val="28"/>
          <w:szCs w:val="28"/>
        </w:rPr>
        <w:br/>
      </w:r>
      <w:r w:rsidRPr="000F28D2">
        <w:rPr>
          <w:b/>
          <w:sz w:val="28"/>
          <w:szCs w:val="28"/>
        </w:rPr>
        <w:t xml:space="preserve">ресурсів, якими розпоряджаються органи виконавчої влади чи </w:t>
      </w:r>
      <w:r w:rsidR="00414A8F" w:rsidRPr="000F28D2">
        <w:rPr>
          <w:b/>
          <w:sz w:val="28"/>
          <w:szCs w:val="28"/>
        </w:rPr>
        <w:br/>
      </w:r>
      <w:r w:rsidRPr="000F28D2">
        <w:rPr>
          <w:b/>
          <w:sz w:val="28"/>
          <w:szCs w:val="28"/>
        </w:rPr>
        <w:t xml:space="preserve">органи місцевого самоврядування, фізичні та юридичні особи, </w:t>
      </w:r>
      <w:r w:rsidR="00414A8F" w:rsidRPr="000F28D2">
        <w:rPr>
          <w:b/>
          <w:sz w:val="28"/>
          <w:szCs w:val="28"/>
        </w:rPr>
        <w:br/>
      </w:r>
      <w:r w:rsidRPr="000F28D2">
        <w:rPr>
          <w:b/>
          <w:sz w:val="28"/>
          <w:szCs w:val="28"/>
        </w:rPr>
        <w:t>які повинні проваджувати або виконувати ці вимоги</w:t>
      </w:r>
    </w:p>
    <w:p w:rsidR="00700AA9" w:rsidRPr="000F28D2" w:rsidRDefault="00700AA9" w:rsidP="00700AA9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0B2BEE" w:rsidRPr="000F28D2" w:rsidRDefault="000B2BEE" w:rsidP="00DC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Витрати на виконання вимог регуляторного акта для органів виконавчої влади, органів місцевого самоврядування не передбачені.</w:t>
      </w:r>
    </w:p>
    <w:p w:rsidR="00B52B7E" w:rsidRPr="000F28D2" w:rsidRDefault="00B52B7E" w:rsidP="00DC51A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Тест малого підприємництва (М-Тест) не проводився, так як нормативно-правовий акт передбачає встановлення технічни</w:t>
      </w:r>
      <w:r w:rsidR="0024012E" w:rsidRPr="000F28D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вимог, які є однаковими для великих, середніх та малих підприємств.</w:t>
      </w:r>
    </w:p>
    <w:p w:rsidR="00C32401" w:rsidRPr="000F28D2" w:rsidRDefault="00C32401" w:rsidP="00C3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EE" w:rsidRDefault="000B2BEE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700AA9" w:rsidRPr="000F28D2" w:rsidRDefault="00700AA9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BEE" w:rsidRPr="000F28D2" w:rsidRDefault="000B2BEE" w:rsidP="00DC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Строк дії регуляторного акта не може бути обмежений у часі, оскільки його прийняття необхідне для дотримання вимог чинного законодавства.</w:t>
      </w:r>
    </w:p>
    <w:p w:rsidR="00C32401" w:rsidRPr="000F28D2" w:rsidRDefault="00C32401" w:rsidP="00C32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AA9" w:rsidRPr="000F28D2" w:rsidRDefault="000B2BEE" w:rsidP="006F19F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820"/>
      </w:tblGrid>
      <w:tr w:rsidR="000B2BEE" w:rsidRPr="000F28D2" w:rsidTr="00414A8F">
        <w:tc>
          <w:tcPr>
            <w:tcW w:w="4786" w:type="dxa"/>
          </w:tcPr>
          <w:p w:rsidR="000B2BEE" w:rsidRPr="000F28D2" w:rsidRDefault="000B2BEE" w:rsidP="00C3240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Рівень поінформованості суб’єктів господарювання та/або фізичних осіб з основних положень акта</w:t>
            </w:r>
          </w:p>
        </w:tc>
        <w:tc>
          <w:tcPr>
            <w:tcW w:w="4820" w:type="dxa"/>
          </w:tcPr>
          <w:p w:rsidR="000B2BEE" w:rsidRPr="000F28D2" w:rsidRDefault="00A41D2A" w:rsidP="00C3240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Високий рівень, оскільк</w:t>
            </w:r>
            <w:r w:rsidR="00F568B9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повідомлення про оприлюднення</w:t>
            </w: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r w:rsidR="00F568B9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End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акта</w:t>
            </w:r>
            <w:proofErr w:type="spellEnd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аналіз регуляторного впливу до </w:t>
            </w:r>
            <w:proofErr w:type="spellStart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акта</w:t>
            </w:r>
            <w:proofErr w:type="spellEnd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розміщено на офіційному с</w:t>
            </w:r>
            <w:r w:rsidR="003814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айті </w:t>
            </w:r>
            <w:proofErr w:type="spellStart"/>
            <w:r w:rsidR="003814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Держенергоефективності</w:t>
            </w:r>
            <w:proofErr w:type="spellEnd"/>
            <w:r w:rsidR="003814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</w:t>
            </w: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буде розм</w:t>
            </w:r>
            <w:r w:rsidR="00FF63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іщено на офіційному сайті Мін</w:t>
            </w: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енерго. Після його прийняття буде оприлюднений також на сайті Кабінету Міністрів України.</w:t>
            </w:r>
          </w:p>
        </w:tc>
      </w:tr>
      <w:tr w:rsidR="000B2BEE" w:rsidRPr="000F28D2" w:rsidTr="00414A8F">
        <w:trPr>
          <w:trHeight w:val="645"/>
        </w:trPr>
        <w:tc>
          <w:tcPr>
            <w:tcW w:w="4786" w:type="dxa"/>
            <w:shd w:val="clear" w:color="auto" w:fill="auto"/>
          </w:tcPr>
          <w:p w:rsidR="000B2BEE" w:rsidRPr="000F28D2" w:rsidRDefault="000B2BEE" w:rsidP="00C3240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Кількість суб’єктів господарювання та/або фізичних осіб, на сферу дії яких поширюватиметься регуляторний акт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B2BEE" w:rsidRPr="000F28D2" w:rsidRDefault="00C6786B" w:rsidP="00FF369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</w:tr>
      <w:tr w:rsidR="000B2BEE" w:rsidRPr="00996031" w:rsidTr="00414A8F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0F28D2" w:rsidRDefault="000B2BEE" w:rsidP="00C3240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Розмір надходжень до державного та місцевих бюджетів і державних цільових</w:t>
            </w:r>
            <w:r w:rsidR="00FD1897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фондів, пов'язаних </w:t>
            </w:r>
            <w:r w:rsidR="00112950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FD1897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дією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EE" w:rsidRPr="000F28D2" w:rsidRDefault="000B2BEE" w:rsidP="00C3240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Надходження до державного та місцевих бюджетів і державних цільових фондів, </w:t>
            </w:r>
            <w:r w:rsidR="00FD1897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пов'язаних з дією акта відсутні</w:t>
            </w:r>
          </w:p>
        </w:tc>
      </w:tr>
      <w:tr w:rsidR="000B2BEE" w:rsidRPr="000F28D2" w:rsidTr="00173FEA">
        <w:trPr>
          <w:trHeight w:val="6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0F28D2" w:rsidRDefault="000B2BEE" w:rsidP="00C3240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Розмір коштів і час, що витрачатимуться суб'єктами господарювання та/або фізичними особами, пов'</w:t>
            </w:r>
            <w:r w:rsidR="00FD1897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язаними з виконанням вимог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EE" w:rsidRPr="000F28D2" w:rsidRDefault="00A9784B" w:rsidP="00173FEA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Кошти</w:t>
            </w:r>
            <w:r w:rsidR="000B2BEE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витрачатимуться суб'єктами господарювання, пов'язаними з виконанням вимог акта</w:t>
            </w:r>
            <w:r w:rsidR="00425EA4"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відсутні</w:t>
            </w:r>
          </w:p>
        </w:tc>
      </w:tr>
      <w:tr w:rsidR="00173FEA" w:rsidRPr="000F28D2" w:rsidTr="00173FEA">
        <w:trPr>
          <w:trHeight w:val="6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EA" w:rsidRPr="000F28D2" w:rsidRDefault="00173FEA" w:rsidP="00201EF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Обсяги виробництва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EA" w:rsidRPr="000F28D2" w:rsidRDefault="00173FEA" w:rsidP="00173FEA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Обсяги виробництва відсутні</w:t>
            </w:r>
          </w:p>
        </w:tc>
      </w:tr>
      <w:tr w:rsidR="00173FEA" w:rsidRPr="000F28D2" w:rsidTr="004C4109">
        <w:trPr>
          <w:trHeight w:val="6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EA" w:rsidRPr="000F28D2" w:rsidRDefault="00173FEA" w:rsidP="00201EF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Обсяги імпорту/експорту продукції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EA" w:rsidRPr="000F28D2" w:rsidRDefault="00173FEA" w:rsidP="00201EF6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Обсяги імпорту/експорту продукції відсутні</w:t>
            </w:r>
          </w:p>
        </w:tc>
      </w:tr>
      <w:tr w:rsidR="00173FEA" w:rsidRPr="000F28D2" w:rsidTr="004C4109">
        <w:trPr>
          <w:trHeight w:val="6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EA" w:rsidRPr="000F28D2" w:rsidRDefault="00173FEA" w:rsidP="00201EF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звернень суб’єктів господарювання, пов’язаних з дією </w:t>
            </w:r>
            <w:proofErr w:type="spellStart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EA" w:rsidRPr="000F28D2" w:rsidRDefault="00173FEA" w:rsidP="00201EF6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звернень суб’єктів господарювання, пов’язаних з дією </w:t>
            </w:r>
            <w:proofErr w:type="spellStart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акта</w:t>
            </w:r>
            <w:proofErr w:type="spellEnd"/>
            <w:r w:rsidRPr="000F28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відсутні</w:t>
            </w:r>
          </w:p>
        </w:tc>
      </w:tr>
    </w:tbl>
    <w:p w:rsidR="00FF3697" w:rsidRDefault="000B2BEE" w:rsidP="00700AA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5 Закону України «Про засади державної регуляторної політики у сфері господарської діяльності» та статті 15 Закону України «Про доступ до публічної інформації» </w:t>
      </w:r>
      <w:proofErr w:type="spellStart"/>
      <w:r w:rsidR="006375EE" w:rsidRPr="000F28D2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693079" w:rsidRPr="000F28D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693079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оприлюднений для громадськог</w:t>
      </w:r>
      <w:r w:rsidR="005B2619">
        <w:rPr>
          <w:rFonts w:ascii="Times New Roman" w:hAnsi="Times New Roman" w:cs="Times New Roman"/>
          <w:sz w:val="28"/>
          <w:szCs w:val="28"/>
          <w:lang w:val="uk-UA"/>
        </w:rPr>
        <w:t xml:space="preserve">о обговорення на офіційному </w:t>
      </w:r>
      <w:proofErr w:type="spellStart"/>
      <w:r w:rsidR="005B2619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8D2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та розісланий на погодження до заінтересованих сторін.</w:t>
      </w:r>
    </w:p>
    <w:p w:rsidR="00700AA9" w:rsidRPr="00700AA9" w:rsidRDefault="00700AA9" w:rsidP="00700AA9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EE" w:rsidRDefault="000B2BEE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700AA9" w:rsidRPr="000F28D2" w:rsidRDefault="00700AA9" w:rsidP="00700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2BEE" w:rsidRPr="000F28D2" w:rsidRDefault="000B2BEE" w:rsidP="00DC51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регуляторного акта здійснюватиметься</w:t>
      </w:r>
      <w:r w:rsidR="00CC4FF4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за статистичним методом</w:t>
      </w:r>
      <w:r w:rsidR="000B508A" w:rsidRPr="000F28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4FF4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шляхом аналізу статистичних даних у строки, встановлені статтею 10 Закону України «Про засади державної регуляторної політики у сфері господарської діяльності»</w:t>
      </w:r>
      <w:r w:rsidR="00FD1897" w:rsidRPr="000F28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4FF4" w:rsidRPr="000F28D2" w:rsidRDefault="000B2BEE" w:rsidP="00DC51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</w:t>
      </w:r>
      <w:r w:rsidR="00CC4FF4"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36B6" w:rsidRPr="000F28D2">
        <w:rPr>
          <w:rFonts w:ascii="Times New Roman" w:hAnsi="Times New Roman" w:cs="Times New Roman"/>
          <w:sz w:val="28"/>
          <w:szCs w:val="28"/>
          <w:lang w:val="uk-UA"/>
        </w:rPr>
        <w:t>через один рік після набрання чинності актом</w:t>
      </w:r>
      <w:r w:rsidR="00CC4FF4" w:rsidRPr="000F28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FF4" w:rsidRPr="000F28D2" w:rsidRDefault="00CC4FF4" w:rsidP="00DC51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повторне відстеження – через </w:t>
      </w:r>
      <w:r w:rsidR="002836B6" w:rsidRPr="000F28D2">
        <w:rPr>
          <w:rFonts w:ascii="Times New Roman" w:hAnsi="Times New Roman" w:cs="Times New Roman"/>
          <w:sz w:val="28"/>
          <w:szCs w:val="28"/>
          <w:lang w:val="uk-UA"/>
        </w:rPr>
        <w:t>два роки</w:t>
      </w:r>
      <w:r w:rsidRPr="000F28D2">
        <w:rPr>
          <w:rFonts w:ascii="Times New Roman" w:hAnsi="Times New Roman" w:cs="Times New Roman"/>
          <w:sz w:val="28"/>
          <w:szCs w:val="28"/>
          <w:lang w:val="uk-UA"/>
        </w:rPr>
        <w:t xml:space="preserve"> після набрання чинності актом;</w:t>
      </w:r>
    </w:p>
    <w:p w:rsidR="000B2BEE" w:rsidRPr="000F28D2" w:rsidRDefault="00CC4FF4" w:rsidP="00DC51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sz w:val="28"/>
          <w:szCs w:val="28"/>
          <w:lang w:val="uk-UA"/>
        </w:rPr>
        <w:t>періодичне відстеження результативності регуляторного акта буде здійснюватися один раз на кожні три роки після закінчення заходів повторного відстеження.</w:t>
      </w:r>
    </w:p>
    <w:p w:rsidR="00FF3697" w:rsidRPr="000F28D2" w:rsidRDefault="00FF3697" w:rsidP="002836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D0F" w:rsidRPr="000F28D2" w:rsidRDefault="00B95D0F" w:rsidP="002836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BEE" w:rsidRPr="000F28D2" w:rsidRDefault="00F050DC" w:rsidP="00C3240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Т.в.о</w:t>
      </w:r>
      <w:proofErr w:type="spellEnd"/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E51EA" w:rsidRPr="000F28D2">
        <w:rPr>
          <w:rFonts w:ascii="Times New Roman" w:hAnsi="Times New Roman" w:cs="Times New Roman"/>
          <w:b/>
          <w:sz w:val="28"/>
          <w:szCs w:val="28"/>
          <w:lang w:val="uk-UA"/>
        </w:rPr>
        <w:t>Голов</w:t>
      </w: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95D0F"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95D0F" w:rsidRPr="000F28D2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="00B95D0F" w:rsidRPr="000F28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95D0F" w:rsidRPr="000F28D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 w:rsidR="00216BB6"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3697"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5D0F" w:rsidRPr="000F28D2">
        <w:rPr>
          <w:rFonts w:ascii="Times New Roman" w:hAnsi="Times New Roman" w:cs="Times New Roman"/>
          <w:b/>
          <w:sz w:val="28"/>
          <w:szCs w:val="28"/>
          <w:lang w:val="uk-UA"/>
        </w:rPr>
        <w:t>Костянтин ГУРА</w:t>
      </w:r>
    </w:p>
    <w:p w:rsidR="00C32401" w:rsidRPr="000F28D2" w:rsidRDefault="00C32401" w:rsidP="00C32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697" w:rsidRPr="00B95D0F" w:rsidRDefault="000B2BEE" w:rsidP="00FF36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F050DC"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____________ 202</w:t>
      </w:r>
      <w:r w:rsidR="009960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F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435" w:rsidRPr="000F28D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F050DC" w:rsidRPr="000F28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1" w:name="_GoBack"/>
      <w:bookmarkEnd w:id="1"/>
    </w:p>
    <w:sectPr w:rsidR="00FF3697" w:rsidRPr="00B95D0F" w:rsidSect="00FF3697">
      <w:headerReference w:type="even" r:id="rId9"/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6A" w:rsidRDefault="004B226A">
      <w:pPr>
        <w:spacing w:after="0" w:line="240" w:lineRule="auto"/>
      </w:pPr>
      <w:r>
        <w:separator/>
      </w:r>
    </w:p>
  </w:endnote>
  <w:endnote w:type="continuationSeparator" w:id="0">
    <w:p w:rsidR="004B226A" w:rsidRDefault="004B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6A" w:rsidRDefault="004B226A">
      <w:pPr>
        <w:spacing w:after="0" w:line="240" w:lineRule="auto"/>
      </w:pPr>
      <w:r>
        <w:separator/>
      </w:r>
    </w:p>
  </w:footnote>
  <w:footnote w:type="continuationSeparator" w:id="0">
    <w:p w:rsidR="004B226A" w:rsidRDefault="004B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CF" w:rsidRDefault="00BE71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71CF" w:rsidRDefault="00BE71CF">
    <w:pPr>
      <w:pStyle w:val="a7"/>
      <w:ind w:right="360"/>
    </w:pPr>
  </w:p>
  <w:p w:rsidR="00BE71CF" w:rsidRDefault="00BE71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429079"/>
      <w:docPartObj>
        <w:docPartGallery w:val="Page Numbers (Top of Page)"/>
        <w:docPartUnique/>
      </w:docPartObj>
    </w:sdtPr>
    <w:sdtEndPr/>
    <w:sdtContent>
      <w:p w:rsidR="00B3658D" w:rsidRDefault="00B365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031" w:rsidRPr="00996031">
          <w:rPr>
            <w:noProof/>
            <w:lang w:val="ru-RU"/>
          </w:rPr>
          <w:t>10</w:t>
        </w:r>
        <w:r>
          <w:fldChar w:fldCharType="end"/>
        </w:r>
      </w:p>
    </w:sdtContent>
  </w:sdt>
  <w:p w:rsidR="00BE71CF" w:rsidRDefault="00BE71CF" w:rsidP="006F5CE9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5FB2"/>
    <w:multiLevelType w:val="hybridMultilevel"/>
    <w:tmpl w:val="D318FC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8247BD"/>
    <w:multiLevelType w:val="hybridMultilevel"/>
    <w:tmpl w:val="746018B4"/>
    <w:lvl w:ilvl="0" w:tplc="ACFA8C08">
      <w:start w:val="8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EE"/>
    <w:rsid w:val="00000075"/>
    <w:rsid w:val="00033AF8"/>
    <w:rsid w:val="00055465"/>
    <w:rsid w:val="00071FB0"/>
    <w:rsid w:val="000753F7"/>
    <w:rsid w:val="0008041A"/>
    <w:rsid w:val="0008085D"/>
    <w:rsid w:val="00085210"/>
    <w:rsid w:val="00090167"/>
    <w:rsid w:val="000A7B8D"/>
    <w:rsid w:val="000B2BEE"/>
    <w:rsid w:val="000B508A"/>
    <w:rsid w:val="000B5FC3"/>
    <w:rsid w:val="000D5F2D"/>
    <w:rsid w:val="000D6C2F"/>
    <w:rsid w:val="000E2D32"/>
    <w:rsid w:val="000E55E1"/>
    <w:rsid w:val="000F2816"/>
    <w:rsid w:val="000F28D2"/>
    <w:rsid w:val="00103960"/>
    <w:rsid w:val="001119E7"/>
    <w:rsid w:val="00112950"/>
    <w:rsid w:val="00117020"/>
    <w:rsid w:val="00124A93"/>
    <w:rsid w:val="00133CC2"/>
    <w:rsid w:val="00136080"/>
    <w:rsid w:val="00136484"/>
    <w:rsid w:val="001559BE"/>
    <w:rsid w:val="00161AEE"/>
    <w:rsid w:val="00173FEA"/>
    <w:rsid w:val="0019685C"/>
    <w:rsid w:val="001971BA"/>
    <w:rsid w:val="001A30FE"/>
    <w:rsid w:val="001A71F4"/>
    <w:rsid w:val="001B21C8"/>
    <w:rsid w:val="001D5CE3"/>
    <w:rsid w:val="001F301C"/>
    <w:rsid w:val="00213787"/>
    <w:rsid w:val="00216BB6"/>
    <w:rsid w:val="002251C8"/>
    <w:rsid w:val="0023322D"/>
    <w:rsid w:val="0024012E"/>
    <w:rsid w:val="0024107E"/>
    <w:rsid w:val="00253A34"/>
    <w:rsid w:val="002612FD"/>
    <w:rsid w:val="00262266"/>
    <w:rsid w:val="00274AB4"/>
    <w:rsid w:val="002836B6"/>
    <w:rsid w:val="00283F2F"/>
    <w:rsid w:val="00285476"/>
    <w:rsid w:val="002E265E"/>
    <w:rsid w:val="002E59E4"/>
    <w:rsid w:val="00302F86"/>
    <w:rsid w:val="00313073"/>
    <w:rsid w:val="003513AD"/>
    <w:rsid w:val="003601AA"/>
    <w:rsid w:val="00373227"/>
    <w:rsid w:val="00381494"/>
    <w:rsid w:val="003A0E36"/>
    <w:rsid w:val="003A27E2"/>
    <w:rsid w:val="003D092A"/>
    <w:rsid w:val="003D46C9"/>
    <w:rsid w:val="003F3BF6"/>
    <w:rsid w:val="004040FF"/>
    <w:rsid w:val="00414A8F"/>
    <w:rsid w:val="004151B6"/>
    <w:rsid w:val="004218B5"/>
    <w:rsid w:val="004245D0"/>
    <w:rsid w:val="00425EA4"/>
    <w:rsid w:val="00427D78"/>
    <w:rsid w:val="00427EA0"/>
    <w:rsid w:val="00444048"/>
    <w:rsid w:val="004476B8"/>
    <w:rsid w:val="00447ABE"/>
    <w:rsid w:val="00457ACF"/>
    <w:rsid w:val="00480E16"/>
    <w:rsid w:val="00495EA2"/>
    <w:rsid w:val="004B226A"/>
    <w:rsid w:val="004B298C"/>
    <w:rsid w:val="00517AA0"/>
    <w:rsid w:val="00517DE2"/>
    <w:rsid w:val="00521AB4"/>
    <w:rsid w:val="005546EB"/>
    <w:rsid w:val="005A6BF8"/>
    <w:rsid w:val="005B2619"/>
    <w:rsid w:val="005C3928"/>
    <w:rsid w:val="005C55A4"/>
    <w:rsid w:val="005D1C57"/>
    <w:rsid w:val="005E1E7C"/>
    <w:rsid w:val="005E3B2A"/>
    <w:rsid w:val="005F6716"/>
    <w:rsid w:val="0061077A"/>
    <w:rsid w:val="00633321"/>
    <w:rsid w:val="006375EE"/>
    <w:rsid w:val="00642501"/>
    <w:rsid w:val="0064649A"/>
    <w:rsid w:val="00663F44"/>
    <w:rsid w:val="00677D56"/>
    <w:rsid w:val="00693079"/>
    <w:rsid w:val="0069445A"/>
    <w:rsid w:val="006955AB"/>
    <w:rsid w:val="006956E9"/>
    <w:rsid w:val="006B3A22"/>
    <w:rsid w:val="006C1BC7"/>
    <w:rsid w:val="006F19FA"/>
    <w:rsid w:val="006F5CE9"/>
    <w:rsid w:val="006F7ADC"/>
    <w:rsid w:val="00700AA9"/>
    <w:rsid w:val="0075280E"/>
    <w:rsid w:val="00756808"/>
    <w:rsid w:val="00770CA7"/>
    <w:rsid w:val="00781DE1"/>
    <w:rsid w:val="00784BD8"/>
    <w:rsid w:val="00791F04"/>
    <w:rsid w:val="007A295E"/>
    <w:rsid w:val="007C17F0"/>
    <w:rsid w:val="007C3C03"/>
    <w:rsid w:val="007C5F33"/>
    <w:rsid w:val="007C76EB"/>
    <w:rsid w:val="007D3A85"/>
    <w:rsid w:val="0081162C"/>
    <w:rsid w:val="008254A5"/>
    <w:rsid w:val="00864EC7"/>
    <w:rsid w:val="00874B89"/>
    <w:rsid w:val="0088337A"/>
    <w:rsid w:val="00886AFF"/>
    <w:rsid w:val="0088721E"/>
    <w:rsid w:val="008B3C64"/>
    <w:rsid w:val="008D354C"/>
    <w:rsid w:val="008D4CEF"/>
    <w:rsid w:val="00917626"/>
    <w:rsid w:val="00923963"/>
    <w:rsid w:val="00927C97"/>
    <w:rsid w:val="009304F0"/>
    <w:rsid w:val="00932D4F"/>
    <w:rsid w:val="009363C4"/>
    <w:rsid w:val="00951216"/>
    <w:rsid w:val="00957AD3"/>
    <w:rsid w:val="00966F3E"/>
    <w:rsid w:val="009674E4"/>
    <w:rsid w:val="009754F8"/>
    <w:rsid w:val="0099113C"/>
    <w:rsid w:val="00996031"/>
    <w:rsid w:val="009E1E88"/>
    <w:rsid w:val="00A15A92"/>
    <w:rsid w:val="00A41D2A"/>
    <w:rsid w:val="00A560E7"/>
    <w:rsid w:val="00A65869"/>
    <w:rsid w:val="00A737F6"/>
    <w:rsid w:val="00A87067"/>
    <w:rsid w:val="00A9784B"/>
    <w:rsid w:val="00AA34E4"/>
    <w:rsid w:val="00AC0A35"/>
    <w:rsid w:val="00AE36B9"/>
    <w:rsid w:val="00AE39C0"/>
    <w:rsid w:val="00AE3B0B"/>
    <w:rsid w:val="00B2178E"/>
    <w:rsid w:val="00B32C44"/>
    <w:rsid w:val="00B3658D"/>
    <w:rsid w:val="00B47E8F"/>
    <w:rsid w:val="00B52B7E"/>
    <w:rsid w:val="00B57B4A"/>
    <w:rsid w:val="00B835A8"/>
    <w:rsid w:val="00B86E45"/>
    <w:rsid w:val="00B95D0F"/>
    <w:rsid w:val="00BA68B7"/>
    <w:rsid w:val="00BB16D2"/>
    <w:rsid w:val="00BD1C53"/>
    <w:rsid w:val="00BD32DE"/>
    <w:rsid w:val="00BD6411"/>
    <w:rsid w:val="00BD716C"/>
    <w:rsid w:val="00BE71CF"/>
    <w:rsid w:val="00BF5F45"/>
    <w:rsid w:val="00BF6418"/>
    <w:rsid w:val="00C00050"/>
    <w:rsid w:val="00C03FC1"/>
    <w:rsid w:val="00C056B3"/>
    <w:rsid w:val="00C20D31"/>
    <w:rsid w:val="00C32401"/>
    <w:rsid w:val="00C6786B"/>
    <w:rsid w:val="00C700B1"/>
    <w:rsid w:val="00C7665F"/>
    <w:rsid w:val="00C833E8"/>
    <w:rsid w:val="00CB6345"/>
    <w:rsid w:val="00CB7C3F"/>
    <w:rsid w:val="00CC019C"/>
    <w:rsid w:val="00CC4FF4"/>
    <w:rsid w:val="00CD275E"/>
    <w:rsid w:val="00CE51EA"/>
    <w:rsid w:val="00CF49B7"/>
    <w:rsid w:val="00CF61F8"/>
    <w:rsid w:val="00D05904"/>
    <w:rsid w:val="00D46C42"/>
    <w:rsid w:val="00D55669"/>
    <w:rsid w:val="00D611B1"/>
    <w:rsid w:val="00D671AA"/>
    <w:rsid w:val="00D86796"/>
    <w:rsid w:val="00D95AB4"/>
    <w:rsid w:val="00DB26F4"/>
    <w:rsid w:val="00DC1898"/>
    <w:rsid w:val="00DC51A8"/>
    <w:rsid w:val="00DC7A3B"/>
    <w:rsid w:val="00DD7EDB"/>
    <w:rsid w:val="00E15E71"/>
    <w:rsid w:val="00E1785E"/>
    <w:rsid w:val="00E2685A"/>
    <w:rsid w:val="00E53FC3"/>
    <w:rsid w:val="00E6110C"/>
    <w:rsid w:val="00E67805"/>
    <w:rsid w:val="00E8621C"/>
    <w:rsid w:val="00E930C0"/>
    <w:rsid w:val="00E94542"/>
    <w:rsid w:val="00EA3D5D"/>
    <w:rsid w:val="00ED2F97"/>
    <w:rsid w:val="00EE0EE0"/>
    <w:rsid w:val="00F050DC"/>
    <w:rsid w:val="00F17435"/>
    <w:rsid w:val="00F3490E"/>
    <w:rsid w:val="00F47A1F"/>
    <w:rsid w:val="00F5072C"/>
    <w:rsid w:val="00F54DF8"/>
    <w:rsid w:val="00F568B9"/>
    <w:rsid w:val="00F6190B"/>
    <w:rsid w:val="00F82771"/>
    <w:rsid w:val="00F839A4"/>
    <w:rsid w:val="00FA59E2"/>
    <w:rsid w:val="00FB5BDD"/>
    <w:rsid w:val="00FD1897"/>
    <w:rsid w:val="00FE2A53"/>
    <w:rsid w:val="00FF2781"/>
    <w:rsid w:val="00FF369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EE"/>
    <w:pPr>
      <w:ind w:left="720"/>
      <w:contextualSpacing/>
    </w:pPr>
  </w:style>
  <w:style w:type="paragraph" w:styleId="a4">
    <w:name w:val="Body Text Indent"/>
    <w:basedOn w:val="a"/>
    <w:link w:val="a5"/>
    <w:rsid w:val="000B2BE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table" w:styleId="a6">
    <w:name w:val="Table Grid"/>
    <w:basedOn w:val="a1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B2BEE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styleId="a9">
    <w:name w:val="page number"/>
    <w:basedOn w:val="a0"/>
    <w:rsid w:val="000B2BEE"/>
    <w:rPr>
      <w:rFonts w:cs="Times New Roman"/>
    </w:rPr>
  </w:style>
  <w:style w:type="paragraph" w:customStyle="1" w:styleId="rvps14">
    <w:name w:val="rvps14"/>
    <w:basedOn w:val="a"/>
    <w:rsid w:val="000B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rsid w:val="000B2BE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aa">
    <w:name w:val="Стиль"/>
    <w:uiPriority w:val="99"/>
    <w:rsid w:val="000B2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table" w:customStyle="1" w:styleId="1">
    <w:name w:val="Сетка таблицы1"/>
    <w:basedOn w:val="a1"/>
    <w:next w:val="a6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3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E"/>
    <w:rPr>
      <w:rFonts w:ascii="Tahoma" w:hAnsi="Tahoma" w:cs="Tahoma"/>
      <w:sz w:val="16"/>
      <w:szCs w:val="16"/>
    </w:rPr>
  </w:style>
  <w:style w:type="paragraph" w:customStyle="1" w:styleId="ad">
    <w:name w:val="Нормальний текст"/>
    <w:basedOn w:val="a"/>
    <w:rsid w:val="0037322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9">
    <w:name w:val="rvts9"/>
    <w:basedOn w:val="a0"/>
    <w:rsid w:val="00373227"/>
  </w:style>
  <w:style w:type="paragraph" w:styleId="2">
    <w:name w:val="Body Text 2"/>
    <w:basedOn w:val="a"/>
    <w:link w:val="20"/>
    <w:uiPriority w:val="99"/>
    <w:semiHidden/>
    <w:unhideWhenUsed/>
    <w:rsid w:val="00A7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7F6"/>
  </w:style>
  <w:style w:type="character" w:styleId="ae">
    <w:name w:val="Hyperlink"/>
    <w:basedOn w:val="a0"/>
    <w:uiPriority w:val="99"/>
    <w:semiHidden/>
    <w:unhideWhenUsed/>
    <w:rsid w:val="00A9784B"/>
    <w:rPr>
      <w:color w:val="0000FF"/>
      <w:u w:val="single"/>
    </w:rPr>
  </w:style>
  <w:style w:type="paragraph" w:styleId="HTML">
    <w:name w:val="HTML Preformatted"/>
    <w:basedOn w:val="a"/>
    <w:link w:val="HTML0"/>
    <w:rsid w:val="00BF6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Arial Unicode MS" w:hAnsi="Courier New" w:cs="Times New Roman"/>
      <w:color w:val="000000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BF6418"/>
    <w:rPr>
      <w:rFonts w:ascii="Courier New" w:eastAsia="Arial Unicode MS" w:hAnsi="Courier New" w:cs="Times New Roman"/>
      <w:color w:val="000000"/>
      <w:sz w:val="18"/>
      <w:szCs w:val="18"/>
      <w:lang w:val="uk-UA" w:eastAsia="ru-RU"/>
    </w:rPr>
  </w:style>
  <w:style w:type="paragraph" w:styleId="af">
    <w:name w:val="Body Text"/>
    <w:basedOn w:val="a"/>
    <w:link w:val="af0"/>
    <w:uiPriority w:val="99"/>
    <w:semiHidden/>
    <w:unhideWhenUsed/>
    <w:rsid w:val="0075680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6808"/>
  </w:style>
  <w:style w:type="paragraph" w:styleId="af1">
    <w:name w:val="footer"/>
    <w:basedOn w:val="a"/>
    <w:link w:val="af2"/>
    <w:uiPriority w:val="99"/>
    <w:unhideWhenUsed/>
    <w:rsid w:val="0041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EE"/>
    <w:pPr>
      <w:ind w:left="720"/>
      <w:contextualSpacing/>
    </w:pPr>
  </w:style>
  <w:style w:type="paragraph" w:styleId="a4">
    <w:name w:val="Body Text Indent"/>
    <w:basedOn w:val="a"/>
    <w:link w:val="a5"/>
    <w:rsid w:val="000B2BE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table" w:styleId="a6">
    <w:name w:val="Table Grid"/>
    <w:basedOn w:val="a1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B2BEE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0B2BEE"/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styleId="a9">
    <w:name w:val="page number"/>
    <w:basedOn w:val="a0"/>
    <w:rsid w:val="000B2BEE"/>
    <w:rPr>
      <w:rFonts w:cs="Times New Roman"/>
    </w:rPr>
  </w:style>
  <w:style w:type="paragraph" w:customStyle="1" w:styleId="rvps14">
    <w:name w:val="rvps14"/>
    <w:basedOn w:val="a"/>
    <w:rsid w:val="000B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rsid w:val="000B2BE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aa">
    <w:name w:val="Стиль"/>
    <w:uiPriority w:val="99"/>
    <w:rsid w:val="000B2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table" w:customStyle="1" w:styleId="1">
    <w:name w:val="Сетка таблицы1"/>
    <w:basedOn w:val="a1"/>
    <w:next w:val="a6"/>
    <w:uiPriority w:val="39"/>
    <w:rsid w:val="000B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3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90E"/>
    <w:rPr>
      <w:rFonts w:ascii="Tahoma" w:hAnsi="Tahoma" w:cs="Tahoma"/>
      <w:sz w:val="16"/>
      <w:szCs w:val="16"/>
    </w:rPr>
  </w:style>
  <w:style w:type="paragraph" w:customStyle="1" w:styleId="ad">
    <w:name w:val="Нормальний текст"/>
    <w:basedOn w:val="a"/>
    <w:rsid w:val="00373227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9">
    <w:name w:val="rvts9"/>
    <w:basedOn w:val="a0"/>
    <w:rsid w:val="00373227"/>
  </w:style>
  <w:style w:type="paragraph" w:styleId="2">
    <w:name w:val="Body Text 2"/>
    <w:basedOn w:val="a"/>
    <w:link w:val="20"/>
    <w:uiPriority w:val="99"/>
    <w:semiHidden/>
    <w:unhideWhenUsed/>
    <w:rsid w:val="00A7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7F6"/>
  </w:style>
  <w:style w:type="character" w:styleId="ae">
    <w:name w:val="Hyperlink"/>
    <w:basedOn w:val="a0"/>
    <w:uiPriority w:val="99"/>
    <w:semiHidden/>
    <w:unhideWhenUsed/>
    <w:rsid w:val="00A9784B"/>
    <w:rPr>
      <w:color w:val="0000FF"/>
      <w:u w:val="single"/>
    </w:rPr>
  </w:style>
  <w:style w:type="paragraph" w:styleId="HTML">
    <w:name w:val="HTML Preformatted"/>
    <w:basedOn w:val="a"/>
    <w:link w:val="HTML0"/>
    <w:rsid w:val="00BF6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Arial Unicode MS" w:hAnsi="Courier New" w:cs="Times New Roman"/>
      <w:color w:val="000000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BF6418"/>
    <w:rPr>
      <w:rFonts w:ascii="Courier New" w:eastAsia="Arial Unicode MS" w:hAnsi="Courier New" w:cs="Times New Roman"/>
      <w:color w:val="000000"/>
      <w:sz w:val="18"/>
      <w:szCs w:val="18"/>
      <w:lang w:val="uk-UA" w:eastAsia="ru-RU"/>
    </w:rPr>
  </w:style>
  <w:style w:type="paragraph" w:styleId="af">
    <w:name w:val="Body Text"/>
    <w:basedOn w:val="a"/>
    <w:link w:val="af0"/>
    <w:uiPriority w:val="99"/>
    <w:semiHidden/>
    <w:unhideWhenUsed/>
    <w:rsid w:val="0075680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6808"/>
  </w:style>
  <w:style w:type="paragraph" w:styleId="af1">
    <w:name w:val="footer"/>
    <w:basedOn w:val="a"/>
    <w:link w:val="af2"/>
    <w:uiPriority w:val="99"/>
    <w:unhideWhenUsed/>
    <w:rsid w:val="0041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340B-93AF-4AE8-92E4-E4633A31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Radchenko</cp:lastModifiedBy>
  <cp:revision>59</cp:revision>
  <cp:lastPrinted>2020-12-04T14:45:00Z</cp:lastPrinted>
  <dcterms:created xsi:type="dcterms:W3CDTF">2020-05-12T07:06:00Z</dcterms:created>
  <dcterms:modified xsi:type="dcterms:W3CDTF">2021-02-09T11:32:00Z</dcterms:modified>
</cp:coreProperties>
</file>