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6E" w:rsidRDefault="00E22E49">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АНАЛІЗ РЕГУЛЯТОРНОГО ВПЛИВУ</w:t>
      </w:r>
    </w:p>
    <w:p w:rsidR="00B7706E" w:rsidRDefault="00E22E4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проєкту наказу Міністерства енергетики України </w:t>
      </w:r>
    </w:p>
    <w:p w:rsidR="00B7706E" w:rsidRDefault="00E22E4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затвердження Порядку ведення та оприлюднення</w:t>
      </w:r>
    </w:p>
    <w:p w:rsidR="00B7706E" w:rsidRDefault="00E22E4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бази даних енергетичних аудиторів»</w:t>
      </w:r>
    </w:p>
    <w:p w:rsidR="00B7706E" w:rsidRDefault="00B7706E">
      <w:pPr>
        <w:spacing w:after="0" w:line="240" w:lineRule="auto"/>
        <w:jc w:val="center"/>
        <w:rPr>
          <w:rFonts w:ascii="Times New Roman" w:eastAsia="Times New Roman" w:hAnsi="Times New Roman" w:cs="Times New Roman"/>
          <w:b/>
          <w:sz w:val="28"/>
          <w:szCs w:val="28"/>
        </w:rPr>
      </w:pPr>
    </w:p>
    <w:p w:rsidR="00B7706E" w:rsidRDefault="00E22E4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Визначення проблеми </w:t>
      </w:r>
    </w:p>
    <w:p w:rsidR="00B7706E" w:rsidRDefault="00B7706E">
      <w:pPr>
        <w:spacing w:after="0" w:line="240" w:lineRule="auto"/>
        <w:ind w:firstLine="709"/>
        <w:jc w:val="both"/>
        <w:rPr>
          <w:rFonts w:ascii="Times New Roman" w:eastAsia="Times New Roman" w:hAnsi="Times New Roman" w:cs="Times New Roman"/>
          <w:sz w:val="28"/>
          <w:szCs w:val="28"/>
        </w:rPr>
      </w:pPr>
    </w:p>
    <w:p w:rsidR="00146388" w:rsidRDefault="00E22E49" w:rsidP="00146388">
      <w:pPr>
        <w:spacing w:after="0" w:line="276"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Відповідно до статті 10 Договору про заснування Енергетичного Співтовариства  Україна взяла на себе зобов'язання  реалізовувати положення нормативно-правової бази ЄС у сфері енергетики, зокрема енергетичної ефективності.</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 нормативно-правовим актом ЄС у сфері енергоефективності є Директива 27/2012/ЄС про енергетичну ефективність (далі - Директива), стаття 8 якої вимагає від  держав-членів дотримання таких зобов’язань:</w:t>
      </w:r>
    </w:p>
    <w:p w:rsidR="00B7706E" w:rsidRDefault="00146388" w:rsidP="00146388">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с</w:t>
      </w:r>
      <w:r w:rsidR="00E22E49">
        <w:rPr>
          <w:rFonts w:ascii="Times New Roman" w:eastAsia="Times New Roman" w:hAnsi="Times New Roman" w:cs="Times New Roman"/>
          <w:sz w:val="28"/>
          <w:szCs w:val="28"/>
        </w:rPr>
        <w:t>прияти доступності високоякісних та економічно ефективних енергоаудитів для всіх кінцевих споживачів. Аудити повинні відповідати мінімальним критеріям згідно з Додатком VI Директиви і мають проводитися кваліфікованими і/або сертифікованими експертами або під наглядом незалежних органів. Енергоаудити можуть проводитися власними експертами організації або енергоаудиторами, за умови наявності схеми, яка забезпечує і перевіряє їх якість;</w:t>
      </w:r>
    </w:p>
    <w:p w:rsidR="00B7706E" w:rsidRDefault="00146388" w:rsidP="00146388">
      <w:pPr>
        <w:spacing w:after="0" w:line="276" w:lineRule="auto"/>
        <w:ind w:firstLine="708"/>
        <w:jc w:val="both"/>
        <w:rPr>
          <w:rFonts w:ascii="Times New Roman" w:eastAsia="Times New Roman" w:hAnsi="Times New Roman" w:cs="Times New Roman"/>
          <w:sz w:val="28"/>
          <w:szCs w:val="28"/>
        </w:rPr>
      </w:pPr>
      <w:r w:rsidRPr="00146388">
        <w:rPr>
          <w:rFonts w:ascii="Times New Roman" w:eastAsia="Times New Roman" w:hAnsi="Times New Roman" w:cs="Times New Roman"/>
          <w:sz w:val="28"/>
          <w:szCs w:val="28"/>
        </w:rPr>
        <w:t>в</w:t>
      </w:r>
      <w:r w:rsidR="00E22E49">
        <w:rPr>
          <w:rFonts w:ascii="Times New Roman" w:eastAsia="Times New Roman" w:hAnsi="Times New Roman" w:cs="Times New Roman"/>
          <w:sz w:val="28"/>
          <w:szCs w:val="28"/>
        </w:rPr>
        <w:t>становити прозорі і недискримінаційні мінімальні критерії для енергоаудитів на основі Додатка VI Директиви і стосовно якості використаних даних, рівня деталізації, пропорційності і репрезентативності, включення аналізу витрат протягом життєвого циклу та достовірності розрахунків потенційних заощаджень;</w:t>
      </w:r>
    </w:p>
    <w:p w:rsidR="00B7706E" w:rsidRDefault="00146388" w:rsidP="00146388">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в</w:t>
      </w:r>
      <w:r w:rsidR="00E22E49">
        <w:rPr>
          <w:rFonts w:ascii="Times New Roman" w:eastAsia="Times New Roman" w:hAnsi="Times New Roman" w:cs="Times New Roman"/>
          <w:sz w:val="28"/>
          <w:szCs w:val="28"/>
        </w:rPr>
        <w:t>становити у національному законодавстві вимоги до енергоаудиторів і нагляду, який здійснюється національними органами. Держави-члени повинні заохочувати створення навчальних програм для забезпечення атестації енергоаудиторів з метою сприяння наявності достатнього числа експертів. Це зобов’язання пов’язане із статтею 16 Директиви тією мірою, якою вона вимагає наявності схем атестації, акредитації і сертифікації для постачальників послуг енергоаудитів;</w:t>
      </w:r>
    </w:p>
    <w:p w:rsidR="00B7706E" w:rsidRDefault="00146388" w:rsidP="00146388">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з</w:t>
      </w:r>
      <w:proofErr w:type="spellStart"/>
      <w:r w:rsidR="00E22E49">
        <w:rPr>
          <w:rFonts w:ascii="Times New Roman" w:eastAsia="Times New Roman" w:hAnsi="Times New Roman" w:cs="Times New Roman"/>
          <w:sz w:val="28"/>
          <w:szCs w:val="28"/>
        </w:rPr>
        <w:t>абезпечити</w:t>
      </w:r>
      <w:proofErr w:type="spellEnd"/>
      <w:r w:rsidR="00E22E49">
        <w:rPr>
          <w:rFonts w:ascii="Times New Roman" w:eastAsia="Times New Roman" w:hAnsi="Times New Roman" w:cs="Times New Roman"/>
          <w:sz w:val="28"/>
          <w:szCs w:val="28"/>
        </w:rPr>
        <w:t xml:space="preserve"> розробку програм заохочення малих і середніх </w:t>
      </w:r>
      <w:proofErr w:type="gramStart"/>
      <w:r w:rsidR="00E22E49">
        <w:rPr>
          <w:rFonts w:ascii="Times New Roman" w:eastAsia="Times New Roman" w:hAnsi="Times New Roman" w:cs="Times New Roman"/>
          <w:sz w:val="28"/>
          <w:szCs w:val="28"/>
        </w:rPr>
        <w:t>п</w:t>
      </w:r>
      <w:proofErr w:type="gramEnd"/>
      <w:r w:rsidR="00E22E49">
        <w:rPr>
          <w:rFonts w:ascii="Times New Roman" w:eastAsia="Times New Roman" w:hAnsi="Times New Roman" w:cs="Times New Roman"/>
          <w:sz w:val="28"/>
          <w:szCs w:val="28"/>
        </w:rPr>
        <w:t xml:space="preserve">ідприємств  до проходження енергоаудитів та впровадження рекомендацій цих аудитів. Це можуть бути схеми підтримки або добровільні угоди щодо покриття витрат на енергоаудит і впровадження найбільш економічно ефективної рекомендації аудиту, якщо пропоновані заходи будуть реалізуватися. Конкретні приклади того, яким чином системи енергетичного </w:t>
      </w:r>
      <w:r w:rsidR="00E22E49">
        <w:rPr>
          <w:rFonts w:ascii="Times New Roman" w:eastAsia="Times New Roman" w:hAnsi="Times New Roman" w:cs="Times New Roman"/>
          <w:sz w:val="28"/>
          <w:szCs w:val="28"/>
        </w:rPr>
        <w:lastRenderedPageBreak/>
        <w:t>менеджменту можуть допомогти МСП, мають бути доведені до відома малих і середніх підприємств;</w:t>
      </w:r>
    </w:p>
    <w:p w:rsidR="00B7706E" w:rsidRDefault="00146388" w:rsidP="00146388">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з</w:t>
      </w:r>
      <w:proofErr w:type="spellStart"/>
      <w:r w:rsidR="00E22E49">
        <w:rPr>
          <w:rFonts w:ascii="Times New Roman" w:eastAsia="Times New Roman" w:hAnsi="Times New Roman" w:cs="Times New Roman"/>
          <w:sz w:val="28"/>
          <w:szCs w:val="28"/>
        </w:rPr>
        <w:t>абезпечити</w:t>
      </w:r>
      <w:proofErr w:type="spellEnd"/>
      <w:r w:rsidR="00E22E49">
        <w:rPr>
          <w:rFonts w:ascii="Times New Roman" w:eastAsia="Times New Roman" w:hAnsi="Times New Roman" w:cs="Times New Roman"/>
          <w:sz w:val="28"/>
          <w:szCs w:val="28"/>
        </w:rPr>
        <w:t xml:space="preserve"> незалежне й економічно ефективне проведення обов’язкових і регулярних аудитів великих </w:t>
      </w:r>
      <w:proofErr w:type="gramStart"/>
      <w:r w:rsidR="00E22E49">
        <w:rPr>
          <w:rFonts w:ascii="Times New Roman" w:eastAsia="Times New Roman" w:hAnsi="Times New Roman" w:cs="Times New Roman"/>
          <w:sz w:val="28"/>
          <w:szCs w:val="28"/>
        </w:rPr>
        <w:t>п</w:t>
      </w:r>
      <w:proofErr w:type="gramEnd"/>
      <w:r w:rsidR="00E22E49">
        <w:rPr>
          <w:rFonts w:ascii="Times New Roman" w:eastAsia="Times New Roman" w:hAnsi="Times New Roman" w:cs="Times New Roman"/>
          <w:sz w:val="28"/>
          <w:szCs w:val="28"/>
        </w:rPr>
        <w:t>ідприємств. Перший аудит таких підприємств повинен бути проведений у період з дати набуття чинності ДЕЕ (4 грудня 2012) і до кінцевої дати 5 грудня 2015 року. Подальші аудити мають проводитися з максимум 4 - річними інтервалами. Великі підприємства, які запровадили системи енергетичного або екологічного менеджменту, звільняються від вимоги проведення енергоаудитів кожні 4 роки, за умови, що система менеджменту передбачає енергоаудит, який відповідає мінімальним критеріям;</w:t>
      </w:r>
    </w:p>
    <w:p w:rsidR="00B7706E" w:rsidRDefault="00146388" w:rsidP="00146388">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з</w:t>
      </w:r>
      <w:proofErr w:type="spellStart"/>
      <w:r w:rsidR="00E22E49">
        <w:rPr>
          <w:rFonts w:ascii="Times New Roman" w:eastAsia="Times New Roman" w:hAnsi="Times New Roman" w:cs="Times New Roman"/>
          <w:sz w:val="28"/>
          <w:szCs w:val="28"/>
        </w:rPr>
        <w:t>абезпечити</w:t>
      </w:r>
      <w:proofErr w:type="spellEnd"/>
      <w:r w:rsidR="00E22E49">
        <w:rPr>
          <w:rFonts w:ascii="Times New Roman" w:eastAsia="Times New Roman" w:hAnsi="Times New Roman" w:cs="Times New Roman"/>
          <w:sz w:val="28"/>
          <w:szCs w:val="28"/>
        </w:rPr>
        <w:t xml:space="preserve"> розробку програм </w:t>
      </w:r>
      <w:proofErr w:type="gramStart"/>
      <w:r w:rsidR="00E22E49">
        <w:rPr>
          <w:rFonts w:ascii="Times New Roman" w:eastAsia="Times New Roman" w:hAnsi="Times New Roman" w:cs="Times New Roman"/>
          <w:sz w:val="28"/>
          <w:szCs w:val="28"/>
        </w:rPr>
        <w:t>п</w:t>
      </w:r>
      <w:proofErr w:type="gramEnd"/>
      <w:r w:rsidR="00E22E49">
        <w:rPr>
          <w:rFonts w:ascii="Times New Roman" w:eastAsia="Times New Roman" w:hAnsi="Times New Roman" w:cs="Times New Roman"/>
          <w:sz w:val="28"/>
          <w:szCs w:val="28"/>
        </w:rPr>
        <w:t>ідвищення інформованості домогосподарств про переваги проведення енергоаудитів;</w:t>
      </w:r>
    </w:p>
    <w:p w:rsidR="00B7706E" w:rsidRDefault="00146388" w:rsidP="00146388">
      <w:pPr>
        <w:spacing w:after="0" w:line="276" w:lineRule="auto"/>
        <w:ind w:firstLine="708"/>
        <w:jc w:val="both"/>
        <w:rPr>
          <w:rFonts w:ascii="Times New Roman" w:eastAsia="Times New Roman" w:hAnsi="Times New Roman" w:cs="Times New Roman"/>
          <w:sz w:val="28"/>
          <w:szCs w:val="28"/>
        </w:rPr>
      </w:pPr>
      <w:r w:rsidRPr="00146388">
        <w:rPr>
          <w:rFonts w:ascii="Times New Roman" w:eastAsia="Times New Roman" w:hAnsi="Times New Roman" w:cs="Times New Roman"/>
          <w:sz w:val="28"/>
          <w:szCs w:val="28"/>
        </w:rPr>
        <w:t>е</w:t>
      </w:r>
      <w:r w:rsidR="00E22E49">
        <w:rPr>
          <w:rFonts w:ascii="Times New Roman" w:eastAsia="Times New Roman" w:hAnsi="Times New Roman" w:cs="Times New Roman"/>
          <w:sz w:val="28"/>
          <w:szCs w:val="28"/>
        </w:rPr>
        <w:t>нергоаудити можуть проводитися окремо або ж бути частиною більш широкого екологічного аудиту, і Держави-члени можуть вимагати, щоб аудит включав оцінку технічної та економічної можливості підключення до існуючої чи планованої мережі центрального опалення чи охолодження;</w:t>
      </w:r>
    </w:p>
    <w:p w:rsidR="00B7706E" w:rsidRDefault="00146388" w:rsidP="00146388">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д</w:t>
      </w:r>
      <w:proofErr w:type="spellStart"/>
      <w:r w:rsidR="00E22E49">
        <w:rPr>
          <w:rFonts w:ascii="Times New Roman" w:eastAsia="Times New Roman" w:hAnsi="Times New Roman" w:cs="Times New Roman"/>
          <w:sz w:val="28"/>
          <w:szCs w:val="28"/>
        </w:rPr>
        <w:t>ержави</w:t>
      </w:r>
      <w:proofErr w:type="spellEnd"/>
      <w:r w:rsidR="00E22E49">
        <w:rPr>
          <w:rFonts w:ascii="Times New Roman" w:eastAsia="Times New Roman" w:hAnsi="Times New Roman" w:cs="Times New Roman"/>
          <w:sz w:val="28"/>
          <w:szCs w:val="28"/>
        </w:rPr>
        <w:t>-члени можуть запроваджувати схеми стимулювання або підтримки впровадження рекомендацій аудитів, за умови, що вони не суперечать Закону</w:t>
      </w:r>
      <w:proofErr w:type="gramStart"/>
      <w:r w:rsidR="00E22E49">
        <w:rPr>
          <w:rFonts w:ascii="Times New Roman" w:eastAsia="Times New Roman" w:hAnsi="Times New Roman" w:cs="Times New Roman"/>
          <w:sz w:val="28"/>
          <w:szCs w:val="28"/>
        </w:rPr>
        <w:t xml:space="preserve"> ЄС</w:t>
      </w:r>
      <w:proofErr w:type="gramEnd"/>
      <w:r w:rsidR="00E22E49">
        <w:rPr>
          <w:rFonts w:ascii="Times New Roman" w:eastAsia="Times New Roman" w:hAnsi="Times New Roman" w:cs="Times New Roman"/>
          <w:sz w:val="28"/>
          <w:szCs w:val="28"/>
        </w:rPr>
        <w:t xml:space="preserve"> про державну допомогу.</w:t>
      </w:r>
    </w:p>
    <w:p w:rsidR="00B7706E" w:rsidRDefault="00E22E49" w:rsidP="00146388">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національне законодавство відповідні норми Директиви про енергоефективність </w:t>
      </w:r>
      <w:r w:rsidR="00146388">
        <w:rPr>
          <w:rFonts w:ascii="Times New Roman" w:eastAsia="Times New Roman" w:hAnsi="Times New Roman" w:cs="Times New Roman"/>
          <w:sz w:val="28"/>
          <w:szCs w:val="28"/>
        </w:rPr>
        <w:t>імпліментовано</w:t>
      </w:r>
      <w:r>
        <w:rPr>
          <w:rFonts w:ascii="Times New Roman" w:eastAsia="Times New Roman" w:hAnsi="Times New Roman" w:cs="Times New Roman"/>
          <w:sz w:val="28"/>
          <w:szCs w:val="28"/>
        </w:rPr>
        <w:t xml:space="preserve"> нормами Закону України «Про енергетичну ефективність» (далі - Закон).</w:t>
      </w:r>
    </w:p>
    <w:p w:rsidR="00B7706E" w:rsidRDefault="00E22E49" w:rsidP="00146388">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Зокрема, згідно з </w:t>
      </w:r>
      <w:r>
        <w:rPr>
          <w:rFonts w:ascii="Times New Roman" w:eastAsia="Times New Roman" w:hAnsi="Times New Roman" w:cs="Times New Roman"/>
          <w:color w:val="000000"/>
          <w:sz w:val="28"/>
          <w:szCs w:val="28"/>
        </w:rPr>
        <w:t>положеннями частини шостої  статті 11</w:t>
      </w:r>
      <w:r>
        <w:rPr>
          <w:rFonts w:ascii="Times New Roman" w:eastAsia="Times New Roman" w:hAnsi="Times New Roman" w:cs="Times New Roman"/>
          <w:sz w:val="28"/>
          <w:szCs w:val="28"/>
        </w:rPr>
        <w:t xml:space="preserve"> Закону Держенергоефективності веде та оприлюднює на своєму офіційному веб-сайті базу даних енергетичних аудиторів.</w:t>
      </w:r>
    </w:p>
    <w:p w:rsidR="00B7706E" w:rsidRDefault="00E22E49" w:rsidP="00146388">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Суб’єкти великого підприємництва в значенні, наведеному в Господарському кодексі України, зобов’язані проводити енергетичний аудит кожні чотири роки, починаючи з дня проведення першого енергетичного аудиту. У разі залучення державної підтримки (допомоги) на здійснення енергоефективних заходів надавач такої підтримки (допомоги) може визначити однією з умов державної підтримки (допомоги) проведення енергетичного аудиту.</w:t>
      </w:r>
    </w:p>
    <w:p w:rsidR="00B7706E" w:rsidRDefault="00E22E49">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Перший енергетичний аудит суб’єктів великого підприємництва має бути проведений протягом трьох років з дня набрання чинності цим Законом, а в разі отримання державної підтримки (допомоги) - до отримання державної підтримки (допомоги). У разі непроведення обов’язкового енергетичного аудиту суб’єкти великого підприємництва, а також інші </w:t>
      </w:r>
      <w:r>
        <w:rPr>
          <w:rFonts w:ascii="Times New Roman" w:eastAsia="Times New Roman" w:hAnsi="Times New Roman" w:cs="Times New Roman"/>
          <w:sz w:val="28"/>
          <w:szCs w:val="28"/>
        </w:rPr>
        <w:lastRenderedPageBreak/>
        <w:t>суб’єкти господарювання в разі отримання державної підтримки (допомоги) на впровадження енергоефективних заходів (якщо обов’язковою умовою такої підтримки (допомоги) є проведення енергетичного аудиту) несуть відповідальність згідно із Законом.</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Суб’єкти великого підприємництва, а також інші суб’єкти господарювання в разі залучення державної підтримки (допомоги) на здійснення енергоефективних заходів звільняються від обов’язку проведення енергетичного аудиту при запровадженні системи енергетичного та/або екологічного менеджменту, яка сертифікована відповідно до гармонізованих міжнародних і регіональних стандартів та передбачає проведення енергетичного аудиту відповідно до вимог, визначених Законом.</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підтримки ініціатив щодо енергоефективності, проведення енергетичних аудитів і підтримки здійснення енергоефективних заходів суб’єктами мікро-, малого та середнього підприємництва можуть впроваджуватися державні цільові економічні програми енергоефективності.</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Енергетичний аудит будівель здійснюється енергетичними аудиторами будівель відповідно до Закону України "Про енергетичну ефективність будівель".</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частини першої статті 11 Кабінет Міністрів України затверджує порядок підтвердження кваліфікації осіб, які мають намір провадити діяльність із здійснення енергетичних аудитів, та кваліфікаційні вимоги до енергетичних аудиторів який передбачає:</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кваліфікаційного іспиту осіб, які мають намір провадити діяльність із здійснення енергетичного аудиту;</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розмежування кваліфікаційних вимог до енергетичних аудитів будівель, процесів та транспорту;</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повторного підтвердження кваліфікації осіб;</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та процедуру анулювання кваліфікаційного сертифіката енергетичного аудитора; </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вимоги до підтвердження кваліфікації осіб.</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підтвердження кваліфікації осіб, які мають намір провадити діяльність із здійснення енергетичних аудитів, надається кваліфікаційний сертифікат.</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Кваліфікаційна організація відмовляє у видачі кваліфікаційного сертифіката в разі не складання особою кваліфікаційного іспиту. Особа, якій відмовили у видачі кваліфікаційного сертифіката в разі не складання нею кваліфікаційного іспиту, має право на проходження повторного </w:t>
      </w:r>
      <w:r>
        <w:rPr>
          <w:rFonts w:ascii="Times New Roman" w:eastAsia="Times New Roman" w:hAnsi="Times New Roman" w:cs="Times New Roman"/>
          <w:sz w:val="28"/>
          <w:szCs w:val="28"/>
        </w:rPr>
        <w:lastRenderedPageBreak/>
        <w:t>підтвердження кваліфікації не раніше ніж через місяць після прийняття рішення про таку відмову.</w:t>
      </w:r>
    </w:p>
    <w:p w:rsidR="00B7706E" w:rsidRDefault="00E22E49">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цілей Закону України «Про енергетичну ефективність» доступ до бази даних енергетичних аудиторів є безоплатним.</w:t>
      </w:r>
    </w:p>
    <w:p w:rsidR="00B7706E" w:rsidRDefault="00E22E49" w:rsidP="00577CD8">
      <w:pPr>
        <w:spacing w:after="0" w:line="276" w:lineRule="auto"/>
        <w:ind w:firstLine="720"/>
        <w:jc w:val="both"/>
        <w:rPr>
          <w:rFonts w:ascii="Times New Roman" w:eastAsia="Times New Roman" w:hAnsi="Times New Roman" w:cs="Times New Roman"/>
          <w:sz w:val="28"/>
          <w:szCs w:val="28"/>
        </w:rPr>
      </w:pPr>
      <w:r w:rsidRPr="00577CD8">
        <w:rPr>
          <w:rFonts w:ascii="Times New Roman" w:eastAsia="Times New Roman" w:hAnsi="Times New Roman" w:cs="Times New Roman"/>
          <w:sz w:val="28"/>
          <w:szCs w:val="28"/>
        </w:rPr>
        <w:t>Відповідно</w:t>
      </w:r>
      <w:r>
        <w:rPr>
          <w:rFonts w:ascii="Times New Roman" w:eastAsia="Times New Roman" w:hAnsi="Times New Roman" w:cs="Times New Roman"/>
          <w:sz w:val="28"/>
          <w:szCs w:val="28"/>
        </w:rPr>
        <w:t xml:space="preserve">   до   частини    сьомої   статті    11  Закону порядок  ведення та оприлюднення бази даних енергетичних аудиторів затверджується Міненерго.</w:t>
      </w:r>
    </w:p>
    <w:p w:rsidR="00B7706E" w:rsidRDefault="00E22E49" w:rsidP="00577CD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частини восьмої статті 11 інформація про енергетичних аудиторів, які підлягають внесенню до бази енергетичних аудиторів, у тому числі інформація про відмову у видачі кваліфікаційного сертифіката, його анулювання, надається кваліфікаційним органом до Держенергоефективності.</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 яка отримала кваліфікаційний сертифікат здійснює діяльність з проведення енергетичного аудиту.</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здійснення енергетичного аудиту складається звіт з енергетичного аудиту та витяг із звіту з енергетичного аудиту, що вноситься енергетичним аудитором до бази даних витягів із звітів з енергетичного аудиту.</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Держенергоефективності здійснює незалежний моніторинг витягів із звітів з енергетичного аудиту.</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якщо за результатами моніторингу витягів із звітів з енергетичних аудитів виявлено, що витяг із звіту з енергетичного аудиту не відповідає вимогам законодавства, Держенергоефективності проводить незалежну верифікацію звіту з енергетичного аудиту. </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Замовник енергетичного аудиту зобов’язаний надати Держенергоефективності звіт з енергетичного аудиту та іншу інформацію, необхідну для проведення незалежної верифікації звіту з енергетичного аудиту, з урахуванням вимог законодавства щодо захисту комерційної таємниці.</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якщо за результатами незалежної верифікації звітів з енергетичних аудитів було виявлено, що звіти з енергетичного аудиту не відповідають вимогам законодавства,  Держенергоефективності надсилає енергетичному аудитору повідомлення про необхідність приведення у відповідність із вимогами чинного законодавства звіту з енергетичного аудиту, витягу із звіту разом із виявленими зауваженнями. </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Енергоаудитор зобов’язаний протягом 15 робочих днів усунути надані зауваження та направити виправлений звіт з енергетичного аудиту для повторної незалежної верифікації. </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Якщо повторну незалежну верифікацію звіту з енергетичного аудиту не пройдено, Держенергоефективності надсилає енергетичному аудитору повідомлення про те, що в разі повторного порушення енергетичним аудитором законодавства відповідну інформацію буде передано кваліфікаційним організаціям для прийняття рішень відповідно до порядку підтвердження кваліфікації осіб, які мають намір провадити діяльність із здійснення енергетичних аудитів який затверджується постановою Кабінету Міністрів України.</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невідповідність звіту з енергетичного аудиту вимогам законодавства, виявлена за результатами незалежної верифікації, надається замовнику енергетичного аудиту.</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Держенергоефективності може здійснювати незалежну верифікацію звітів з енергетичного аудиту на вимогу замовника енергетичного аудиту. </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Розмір плати визначається Кабінетом Міністрів України. Незалежна верифікація проводиться протягом 30 робочих днів після подання звіту про енергетичний аудит та документа, що підтверджує оплату послуги.</w:t>
      </w:r>
    </w:p>
    <w:p w:rsidR="00B7706E" w:rsidRDefault="00E22E49" w:rsidP="00146388">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огляду на це, зазначені питання не можуть бути розв’язані за допомогою інших діючих регуляторних актів, оскільки новий Закон України «Про енергетичну ефективність» визначає повноваження Міненерго щодо затвердження «Порядку ведення та оприлюднення бази даних енергетичних аудиторів».</w:t>
      </w:r>
    </w:p>
    <w:p w:rsidR="00B7706E" w:rsidRDefault="00E22E49">
      <w:pPr>
        <w:spacing w:after="200" w:line="276"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групи (підгрупи), на які проблема впливає:</w:t>
      </w:r>
    </w:p>
    <w:tbl>
      <w:tblPr>
        <w:tblStyle w:val="a7"/>
        <w:tblW w:w="96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7"/>
        <w:gridCol w:w="3043"/>
        <w:gridCol w:w="2669"/>
      </w:tblGrid>
      <w:tr w:rsidR="00B7706E">
        <w:trPr>
          <w:trHeight w:val="331"/>
        </w:trPr>
        <w:tc>
          <w:tcPr>
            <w:tcW w:w="3917" w:type="dxa"/>
          </w:tcPr>
          <w:p w:rsidR="00B7706E" w:rsidRDefault="00E22E49">
            <w:pPr>
              <w:widowControl w:val="0"/>
              <w:spacing w:line="240" w:lineRule="auto"/>
              <w:ind w:left="103" w:right="1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Групи (підгрупи)</w:t>
            </w:r>
          </w:p>
        </w:tc>
        <w:tc>
          <w:tcPr>
            <w:tcW w:w="3043" w:type="dxa"/>
          </w:tcPr>
          <w:p w:rsidR="00B7706E" w:rsidRDefault="00E22E49">
            <w:pPr>
              <w:widowControl w:val="0"/>
              <w:spacing w:line="240" w:lineRule="auto"/>
              <w:ind w:left="1022" w:right="10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p>
        </w:tc>
        <w:tc>
          <w:tcPr>
            <w:tcW w:w="2669" w:type="dxa"/>
          </w:tcPr>
          <w:p w:rsidR="00B7706E" w:rsidRDefault="00E22E49">
            <w:pPr>
              <w:widowControl w:val="0"/>
              <w:spacing w:line="240" w:lineRule="auto"/>
              <w:ind w:right="124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Ні</w:t>
            </w:r>
          </w:p>
        </w:tc>
      </w:tr>
      <w:tr w:rsidR="00B7706E">
        <w:trPr>
          <w:trHeight w:val="331"/>
        </w:trPr>
        <w:tc>
          <w:tcPr>
            <w:tcW w:w="3917" w:type="dxa"/>
          </w:tcPr>
          <w:p w:rsidR="00B7706E" w:rsidRDefault="00E22E49">
            <w:pPr>
              <w:widowControl w:val="0"/>
              <w:spacing w:line="240" w:lineRule="auto"/>
              <w:ind w:left="103" w:right="1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Громадяни</w:t>
            </w:r>
          </w:p>
        </w:tc>
        <w:tc>
          <w:tcPr>
            <w:tcW w:w="3043" w:type="dxa"/>
          </w:tcPr>
          <w:p w:rsidR="00B7706E" w:rsidRDefault="00E22E49">
            <w:pPr>
              <w:widowControl w:val="0"/>
              <w:spacing w:line="240" w:lineRule="auto"/>
              <w:ind w:left="1022" w:right="10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69" w:type="dxa"/>
          </w:tcPr>
          <w:p w:rsidR="00B7706E" w:rsidRDefault="00E22E49">
            <w:pPr>
              <w:widowControl w:val="0"/>
              <w:spacing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B7706E">
        <w:trPr>
          <w:trHeight w:val="334"/>
        </w:trPr>
        <w:tc>
          <w:tcPr>
            <w:tcW w:w="3917" w:type="dxa"/>
          </w:tcPr>
          <w:p w:rsidR="00B7706E" w:rsidRDefault="00E22E49">
            <w:pPr>
              <w:widowControl w:val="0"/>
              <w:spacing w:line="240" w:lineRule="auto"/>
              <w:ind w:left="103" w:right="1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Держава</w:t>
            </w:r>
          </w:p>
        </w:tc>
        <w:tc>
          <w:tcPr>
            <w:tcW w:w="3043" w:type="dxa"/>
          </w:tcPr>
          <w:p w:rsidR="00B7706E" w:rsidRDefault="00E22E49">
            <w:pPr>
              <w:widowControl w:val="0"/>
              <w:spacing w:line="240" w:lineRule="auto"/>
              <w:ind w:left="1022" w:right="10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69" w:type="dxa"/>
          </w:tcPr>
          <w:p w:rsidR="00B7706E" w:rsidRDefault="00E22E49">
            <w:pPr>
              <w:widowControl w:val="0"/>
              <w:spacing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B7706E">
        <w:trPr>
          <w:trHeight w:val="331"/>
        </w:trPr>
        <w:tc>
          <w:tcPr>
            <w:tcW w:w="3917" w:type="dxa"/>
          </w:tcPr>
          <w:p w:rsidR="00B7706E" w:rsidRDefault="00E22E49">
            <w:pPr>
              <w:widowControl w:val="0"/>
              <w:spacing w:line="240" w:lineRule="auto"/>
              <w:ind w:left="103" w:right="1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Суб’єкти господарювання,</w:t>
            </w:r>
          </w:p>
        </w:tc>
        <w:tc>
          <w:tcPr>
            <w:tcW w:w="3043" w:type="dxa"/>
          </w:tcPr>
          <w:p w:rsidR="00B7706E" w:rsidRPr="00146388" w:rsidRDefault="00146388">
            <w:pPr>
              <w:widowControl w:val="0"/>
              <w:spacing w:line="240" w:lineRule="auto"/>
              <w:ind w:left="1022" w:right="102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2669" w:type="dxa"/>
          </w:tcPr>
          <w:p w:rsidR="00B7706E" w:rsidRDefault="00E22E49">
            <w:pPr>
              <w:widowControl w:val="0"/>
              <w:spacing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B7706E">
        <w:trPr>
          <w:trHeight w:val="653"/>
        </w:trPr>
        <w:tc>
          <w:tcPr>
            <w:tcW w:w="3917" w:type="dxa"/>
          </w:tcPr>
          <w:p w:rsidR="00B7706E" w:rsidRDefault="00E22E49">
            <w:pPr>
              <w:widowControl w:val="0"/>
              <w:spacing w:line="240" w:lineRule="auto"/>
              <w:ind w:left="103" w:right="19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тому числі суб’єкти малого підприємництва</w:t>
            </w:r>
          </w:p>
        </w:tc>
        <w:tc>
          <w:tcPr>
            <w:tcW w:w="3043" w:type="dxa"/>
          </w:tcPr>
          <w:p w:rsidR="00B7706E" w:rsidRDefault="00E22E49">
            <w:pPr>
              <w:widowControl w:val="0"/>
              <w:spacing w:line="240" w:lineRule="auto"/>
              <w:ind w:left="1022" w:right="10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69" w:type="dxa"/>
          </w:tcPr>
          <w:p w:rsidR="00B7706E" w:rsidRDefault="00E22E49">
            <w:pPr>
              <w:widowControl w:val="0"/>
              <w:spacing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B7706E" w:rsidRDefault="00B7706E">
      <w:pPr>
        <w:spacing w:after="200" w:line="276" w:lineRule="auto"/>
        <w:ind w:firstLine="720"/>
        <w:jc w:val="both"/>
        <w:rPr>
          <w:rFonts w:ascii="Times New Roman" w:eastAsia="Times New Roman" w:hAnsi="Times New Roman" w:cs="Times New Roman"/>
          <w:b/>
          <w:sz w:val="28"/>
          <w:szCs w:val="28"/>
        </w:rPr>
      </w:pPr>
    </w:p>
    <w:p w:rsidR="00B7706E" w:rsidRDefault="00E22E49">
      <w:pPr>
        <w:spacing w:after="20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Цілі державного регулювання </w:t>
      </w:r>
    </w:p>
    <w:p w:rsidR="00B7706E" w:rsidRDefault="00E22E49">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Ціллю державного регулювання є:</w:t>
      </w:r>
    </w:p>
    <w:p w:rsidR="00B7706E" w:rsidRDefault="00E22E49">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вимог Закону України «Про енергетичну ефективність» в частині:</w:t>
      </w:r>
    </w:p>
    <w:p w:rsidR="00B7706E" w:rsidRDefault="00E22E49">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ведення та оприлюднення бази даних енергетичних аудиторів;</w:t>
      </w:r>
    </w:p>
    <w:p w:rsidR="00B7706E" w:rsidRDefault="00E22E49">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ведення та оприлюднення бази даних витягів із звіту з енергетичного аудиту;</w:t>
      </w:r>
    </w:p>
    <w:p w:rsidR="00B7706E" w:rsidRDefault="00E22E49">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незалежного моніторингу витягів із звітів з енергетичного аудиту; </w:t>
      </w:r>
    </w:p>
    <w:p w:rsidR="00B7706E" w:rsidRDefault="00E22E49">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незалежної верифікації звітів з енергетичного аудиту;</w:t>
      </w:r>
      <w:bookmarkStart w:id="0" w:name="bookmark=id.gjdgxs" w:colFirst="0" w:colLast="0"/>
      <w:bookmarkEnd w:id="0"/>
    </w:p>
    <w:p w:rsidR="00B7706E" w:rsidRDefault="00E22E49">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імплементація норм законодавства ЄС та європейської практики щодо незалежної верифікації якості та ефективності енергетичних аудитів на основі звітів про їх проведення;</w:t>
      </w:r>
    </w:p>
    <w:p w:rsidR="00B7706E" w:rsidRDefault="00E22E49">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доступності високоякісних та економічно ефективних енергоаудитів для всіх кінцевих споживачів, які відповідають встановленим законодавством і міжнародними стандартами критеріям, та проводяться кваліфікованими і/або сертифікованими експертами або під наглядом незалежних органів;</w:t>
      </w:r>
    </w:p>
    <w:p w:rsidR="00B7706E" w:rsidRDefault="00E22E49">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встановленню прозорих і недискримінаційні мінімальних критеріїв для енергоаудитів і стосовно якості використаних даних, рівня деталізації, пропорційності і репрезентативності, включення аналізу витрат протягом життєвого циклу та достовірності розрахунків потенційних заощаджень;</w:t>
      </w:r>
    </w:p>
    <w:p w:rsidR="00B7706E" w:rsidRDefault="00E22E49">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забезпечення незалежного й економічно ефективного проведення обов’язкових і регулярних аудитів великих підприємств.</w:t>
      </w:r>
    </w:p>
    <w:p w:rsidR="00B7706E" w:rsidRDefault="0014638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ab/>
      </w:r>
      <w:r w:rsidR="00E22E49">
        <w:rPr>
          <w:rFonts w:ascii="Times New Roman" w:eastAsia="Times New Roman" w:hAnsi="Times New Roman" w:cs="Times New Roman"/>
          <w:b/>
          <w:sz w:val="28"/>
          <w:szCs w:val="28"/>
        </w:rPr>
        <w:t>III. Визначення та оцінка альтернативних способів досягнення цілей</w:t>
      </w:r>
    </w:p>
    <w:p w:rsidR="00B7706E" w:rsidRDefault="00B7706E">
      <w:pPr>
        <w:spacing w:after="0" w:line="240" w:lineRule="auto"/>
        <w:ind w:firstLine="709"/>
        <w:jc w:val="both"/>
        <w:rPr>
          <w:rFonts w:ascii="Times New Roman" w:eastAsia="Times New Roman" w:hAnsi="Times New Roman" w:cs="Times New Roman"/>
          <w:sz w:val="28"/>
          <w:szCs w:val="28"/>
        </w:rPr>
      </w:pPr>
    </w:p>
    <w:p w:rsidR="00B7706E" w:rsidRDefault="00E22E49">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альтернативних способів</w:t>
      </w:r>
    </w:p>
    <w:p w:rsidR="00B7706E" w:rsidRDefault="00B7706E">
      <w:pPr>
        <w:spacing w:after="0" w:line="240" w:lineRule="auto"/>
        <w:ind w:left="720"/>
        <w:jc w:val="both"/>
        <w:rPr>
          <w:rFonts w:ascii="Times New Roman" w:eastAsia="Times New Roman" w:hAnsi="Times New Roman" w:cs="Times New Roman"/>
          <w:sz w:val="28"/>
          <w:szCs w:val="28"/>
        </w:rPr>
      </w:pP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0"/>
        <w:gridCol w:w="6354"/>
      </w:tblGrid>
      <w:tr w:rsidR="00B7706E" w:rsidRPr="00162986" w:rsidTr="000D17B5">
        <w:tc>
          <w:tcPr>
            <w:tcW w:w="1685" w:type="pct"/>
          </w:tcPr>
          <w:p w:rsidR="00B7706E" w:rsidRPr="00162986" w:rsidRDefault="00E22E49">
            <w:pPr>
              <w:widowControl w:val="0"/>
              <w:tabs>
                <w:tab w:val="left" w:pos="1108"/>
              </w:tabs>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b/>
                <w:sz w:val="26"/>
                <w:szCs w:val="26"/>
              </w:rPr>
              <w:t>Вид альтернативи</w:t>
            </w:r>
          </w:p>
        </w:tc>
        <w:tc>
          <w:tcPr>
            <w:tcW w:w="3315" w:type="pct"/>
          </w:tcPr>
          <w:p w:rsidR="00B7706E" w:rsidRPr="00162986" w:rsidRDefault="00E22E49">
            <w:pPr>
              <w:widowControl w:val="0"/>
              <w:tabs>
                <w:tab w:val="left" w:pos="1108"/>
              </w:tabs>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b/>
                <w:sz w:val="26"/>
                <w:szCs w:val="26"/>
              </w:rPr>
              <w:t>Опис альтернативи</w:t>
            </w:r>
          </w:p>
        </w:tc>
      </w:tr>
      <w:tr w:rsidR="00B7706E" w:rsidRPr="00162986" w:rsidTr="000D17B5">
        <w:trPr>
          <w:trHeight w:val="274"/>
        </w:trPr>
        <w:tc>
          <w:tcPr>
            <w:tcW w:w="1685" w:type="pct"/>
          </w:tcPr>
          <w:p w:rsidR="00B7706E" w:rsidRPr="00162986" w:rsidRDefault="00E22E49">
            <w:pPr>
              <w:widowControl w:val="0"/>
              <w:tabs>
                <w:tab w:val="left" w:pos="1108"/>
              </w:tabs>
              <w:spacing w:line="240" w:lineRule="auto"/>
              <w:jc w:val="both"/>
              <w:rPr>
                <w:rFonts w:ascii="Times New Roman" w:eastAsia="Times New Roman" w:hAnsi="Times New Roman" w:cs="Times New Roman"/>
                <w:b/>
                <w:sz w:val="26"/>
                <w:szCs w:val="26"/>
              </w:rPr>
            </w:pPr>
            <w:r w:rsidRPr="00162986">
              <w:rPr>
                <w:rFonts w:ascii="Times New Roman" w:eastAsia="Times New Roman" w:hAnsi="Times New Roman" w:cs="Times New Roman"/>
                <w:b/>
                <w:sz w:val="26"/>
                <w:szCs w:val="26"/>
              </w:rPr>
              <w:t xml:space="preserve">Альтернатива 1 </w:t>
            </w:r>
          </w:p>
          <w:p w:rsidR="00B7706E" w:rsidRPr="00162986" w:rsidRDefault="00E22E49">
            <w:pPr>
              <w:widowControl w:val="0"/>
              <w:tabs>
                <w:tab w:val="left" w:pos="1108"/>
              </w:tabs>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 xml:space="preserve">Залишення існуючої на даний момент ситуації без змін. </w:t>
            </w:r>
          </w:p>
          <w:p w:rsidR="00B7706E" w:rsidRPr="00162986" w:rsidRDefault="00B7706E">
            <w:pPr>
              <w:widowControl w:val="0"/>
              <w:tabs>
                <w:tab w:val="left" w:pos="1108"/>
              </w:tabs>
              <w:spacing w:line="240" w:lineRule="auto"/>
              <w:jc w:val="both"/>
              <w:rPr>
                <w:rFonts w:ascii="Times New Roman" w:eastAsia="Times New Roman" w:hAnsi="Times New Roman" w:cs="Times New Roman"/>
                <w:sz w:val="26"/>
                <w:szCs w:val="26"/>
              </w:rPr>
            </w:pPr>
          </w:p>
          <w:p w:rsidR="00B7706E" w:rsidRPr="00162986" w:rsidRDefault="00B7706E">
            <w:pPr>
              <w:widowControl w:val="0"/>
              <w:tabs>
                <w:tab w:val="left" w:pos="1108"/>
              </w:tabs>
              <w:spacing w:line="240" w:lineRule="auto"/>
              <w:jc w:val="both"/>
              <w:rPr>
                <w:rFonts w:ascii="Times New Roman" w:eastAsia="Times New Roman" w:hAnsi="Times New Roman" w:cs="Times New Roman"/>
                <w:sz w:val="26"/>
                <w:szCs w:val="26"/>
              </w:rPr>
            </w:pPr>
          </w:p>
          <w:p w:rsidR="00B7706E" w:rsidRPr="00162986" w:rsidRDefault="00B7706E">
            <w:pPr>
              <w:widowControl w:val="0"/>
              <w:tabs>
                <w:tab w:val="left" w:pos="1108"/>
              </w:tabs>
              <w:spacing w:line="240" w:lineRule="auto"/>
              <w:jc w:val="both"/>
              <w:rPr>
                <w:rFonts w:ascii="Times New Roman" w:eastAsia="Times New Roman" w:hAnsi="Times New Roman" w:cs="Times New Roman"/>
                <w:sz w:val="26"/>
                <w:szCs w:val="26"/>
              </w:rPr>
            </w:pPr>
          </w:p>
        </w:tc>
        <w:tc>
          <w:tcPr>
            <w:tcW w:w="3315" w:type="pct"/>
          </w:tcPr>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Така альтернатива не забезпечує досягнення цілей державного регулювання (не забезпечує визначення порядку обміну інформації, та порядку</w:t>
            </w:r>
            <w:r w:rsidRPr="00162986">
              <w:rPr>
                <w:sz w:val="26"/>
                <w:szCs w:val="26"/>
              </w:rPr>
              <w:t xml:space="preserve"> </w:t>
            </w:r>
            <w:r w:rsidRPr="00162986">
              <w:rPr>
                <w:rFonts w:ascii="Times New Roman" w:eastAsia="Times New Roman" w:hAnsi="Times New Roman" w:cs="Times New Roman"/>
                <w:sz w:val="26"/>
                <w:szCs w:val="26"/>
              </w:rPr>
              <w:t>ведення та оприлюднення бази даних енергетичних аудиторів оскільки в чинних нормативно-правових актів цей механізм відсутній), визначених в частині дев’ятої статті 11 та частини шостої та сьомої статті 11 Закону України “Про енергетичну ефективність”.</w:t>
            </w:r>
          </w:p>
        </w:tc>
      </w:tr>
      <w:tr w:rsidR="00B7706E" w:rsidRPr="00162986" w:rsidTr="000D17B5">
        <w:tc>
          <w:tcPr>
            <w:tcW w:w="1685" w:type="pct"/>
          </w:tcPr>
          <w:p w:rsidR="00B7706E" w:rsidRPr="00162986" w:rsidRDefault="00E22E49">
            <w:pPr>
              <w:widowControl w:val="0"/>
              <w:tabs>
                <w:tab w:val="left" w:pos="1108"/>
              </w:tabs>
              <w:spacing w:line="240" w:lineRule="auto"/>
              <w:jc w:val="both"/>
              <w:rPr>
                <w:rFonts w:ascii="Times New Roman" w:eastAsia="Times New Roman" w:hAnsi="Times New Roman" w:cs="Times New Roman"/>
                <w:b/>
                <w:sz w:val="26"/>
                <w:szCs w:val="26"/>
              </w:rPr>
            </w:pPr>
            <w:r w:rsidRPr="00162986">
              <w:rPr>
                <w:rFonts w:ascii="Times New Roman" w:eastAsia="Times New Roman" w:hAnsi="Times New Roman" w:cs="Times New Roman"/>
                <w:b/>
                <w:sz w:val="26"/>
                <w:szCs w:val="26"/>
              </w:rPr>
              <w:t xml:space="preserve">Альтернатива 2. </w:t>
            </w:r>
          </w:p>
          <w:p w:rsidR="00B7706E" w:rsidRPr="00162986" w:rsidRDefault="00E22E49">
            <w:pPr>
              <w:widowControl w:val="0"/>
              <w:tabs>
                <w:tab w:val="left" w:pos="1108"/>
              </w:tabs>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Прийняття регуляторного акта.</w:t>
            </w:r>
          </w:p>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 xml:space="preserve">Забезпечить досягнення цілей державного </w:t>
            </w:r>
            <w:r w:rsidRPr="00162986">
              <w:rPr>
                <w:rFonts w:ascii="Times New Roman" w:eastAsia="Times New Roman" w:hAnsi="Times New Roman" w:cs="Times New Roman"/>
                <w:sz w:val="26"/>
                <w:szCs w:val="26"/>
              </w:rPr>
              <w:lastRenderedPageBreak/>
              <w:t>регулювання.</w:t>
            </w:r>
          </w:p>
        </w:tc>
        <w:tc>
          <w:tcPr>
            <w:tcW w:w="3315" w:type="pct"/>
          </w:tcPr>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lastRenderedPageBreak/>
              <w:t xml:space="preserve">Така альтернатива досягнення цілей державного регулювання є найбільш прийнятним та ефективним способом, оскільки прийняття регуляторного акта ліквідує неврегульованість питання щодо обміну інформацією між кваліфікаційними організаціями та Держенергоефективності з питання підтвердження кваліфікації осіб, які мають намір провадити </w:t>
            </w:r>
            <w:r w:rsidRPr="00162986">
              <w:rPr>
                <w:rFonts w:ascii="Times New Roman" w:eastAsia="Times New Roman" w:hAnsi="Times New Roman" w:cs="Times New Roman"/>
                <w:sz w:val="26"/>
                <w:szCs w:val="26"/>
              </w:rPr>
              <w:lastRenderedPageBreak/>
              <w:t>діяльність із здійснення енергетичних аудитів.</w:t>
            </w:r>
          </w:p>
        </w:tc>
      </w:tr>
    </w:tbl>
    <w:p w:rsidR="00B7706E" w:rsidRPr="00DB5EA1" w:rsidRDefault="00B7706E">
      <w:pPr>
        <w:spacing w:after="0" w:line="240" w:lineRule="auto"/>
        <w:jc w:val="both"/>
        <w:rPr>
          <w:rFonts w:ascii="Times New Roman" w:eastAsia="Times New Roman" w:hAnsi="Times New Roman" w:cs="Times New Roman"/>
          <w:sz w:val="28"/>
          <w:szCs w:val="28"/>
        </w:rPr>
      </w:pPr>
    </w:p>
    <w:p w:rsidR="000D17B5" w:rsidRDefault="000D17B5">
      <w:pPr>
        <w:spacing w:after="0" w:line="240" w:lineRule="auto"/>
        <w:jc w:val="both"/>
        <w:rPr>
          <w:rFonts w:ascii="Times New Roman" w:eastAsia="Times New Roman" w:hAnsi="Times New Roman" w:cs="Times New Roman"/>
          <w:sz w:val="28"/>
          <w:szCs w:val="28"/>
        </w:rPr>
      </w:pPr>
    </w:p>
    <w:p w:rsidR="000D17B5" w:rsidRDefault="000D17B5">
      <w:pPr>
        <w:spacing w:after="0" w:line="240" w:lineRule="auto"/>
        <w:jc w:val="both"/>
        <w:rPr>
          <w:rFonts w:ascii="Times New Roman" w:eastAsia="Times New Roman" w:hAnsi="Times New Roman" w:cs="Times New Roman"/>
          <w:sz w:val="28"/>
          <w:szCs w:val="28"/>
        </w:rPr>
      </w:pPr>
    </w:p>
    <w:p w:rsidR="00B7706E" w:rsidRPr="00DB5EA1" w:rsidRDefault="00E22E49">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2. Оцінка обраних альтернат</w:t>
      </w:r>
      <w:r w:rsidR="00DB5EA1">
        <w:rPr>
          <w:rFonts w:ascii="Times New Roman" w:eastAsia="Times New Roman" w:hAnsi="Times New Roman" w:cs="Times New Roman"/>
          <w:sz w:val="28"/>
          <w:szCs w:val="28"/>
        </w:rPr>
        <w:t>ивних способів досягнення цілей</w:t>
      </w:r>
    </w:p>
    <w:p w:rsidR="00B7706E" w:rsidRDefault="00E22E4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впливу на сферу інтересів держави</w:t>
      </w: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9"/>
        <w:gridCol w:w="3188"/>
        <w:gridCol w:w="3657"/>
      </w:tblGrid>
      <w:tr w:rsidR="00B7706E" w:rsidRPr="00162986" w:rsidTr="003074FF">
        <w:tc>
          <w:tcPr>
            <w:tcW w:w="1429" w:type="pct"/>
          </w:tcPr>
          <w:p w:rsidR="00B7706E" w:rsidRPr="00162986" w:rsidRDefault="00E22E49">
            <w:pPr>
              <w:widowControl w:val="0"/>
              <w:spacing w:line="240" w:lineRule="auto"/>
              <w:ind w:left="103"/>
              <w:jc w:val="both"/>
              <w:rPr>
                <w:rFonts w:ascii="Times New Roman" w:eastAsia="Times New Roman" w:hAnsi="Times New Roman" w:cs="Times New Roman"/>
                <w:sz w:val="26"/>
                <w:szCs w:val="26"/>
              </w:rPr>
            </w:pPr>
            <w:r w:rsidRPr="00162986">
              <w:rPr>
                <w:rFonts w:ascii="Times New Roman" w:eastAsia="Times New Roman" w:hAnsi="Times New Roman" w:cs="Times New Roman"/>
                <w:b/>
                <w:sz w:val="26"/>
                <w:szCs w:val="26"/>
              </w:rPr>
              <w:t>Вид альтернативи</w:t>
            </w:r>
          </w:p>
        </w:tc>
        <w:tc>
          <w:tcPr>
            <w:tcW w:w="1663" w:type="pct"/>
          </w:tcPr>
          <w:p w:rsidR="00B7706E" w:rsidRPr="00162986" w:rsidRDefault="00E22E49">
            <w:pPr>
              <w:widowControl w:val="0"/>
              <w:spacing w:line="240" w:lineRule="auto"/>
              <w:ind w:left="103"/>
              <w:jc w:val="both"/>
              <w:rPr>
                <w:rFonts w:ascii="Times New Roman" w:eastAsia="Times New Roman" w:hAnsi="Times New Roman" w:cs="Times New Roman"/>
                <w:sz w:val="26"/>
                <w:szCs w:val="26"/>
              </w:rPr>
            </w:pPr>
            <w:r w:rsidRPr="00162986">
              <w:rPr>
                <w:rFonts w:ascii="Times New Roman" w:eastAsia="Times New Roman" w:hAnsi="Times New Roman" w:cs="Times New Roman"/>
                <w:b/>
                <w:sz w:val="26"/>
                <w:szCs w:val="26"/>
              </w:rPr>
              <w:t>Вигоди</w:t>
            </w:r>
          </w:p>
        </w:tc>
        <w:tc>
          <w:tcPr>
            <w:tcW w:w="1908" w:type="pct"/>
          </w:tcPr>
          <w:p w:rsidR="00B7706E" w:rsidRPr="00162986" w:rsidRDefault="00E22E49">
            <w:pPr>
              <w:widowControl w:val="0"/>
              <w:spacing w:line="240" w:lineRule="auto"/>
              <w:ind w:left="103"/>
              <w:jc w:val="both"/>
              <w:rPr>
                <w:rFonts w:ascii="Times New Roman" w:eastAsia="Times New Roman" w:hAnsi="Times New Roman" w:cs="Times New Roman"/>
                <w:sz w:val="26"/>
                <w:szCs w:val="26"/>
              </w:rPr>
            </w:pPr>
            <w:r w:rsidRPr="00162986">
              <w:rPr>
                <w:rFonts w:ascii="Times New Roman" w:eastAsia="Times New Roman" w:hAnsi="Times New Roman" w:cs="Times New Roman"/>
                <w:b/>
                <w:sz w:val="26"/>
                <w:szCs w:val="26"/>
              </w:rPr>
              <w:t>Витрати</w:t>
            </w:r>
          </w:p>
        </w:tc>
      </w:tr>
      <w:tr w:rsidR="00B7706E" w:rsidRPr="00162986" w:rsidTr="003074FF">
        <w:trPr>
          <w:trHeight w:val="425"/>
        </w:trPr>
        <w:tc>
          <w:tcPr>
            <w:tcW w:w="1429" w:type="pct"/>
          </w:tcPr>
          <w:p w:rsidR="00B7706E" w:rsidRPr="00162986" w:rsidRDefault="00E22E49">
            <w:pPr>
              <w:widowControl w:val="0"/>
              <w:tabs>
                <w:tab w:val="left" w:pos="1279"/>
              </w:tabs>
              <w:spacing w:line="240" w:lineRule="auto"/>
              <w:ind w:left="103" w:right="-75"/>
              <w:jc w:val="both"/>
              <w:rPr>
                <w:rFonts w:ascii="Times New Roman" w:eastAsia="Times New Roman" w:hAnsi="Times New Roman" w:cs="Times New Roman"/>
                <w:sz w:val="26"/>
                <w:szCs w:val="26"/>
              </w:rPr>
            </w:pPr>
            <w:r w:rsidRPr="00162986">
              <w:rPr>
                <w:rFonts w:ascii="Times New Roman" w:eastAsia="Times New Roman" w:hAnsi="Times New Roman" w:cs="Times New Roman"/>
                <w:b/>
                <w:sz w:val="26"/>
                <w:szCs w:val="26"/>
              </w:rPr>
              <w:t>Альтернатива 1</w:t>
            </w:r>
            <w:r w:rsidRPr="00162986">
              <w:rPr>
                <w:rFonts w:ascii="Times New Roman" w:eastAsia="Times New Roman" w:hAnsi="Times New Roman" w:cs="Times New Roman"/>
                <w:sz w:val="26"/>
                <w:szCs w:val="26"/>
              </w:rPr>
              <w:t xml:space="preserve"> Залишення існуючої на даний момент  ситуації без змін.</w:t>
            </w:r>
          </w:p>
        </w:tc>
        <w:tc>
          <w:tcPr>
            <w:tcW w:w="1663" w:type="pct"/>
          </w:tcPr>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Відсутні.</w:t>
            </w:r>
          </w:p>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 xml:space="preserve">Ситуація залишається на існуючому рівні.  </w:t>
            </w:r>
          </w:p>
        </w:tc>
        <w:tc>
          <w:tcPr>
            <w:tcW w:w="1908" w:type="pct"/>
          </w:tcPr>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Відсутні.</w:t>
            </w:r>
          </w:p>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Альтернатива є неприйнятною, оскільки не забезпечує досягнення цілей державного регулювання.</w:t>
            </w:r>
          </w:p>
        </w:tc>
      </w:tr>
      <w:tr w:rsidR="00B7706E" w:rsidRPr="00162986" w:rsidTr="003074FF">
        <w:tc>
          <w:tcPr>
            <w:tcW w:w="1429" w:type="pct"/>
          </w:tcPr>
          <w:p w:rsidR="00B7706E" w:rsidRPr="00162986" w:rsidRDefault="00E22E49">
            <w:pPr>
              <w:widowControl w:val="0"/>
              <w:spacing w:line="240" w:lineRule="auto"/>
              <w:ind w:left="103" w:right="-75"/>
              <w:jc w:val="both"/>
              <w:rPr>
                <w:rFonts w:ascii="Times New Roman" w:eastAsia="Times New Roman" w:hAnsi="Times New Roman" w:cs="Times New Roman"/>
                <w:sz w:val="26"/>
                <w:szCs w:val="26"/>
              </w:rPr>
            </w:pPr>
            <w:r w:rsidRPr="00162986">
              <w:rPr>
                <w:rFonts w:ascii="Times New Roman" w:eastAsia="Times New Roman" w:hAnsi="Times New Roman" w:cs="Times New Roman"/>
                <w:b/>
                <w:sz w:val="26"/>
                <w:szCs w:val="26"/>
              </w:rPr>
              <w:t xml:space="preserve">Альтернатива 2. </w:t>
            </w:r>
            <w:r w:rsidRPr="00162986">
              <w:rPr>
                <w:rFonts w:ascii="Times New Roman" w:eastAsia="Times New Roman" w:hAnsi="Times New Roman" w:cs="Times New Roman"/>
                <w:sz w:val="26"/>
                <w:szCs w:val="26"/>
              </w:rPr>
              <w:t>Прийняття регуляторного акта.</w:t>
            </w:r>
          </w:p>
          <w:p w:rsidR="00B7706E" w:rsidRPr="00162986" w:rsidRDefault="00E22E49">
            <w:pPr>
              <w:widowControl w:val="0"/>
              <w:spacing w:line="240" w:lineRule="auto"/>
              <w:ind w:right="-75"/>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Забезпечить досягнення цілей державного регулювання.</w:t>
            </w:r>
          </w:p>
          <w:p w:rsidR="00B7706E" w:rsidRPr="00162986" w:rsidRDefault="00B7706E">
            <w:pPr>
              <w:widowControl w:val="0"/>
              <w:spacing w:line="240" w:lineRule="auto"/>
              <w:ind w:left="103" w:right="-75"/>
              <w:jc w:val="both"/>
              <w:rPr>
                <w:rFonts w:ascii="Times New Roman" w:eastAsia="Times New Roman" w:hAnsi="Times New Roman" w:cs="Times New Roman"/>
                <w:sz w:val="26"/>
                <w:szCs w:val="26"/>
              </w:rPr>
            </w:pPr>
          </w:p>
        </w:tc>
        <w:tc>
          <w:tcPr>
            <w:tcW w:w="1663" w:type="pct"/>
          </w:tcPr>
          <w:p w:rsidR="00B7706E" w:rsidRPr="00162986" w:rsidRDefault="00E22E49">
            <w:pPr>
              <w:widowControl w:val="0"/>
              <w:tabs>
                <w:tab w:val="left" w:pos="2851"/>
              </w:tabs>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Наявні.</w:t>
            </w:r>
          </w:p>
          <w:p w:rsidR="00B7706E" w:rsidRPr="00162986" w:rsidRDefault="00E22E49">
            <w:pPr>
              <w:widowControl w:val="0"/>
              <w:tabs>
                <w:tab w:val="left" w:pos="2851"/>
              </w:tabs>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Дозволить на рівні нормативно-правового акта врегулювати механізм обміну інформацією між Держенергоефективності та кваліфікаційними організаціями щодо підтвердження кваліфікації енергетичних аудиторів. Створить позитивний імідж держави, що підтримує інноваційний розвиток, враховуючи тенденції в країнах ЄС.</w:t>
            </w:r>
          </w:p>
        </w:tc>
        <w:tc>
          <w:tcPr>
            <w:tcW w:w="1908" w:type="pct"/>
          </w:tcPr>
          <w:p w:rsidR="00B7706E" w:rsidRPr="00162986" w:rsidRDefault="00E22E49">
            <w:pPr>
              <w:widowControl w:val="0"/>
              <w:tabs>
                <w:tab w:val="left" w:pos="2057"/>
                <w:tab w:val="left" w:pos="2399"/>
              </w:tabs>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Відсутні.</w:t>
            </w:r>
          </w:p>
          <w:p w:rsidR="00B7706E" w:rsidRPr="00162986" w:rsidRDefault="00E22E49">
            <w:pPr>
              <w:widowControl w:val="0"/>
              <w:tabs>
                <w:tab w:val="left" w:pos="2057"/>
                <w:tab w:val="left" w:pos="2399"/>
              </w:tabs>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Реалізація положень акта не потребує додаткових матеріальних чи інших витрат.</w:t>
            </w:r>
          </w:p>
        </w:tc>
      </w:tr>
    </w:tbl>
    <w:p w:rsidR="00B7706E" w:rsidRPr="00DC48B8" w:rsidRDefault="00B7706E">
      <w:pPr>
        <w:spacing w:after="0" w:line="240" w:lineRule="auto"/>
        <w:ind w:firstLine="709"/>
        <w:jc w:val="both"/>
        <w:rPr>
          <w:rFonts w:ascii="Times New Roman" w:eastAsia="Times New Roman" w:hAnsi="Times New Roman" w:cs="Times New Roman"/>
          <w:sz w:val="28"/>
          <w:szCs w:val="28"/>
          <w:lang w:val="ru-RU"/>
        </w:rPr>
      </w:pPr>
    </w:p>
    <w:p w:rsidR="00B7706E" w:rsidRDefault="00E22E49">
      <w:pPr>
        <w:widowControl w:val="0"/>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впливу на сферу інтересів громадян</w:t>
      </w: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3"/>
        <w:gridCol w:w="3711"/>
        <w:gridCol w:w="3090"/>
      </w:tblGrid>
      <w:tr w:rsidR="00B7706E" w:rsidRPr="00162986" w:rsidTr="003074FF">
        <w:tc>
          <w:tcPr>
            <w:tcW w:w="1452" w:type="pct"/>
          </w:tcPr>
          <w:p w:rsidR="00B7706E" w:rsidRPr="00162986" w:rsidRDefault="00E22E49">
            <w:pPr>
              <w:widowControl w:val="0"/>
              <w:spacing w:line="240" w:lineRule="auto"/>
              <w:ind w:left="103"/>
              <w:jc w:val="both"/>
              <w:rPr>
                <w:rFonts w:ascii="Times New Roman" w:eastAsia="Times New Roman" w:hAnsi="Times New Roman" w:cs="Times New Roman"/>
                <w:sz w:val="26"/>
                <w:szCs w:val="26"/>
              </w:rPr>
            </w:pPr>
            <w:r w:rsidRPr="00162986">
              <w:rPr>
                <w:rFonts w:ascii="Times New Roman" w:eastAsia="Times New Roman" w:hAnsi="Times New Roman" w:cs="Times New Roman"/>
                <w:b/>
                <w:sz w:val="26"/>
                <w:szCs w:val="26"/>
              </w:rPr>
              <w:t>Вид альтернативи</w:t>
            </w:r>
          </w:p>
        </w:tc>
        <w:tc>
          <w:tcPr>
            <w:tcW w:w="1936" w:type="pct"/>
          </w:tcPr>
          <w:p w:rsidR="00B7706E" w:rsidRPr="003074FF" w:rsidRDefault="00E22E49">
            <w:pPr>
              <w:widowControl w:val="0"/>
              <w:spacing w:line="240" w:lineRule="auto"/>
              <w:ind w:left="100"/>
              <w:jc w:val="both"/>
              <w:rPr>
                <w:rFonts w:ascii="Times New Roman" w:eastAsia="Times New Roman" w:hAnsi="Times New Roman" w:cs="Times New Roman"/>
                <w:sz w:val="26"/>
                <w:szCs w:val="26"/>
              </w:rPr>
            </w:pPr>
            <w:r w:rsidRPr="003074FF">
              <w:rPr>
                <w:rFonts w:ascii="Times New Roman" w:eastAsia="Times New Roman" w:hAnsi="Times New Roman" w:cs="Times New Roman"/>
                <w:sz w:val="26"/>
                <w:szCs w:val="26"/>
              </w:rPr>
              <w:t>Вигоди</w:t>
            </w:r>
          </w:p>
        </w:tc>
        <w:tc>
          <w:tcPr>
            <w:tcW w:w="1612" w:type="pct"/>
          </w:tcPr>
          <w:p w:rsidR="00B7706E" w:rsidRPr="003074FF" w:rsidRDefault="00E22E49">
            <w:pPr>
              <w:widowControl w:val="0"/>
              <w:spacing w:line="240" w:lineRule="auto"/>
              <w:ind w:left="100"/>
              <w:jc w:val="both"/>
              <w:rPr>
                <w:rFonts w:ascii="Times New Roman" w:eastAsia="Times New Roman" w:hAnsi="Times New Roman" w:cs="Times New Roman"/>
                <w:sz w:val="26"/>
                <w:szCs w:val="26"/>
              </w:rPr>
            </w:pPr>
            <w:r w:rsidRPr="003074FF">
              <w:rPr>
                <w:rFonts w:ascii="Times New Roman" w:eastAsia="Times New Roman" w:hAnsi="Times New Roman" w:cs="Times New Roman"/>
                <w:sz w:val="26"/>
                <w:szCs w:val="26"/>
              </w:rPr>
              <w:t>Витрати</w:t>
            </w:r>
          </w:p>
        </w:tc>
      </w:tr>
      <w:tr w:rsidR="00B7706E" w:rsidRPr="00162986" w:rsidTr="003074FF">
        <w:tc>
          <w:tcPr>
            <w:tcW w:w="1452" w:type="pct"/>
          </w:tcPr>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b/>
                <w:sz w:val="26"/>
                <w:szCs w:val="26"/>
              </w:rPr>
              <w:t>Альтернатива1</w:t>
            </w:r>
            <w:r w:rsidRPr="00162986">
              <w:rPr>
                <w:rFonts w:ascii="Times New Roman" w:eastAsia="Times New Roman" w:hAnsi="Times New Roman" w:cs="Times New Roman"/>
                <w:sz w:val="26"/>
                <w:szCs w:val="26"/>
              </w:rPr>
              <w:t xml:space="preserve"> Залишення існуючої на даний момент  ситуації без змін.</w:t>
            </w:r>
          </w:p>
        </w:tc>
        <w:tc>
          <w:tcPr>
            <w:tcW w:w="1936" w:type="pct"/>
          </w:tcPr>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Відсутні.</w:t>
            </w:r>
          </w:p>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Ситуація залишається на існуючому рівні.</w:t>
            </w:r>
          </w:p>
        </w:tc>
        <w:tc>
          <w:tcPr>
            <w:tcW w:w="1612" w:type="pct"/>
          </w:tcPr>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Відсутні.</w:t>
            </w:r>
          </w:p>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 xml:space="preserve">Альтернатива є неприйнятною, оскільки не забезпечує досягнення цілей державного регулювання. </w:t>
            </w:r>
          </w:p>
        </w:tc>
      </w:tr>
      <w:tr w:rsidR="00B7706E" w:rsidRPr="00162986" w:rsidTr="003074FF">
        <w:trPr>
          <w:trHeight w:val="303"/>
        </w:trPr>
        <w:tc>
          <w:tcPr>
            <w:tcW w:w="1452" w:type="pct"/>
          </w:tcPr>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b/>
                <w:sz w:val="26"/>
                <w:szCs w:val="26"/>
              </w:rPr>
              <w:t>Альтернатива2</w:t>
            </w:r>
            <w:r w:rsidRPr="00162986">
              <w:rPr>
                <w:rFonts w:ascii="Times New Roman" w:eastAsia="Times New Roman" w:hAnsi="Times New Roman" w:cs="Times New Roman"/>
                <w:sz w:val="26"/>
                <w:szCs w:val="26"/>
              </w:rPr>
              <w:t xml:space="preserve"> Прийняття проекту акта.</w:t>
            </w:r>
          </w:p>
        </w:tc>
        <w:tc>
          <w:tcPr>
            <w:tcW w:w="1936" w:type="pct"/>
          </w:tcPr>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Наявні.</w:t>
            </w:r>
            <w:r w:rsidR="000D17B5">
              <w:rPr>
                <w:rFonts w:ascii="Times New Roman" w:eastAsia="Times New Roman" w:hAnsi="Times New Roman" w:cs="Times New Roman"/>
                <w:sz w:val="26"/>
                <w:szCs w:val="26"/>
              </w:rPr>
              <w:t xml:space="preserve"> </w:t>
            </w:r>
            <w:r w:rsidRPr="00162986">
              <w:rPr>
                <w:rFonts w:ascii="Times New Roman" w:eastAsia="Times New Roman" w:hAnsi="Times New Roman" w:cs="Times New Roman"/>
                <w:sz w:val="26"/>
                <w:szCs w:val="26"/>
              </w:rPr>
              <w:t xml:space="preserve">Прийняття проєкту акта призведе до підвищення прозорості у підтвердженні </w:t>
            </w:r>
            <w:r w:rsidRPr="00162986">
              <w:rPr>
                <w:rFonts w:ascii="Times New Roman" w:eastAsia="Times New Roman" w:hAnsi="Times New Roman" w:cs="Times New Roman"/>
                <w:sz w:val="26"/>
                <w:szCs w:val="26"/>
              </w:rPr>
              <w:lastRenderedPageBreak/>
              <w:t>кваліфікації осіб, які мають намір провадити діяльність із здійснення енергетичного аудиту.</w:t>
            </w:r>
          </w:p>
        </w:tc>
        <w:tc>
          <w:tcPr>
            <w:tcW w:w="1612" w:type="pct"/>
          </w:tcPr>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lastRenderedPageBreak/>
              <w:t>Відсутні.</w:t>
            </w:r>
          </w:p>
          <w:p w:rsidR="00B7706E" w:rsidRPr="00162986" w:rsidRDefault="00E22E49">
            <w:pPr>
              <w:widowControl w:val="0"/>
              <w:spacing w:line="240" w:lineRule="auto"/>
              <w:jc w:val="both"/>
              <w:rPr>
                <w:rFonts w:ascii="Times New Roman" w:eastAsia="Times New Roman" w:hAnsi="Times New Roman" w:cs="Times New Roman"/>
                <w:sz w:val="26"/>
                <w:szCs w:val="26"/>
              </w:rPr>
            </w:pPr>
            <w:r w:rsidRPr="00162986">
              <w:rPr>
                <w:rFonts w:ascii="Times New Roman" w:eastAsia="Times New Roman" w:hAnsi="Times New Roman" w:cs="Times New Roman"/>
                <w:sz w:val="26"/>
                <w:szCs w:val="26"/>
              </w:rPr>
              <w:t xml:space="preserve">Реалізація положень акта не потребує додаткових </w:t>
            </w:r>
            <w:r w:rsidRPr="00162986">
              <w:rPr>
                <w:rFonts w:ascii="Times New Roman" w:eastAsia="Times New Roman" w:hAnsi="Times New Roman" w:cs="Times New Roman"/>
                <w:sz w:val="26"/>
                <w:szCs w:val="26"/>
              </w:rPr>
              <w:lastRenderedPageBreak/>
              <w:t>матеріальних чи інших витрат.</w:t>
            </w:r>
          </w:p>
          <w:p w:rsidR="00B7706E" w:rsidRPr="00162986" w:rsidRDefault="00B7706E">
            <w:pPr>
              <w:widowControl w:val="0"/>
              <w:spacing w:line="240" w:lineRule="auto"/>
              <w:jc w:val="both"/>
              <w:rPr>
                <w:rFonts w:ascii="Times New Roman" w:eastAsia="Times New Roman" w:hAnsi="Times New Roman" w:cs="Times New Roman"/>
                <w:sz w:val="26"/>
                <w:szCs w:val="26"/>
              </w:rPr>
            </w:pPr>
          </w:p>
        </w:tc>
      </w:tr>
    </w:tbl>
    <w:p w:rsidR="008A6755" w:rsidRDefault="008A6755">
      <w:pPr>
        <w:spacing w:after="0" w:line="240" w:lineRule="auto"/>
        <w:ind w:firstLine="708"/>
        <w:jc w:val="both"/>
        <w:rPr>
          <w:rFonts w:ascii="Times New Roman" w:eastAsia="Times New Roman" w:hAnsi="Times New Roman" w:cs="Times New Roman"/>
          <w:sz w:val="28"/>
          <w:szCs w:val="28"/>
          <w:lang w:val="ru-RU"/>
        </w:rPr>
      </w:pPr>
    </w:p>
    <w:p w:rsidR="00B7706E" w:rsidRPr="00F26059" w:rsidRDefault="00DC48B8" w:rsidP="00F26059">
      <w:pPr>
        <w:spacing w:after="0" w:line="240" w:lineRule="auto"/>
        <w:ind w:firstLine="70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rPr>
        <w:t>плив</w:t>
      </w:r>
      <w:r w:rsidR="00E22E49">
        <w:rPr>
          <w:rFonts w:ascii="Times New Roman" w:eastAsia="Times New Roman" w:hAnsi="Times New Roman" w:cs="Times New Roman"/>
          <w:sz w:val="28"/>
          <w:szCs w:val="28"/>
        </w:rPr>
        <w:t xml:space="preserve"> на сферу інтересів суб’єктів господарювання</w:t>
      </w:r>
      <w:r>
        <w:rPr>
          <w:rFonts w:ascii="Times New Roman" w:eastAsia="Times New Roman" w:hAnsi="Times New Roman" w:cs="Times New Roman"/>
          <w:sz w:val="28"/>
          <w:szCs w:val="28"/>
          <w:lang w:val="ru-RU"/>
        </w:rPr>
        <w:t xml:space="preserve"> відсутній</w:t>
      </w:r>
      <w:r w:rsidR="00F26059" w:rsidRPr="00F26059">
        <w:rPr>
          <w:rFonts w:ascii="Times New Roman" w:eastAsia="Times New Roman" w:hAnsi="Times New Roman" w:cs="Times New Roman"/>
          <w:sz w:val="28"/>
          <w:szCs w:val="28"/>
          <w:lang w:val="ru-RU"/>
        </w:rPr>
        <w:t xml:space="preserve"> </w:t>
      </w:r>
    </w:p>
    <w:p w:rsidR="00F26059" w:rsidRPr="00F26059" w:rsidRDefault="00F26059" w:rsidP="00F26059">
      <w:pPr>
        <w:spacing w:after="0" w:line="240" w:lineRule="auto"/>
        <w:ind w:firstLine="708"/>
        <w:jc w:val="both"/>
        <w:rPr>
          <w:rFonts w:ascii="Times New Roman" w:eastAsia="Times New Roman" w:hAnsi="Times New Roman" w:cs="Times New Roman"/>
          <w:color w:val="0000FF"/>
          <w:sz w:val="28"/>
          <w:szCs w:val="28"/>
          <w:highlight w:val="yellow"/>
          <w:lang w:val="ru-RU"/>
        </w:rPr>
      </w:pPr>
    </w:p>
    <w:tbl>
      <w:tblPr>
        <w:tblStyle w:val="a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5"/>
        <w:gridCol w:w="3483"/>
        <w:gridCol w:w="3586"/>
      </w:tblGrid>
      <w:tr w:rsidR="00B7706E" w:rsidRPr="000D17B5" w:rsidTr="00162986">
        <w:tc>
          <w:tcPr>
            <w:tcW w:w="1312" w:type="pct"/>
          </w:tcPr>
          <w:p w:rsidR="00B7706E" w:rsidRPr="000D17B5" w:rsidRDefault="00E22E49">
            <w:pPr>
              <w:widowControl w:val="0"/>
              <w:spacing w:line="240" w:lineRule="auto"/>
              <w:ind w:left="103" w:right="100"/>
              <w:jc w:val="both"/>
              <w:rPr>
                <w:rFonts w:ascii="Times New Roman" w:eastAsia="Times New Roman" w:hAnsi="Times New Roman" w:cs="Times New Roman"/>
                <w:sz w:val="26"/>
                <w:szCs w:val="26"/>
              </w:rPr>
            </w:pPr>
            <w:r w:rsidRPr="000D17B5">
              <w:rPr>
                <w:rFonts w:ascii="Times New Roman" w:eastAsia="Times New Roman" w:hAnsi="Times New Roman" w:cs="Times New Roman"/>
                <w:b/>
                <w:sz w:val="26"/>
                <w:szCs w:val="26"/>
              </w:rPr>
              <w:t>Вид альтернативи</w:t>
            </w:r>
          </w:p>
        </w:tc>
        <w:tc>
          <w:tcPr>
            <w:tcW w:w="1817" w:type="pct"/>
          </w:tcPr>
          <w:p w:rsidR="00B7706E" w:rsidRPr="000D17B5" w:rsidRDefault="00E22E49">
            <w:pPr>
              <w:widowControl w:val="0"/>
              <w:spacing w:line="240" w:lineRule="auto"/>
              <w:ind w:left="100" w:right="97"/>
              <w:jc w:val="both"/>
              <w:rPr>
                <w:rFonts w:ascii="Times New Roman" w:eastAsia="Times New Roman" w:hAnsi="Times New Roman" w:cs="Times New Roman"/>
                <w:sz w:val="26"/>
                <w:szCs w:val="26"/>
              </w:rPr>
            </w:pPr>
            <w:r w:rsidRPr="000D17B5">
              <w:rPr>
                <w:rFonts w:ascii="Times New Roman" w:eastAsia="Times New Roman" w:hAnsi="Times New Roman" w:cs="Times New Roman"/>
                <w:b/>
                <w:sz w:val="26"/>
                <w:szCs w:val="26"/>
              </w:rPr>
              <w:t>Вигоди</w:t>
            </w:r>
          </w:p>
        </w:tc>
        <w:tc>
          <w:tcPr>
            <w:tcW w:w="1871" w:type="pct"/>
          </w:tcPr>
          <w:p w:rsidR="00B7706E" w:rsidRPr="000D17B5" w:rsidRDefault="00E22E49">
            <w:pPr>
              <w:widowControl w:val="0"/>
              <w:spacing w:line="240" w:lineRule="auto"/>
              <w:ind w:left="103"/>
              <w:jc w:val="both"/>
              <w:rPr>
                <w:rFonts w:ascii="Times New Roman" w:eastAsia="Times New Roman" w:hAnsi="Times New Roman" w:cs="Times New Roman"/>
                <w:sz w:val="26"/>
                <w:szCs w:val="26"/>
              </w:rPr>
            </w:pPr>
            <w:r w:rsidRPr="000D17B5">
              <w:rPr>
                <w:rFonts w:ascii="Times New Roman" w:eastAsia="Times New Roman" w:hAnsi="Times New Roman" w:cs="Times New Roman"/>
                <w:b/>
                <w:sz w:val="26"/>
                <w:szCs w:val="26"/>
              </w:rPr>
              <w:t>Витрати</w:t>
            </w:r>
          </w:p>
        </w:tc>
      </w:tr>
      <w:tr w:rsidR="00B7706E" w:rsidRPr="000D17B5" w:rsidTr="00162986">
        <w:tc>
          <w:tcPr>
            <w:tcW w:w="1312" w:type="pct"/>
          </w:tcPr>
          <w:p w:rsidR="00B7706E" w:rsidRPr="000D17B5" w:rsidRDefault="00E22E49">
            <w:pPr>
              <w:widowControl w:val="0"/>
              <w:spacing w:line="240" w:lineRule="auto"/>
              <w:ind w:left="103" w:right="101"/>
              <w:jc w:val="both"/>
              <w:rPr>
                <w:rFonts w:ascii="Times New Roman" w:eastAsia="Times New Roman" w:hAnsi="Times New Roman" w:cs="Times New Roman"/>
                <w:sz w:val="26"/>
                <w:szCs w:val="26"/>
              </w:rPr>
            </w:pPr>
            <w:r w:rsidRPr="000D17B5">
              <w:rPr>
                <w:rFonts w:ascii="Times New Roman" w:eastAsia="Times New Roman" w:hAnsi="Times New Roman" w:cs="Times New Roman"/>
                <w:b/>
                <w:sz w:val="26"/>
                <w:szCs w:val="26"/>
              </w:rPr>
              <w:t xml:space="preserve">Альтернатива 1. </w:t>
            </w:r>
            <w:r w:rsidRPr="000D17B5">
              <w:rPr>
                <w:rFonts w:ascii="Times New Roman" w:eastAsia="Times New Roman" w:hAnsi="Times New Roman" w:cs="Times New Roman"/>
                <w:sz w:val="26"/>
                <w:szCs w:val="26"/>
              </w:rPr>
              <w:t xml:space="preserve"> Залишення існуючої на даний момент  ситуації без змін.</w:t>
            </w:r>
          </w:p>
          <w:p w:rsidR="00B7706E" w:rsidRPr="000D17B5" w:rsidRDefault="00B7706E">
            <w:pPr>
              <w:widowControl w:val="0"/>
              <w:spacing w:line="240" w:lineRule="auto"/>
              <w:ind w:left="103" w:right="101"/>
              <w:jc w:val="both"/>
              <w:rPr>
                <w:rFonts w:ascii="Times New Roman" w:eastAsia="Times New Roman" w:hAnsi="Times New Roman" w:cs="Times New Roman"/>
                <w:sz w:val="26"/>
                <w:szCs w:val="26"/>
              </w:rPr>
            </w:pPr>
          </w:p>
          <w:p w:rsidR="00B7706E" w:rsidRPr="000D17B5" w:rsidRDefault="00B7706E">
            <w:pPr>
              <w:widowControl w:val="0"/>
              <w:spacing w:line="240" w:lineRule="auto"/>
              <w:ind w:left="103" w:right="101"/>
              <w:jc w:val="both"/>
              <w:rPr>
                <w:rFonts w:ascii="Times New Roman" w:eastAsia="Times New Roman" w:hAnsi="Times New Roman" w:cs="Times New Roman"/>
                <w:sz w:val="26"/>
                <w:szCs w:val="26"/>
              </w:rPr>
            </w:pPr>
          </w:p>
        </w:tc>
        <w:tc>
          <w:tcPr>
            <w:tcW w:w="1817" w:type="pct"/>
          </w:tcPr>
          <w:p w:rsidR="00B7706E" w:rsidRPr="000D17B5" w:rsidRDefault="00E22E49">
            <w:pPr>
              <w:widowControl w:val="0"/>
              <w:spacing w:line="240" w:lineRule="auto"/>
              <w:ind w:left="100" w:right="97"/>
              <w:jc w:val="both"/>
              <w:rPr>
                <w:rFonts w:ascii="Times New Roman" w:eastAsia="Times New Roman" w:hAnsi="Times New Roman" w:cs="Times New Roman"/>
                <w:sz w:val="26"/>
                <w:szCs w:val="26"/>
              </w:rPr>
            </w:pPr>
            <w:r w:rsidRPr="000D17B5">
              <w:rPr>
                <w:rFonts w:ascii="Times New Roman" w:eastAsia="Times New Roman" w:hAnsi="Times New Roman" w:cs="Times New Roman"/>
                <w:sz w:val="26"/>
                <w:szCs w:val="26"/>
              </w:rPr>
              <w:t>Відсутні.</w:t>
            </w:r>
          </w:p>
        </w:tc>
        <w:tc>
          <w:tcPr>
            <w:tcW w:w="1871" w:type="pct"/>
          </w:tcPr>
          <w:p w:rsidR="00B7706E" w:rsidRPr="000D17B5" w:rsidRDefault="00E22E49">
            <w:pPr>
              <w:widowControl w:val="0"/>
              <w:tabs>
                <w:tab w:val="left" w:pos="2379"/>
              </w:tabs>
              <w:spacing w:line="240" w:lineRule="auto"/>
              <w:ind w:left="103" w:right="98"/>
              <w:jc w:val="both"/>
              <w:rPr>
                <w:rFonts w:ascii="Times New Roman" w:eastAsia="Times New Roman" w:hAnsi="Times New Roman" w:cs="Times New Roman"/>
                <w:sz w:val="26"/>
                <w:szCs w:val="26"/>
              </w:rPr>
            </w:pPr>
            <w:r w:rsidRPr="000D17B5">
              <w:rPr>
                <w:rFonts w:ascii="Times New Roman" w:eastAsia="Times New Roman" w:hAnsi="Times New Roman" w:cs="Times New Roman"/>
                <w:sz w:val="26"/>
                <w:szCs w:val="26"/>
              </w:rPr>
              <w:t>Відсутні.</w:t>
            </w:r>
          </w:p>
          <w:p w:rsidR="00B7706E" w:rsidRPr="000D17B5" w:rsidRDefault="00E22E49">
            <w:pPr>
              <w:widowControl w:val="0"/>
              <w:tabs>
                <w:tab w:val="left" w:pos="2379"/>
              </w:tabs>
              <w:spacing w:line="240" w:lineRule="auto"/>
              <w:ind w:left="103" w:right="98"/>
              <w:jc w:val="both"/>
              <w:rPr>
                <w:rFonts w:ascii="Times New Roman" w:eastAsia="Times New Roman" w:hAnsi="Times New Roman" w:cs="Times New Roman"/>
                <w:sz w:val="26"/>
                <w:szCs w:val="26"/>
              </w:rPr>
            </w:pPr>
            <w:r w:rsidRPr="000D17B5">
              <w:rPr>
                <w:rFonts w:ascii="Times New Roman" w:eastAsia="Times New Roman" w:hAnsi="Times New Roman" w:cs="Times New Roman"/>
                <w:sz w:val="26"/>
                <w:szCs w:val="26"/>
              </w:rPr>
              <w:t>Реалізації положень  акта не потребує додаткових матеріальних чи інших витрат з боку суб'єктів господарювання – кваліфікаційних організацій.</w:t>
            </w:r>
          </w:p>
          <w:p w:rsidR="00B7706E" w:rsidRPr="000D17B5" w:rsidRDefault="00E22E49">
            <w:pPr>
              <w:widowControl w:val="0"/>
              <w:tabs>
                <w:tab w:val="left" w:pos="2379"/>
              </w:tabs>
              <w:spacing w:line="240" w:lineRule="auto"/>
              <w:ind w:left="103" w:right="98"/>
              <w:jc w:val="both"/>
              <w:rPr>
                <w:rFonts w:ascii="Times New Roman" w:eastAsia="Times New Roman" w:hAnsi="Times New Roman" w:cs="Times New Roman"/>
                <w:sz w:val="26"/>
                <w:szCs w:val="26"/>
              </w:rPr>
            </w:pPr>
            <w:r w:rsidRPr="000D17B5">
              <w:rPr>
                <w:rFonts w:ascii="Times New Roman" w:eastAsia="Times New Roman" w:hAnsi="Times New Roman" w:cs="Times New Roman"/>
                <w:sz w:val="26"/>
                <w:szCs w:val="26"/>
              </w:rPr>
              <w:t>Альтернатива є неприйнятною, оскільки не забезпечує впровадження державного механізму щодо порядку ведення та оприлюднення бази даних енергетичних аудиторів на сайті Держенергоефективності.</w:t>
            </w:r>
          </w:p>
        </w:tc>
      </w:tr>
      <w:tr w:rsidR="00162986" w:rsidRPr="000D17B5" w:rsidTr="00162986">
        <w:tc>
          <w:tcPr>
            <w:tcW w:w="1312" w:type="pct"/>
          </w:tcPr>
          <w:p w:rsidR="003074FF" w:rsidRPr="000D17B5" w:rsidRDefault="003074FF" w:rsidP="003074FF">
            <w:pPr>
              <w:widowControl w:val="0"/>
              <w:spacing w:line="240" w:lineRule="auto"/>
              <w:ind w:left="103" w:right="101"/>
              <w:jc w:val="both"/>
              <w:rPr>
                <w:rFonts w:ascii="Times New Roman" w:eastAsia="Times New Roman" w:hAnsi="Times New Roman" w:cs="Times New Roman"/>
                <w:b/>
                <w:sz w:val="26"/>
                <w:szCs w:val="26"/>
              </w:rPr>
            </w:pPr>
            <w:r w:rsidRPr="000D17B5">
              <w:rPr>
                <w:rFonts w:ascii="Times New Roman" w:eastAsia="Times New Roman" w:hAnsi="Times New Roman" w:cs="Times New Roman"/>
                <w:b/>
                <w:sz w:val="26"/>
                <w:szCs w:val="26"/>
              </w:rPr>
              <w:t>Альтернатива 2. Прийняття проєкту акта.</w:t>
            </w:r>
          </w:p>
          <w:p w:rsidR="00162986" w:rsidRPr="000D17B5" w:rsidRDefault="003074FF" w:rsidP="003074FF">
            <w:pPr>
              <w:widowControl w:val="0"/>
              <w:spacing w:line="240" w:lineRule="auto"/>
              <w:ind w:left="103" w:right="101"/>
              <w:jc w:val="both"/>
              <w:rPr>
                <w:rFonts w:ascii="Times New Roman" w:eastAsia="Times New Roman" w:hAnsi="Times New Roman" w:cs="Times New Roman"/>
                <w:b/>
                <w:sz w:val="26"/>
                <w:szCs w:val="26"/>
              </w:rPr>
            </w:pPr>
            <w:r w:rsidRPr="000D17B5">
              <w:rPr>
                <w:rFonts w:ascii="Times New Roman" w:eastAsia="Times New Roman" w:hAnsi="Times New Roman" w:cs="Times New Roman"/>
                <w:b/>
                <w:sz w:val="26"/>
                <w:szCs w:val="26"/>
              </w:rPr>
              <w:t>Забезпечує досягнення цілей державного  регулювання.</w:t>
            </w:r>
          </w:p>
        </w:tc>
        <w:tc>
          <w:tcPr>
            <w:tcW w:w="1817" w:type="pct"/>
          </w:tcPr>
          <w:p w:rsidR="003074FF" w:rsidRPr="000D17B5" w:rsidRDefault="003074FF" w:rsidP="003074FF">
            <w:pPr>
              <w:widowControl w:val="0"/>
              <w:spacing w:line="240" w:lineRule="auto"/>
              <w:ind w:left="100" w:right="97"/>
              <w:jc w:val="both"/>
              <w:rPr>
                <w:rFonts w:ascii="Times New Roman" w:eastAsia="Times New Roman" w:hAnsi="Times New Roman" w:cs="Times New Roman"/>
                <w:sz w:val="26"/>
                <w:szCs w:val="26"/>
              </w:rPr>
            </w:pPr>
            <w:r w:rsidRPr="000D17B5">
              <w:rPr>
                <w:rFonts w:ascii="Times New Roman" w:eastAsia="Times New Roman" w:hAnsi="Times New Roman" w:cs="Times New Roman"/>
                <w:sz w:val="26"/>
                <w:szCs w:val="26"/>
              </w:rPr>
              <w:t>Наявні</w:t>
            </w:r>
          </w:p>
          <w:p w:rsidR="003074FF" w:rsidRPr="000D17B5" w:rsidRDefault="003074FF" w:rsidP="003074FF">
            <w:pPr>
              <w:widowControl w:val="0"/>
              <w:spacing w:line="240" w:lineRule="auto"/>
              <w:ind w:left="100" w:right="97"/>
              <w:jc w:val="both"/>
              <w:rPr>
                <w:rFonts w:ascii="Times New Roman" w:eastAsia="Times New Roman" w:hAnsi="Times New Roman" w:cs="Times New Roman"/>
                <w:sz w:val="26"/>
                <w:szCs w:val="26"/>
              </w:rPr>
            </w:pPr>
            <w:r w:rsidRPr="000D17B5">
              <w:rPr>
                <w:rFonts w:ascii="Times New Roman" w:eastAsia="Times New Roman" w:hAnsi="Times New Roman" w:cs="Times New Roman"/>
                <w:sz w:val="26"/>
                <w:szCs w:val="26"/>
              </w:rPr>
              <w:t xml:space="preserve">Дозволяє відповідно до частини  дев’ятої статті 11 Закону України “Про енергетичну ефективність” встановити порядок обміну інформацією між кваліфікаційними організаціями, які безпосередньо здійснюють підтвердження кваліфікації осіб, які мають намір провадити діяльність із здійснення енергетичного аудиту за відповідним напрямом (будівлі, процеси, транспорт),  та </w:t>
            </w:r>
            <w:r w:rsidRPr="000D17B5">
              <w:rPr>
                <w:rFonts w:ascii="Times New Roman" w:eastAsia="Times New Roman" w:hAnsi="Times New Roman" w:cs="Times New Roman"/>
                <w:sz w:val="26"/>
                <w:szCs w:val="26"/>
              </w:rPr>
              <w:lastRenderedPageBreak/>
              <w:t>Держенергоефективності.</w:t>
            </w:r>
          </w:p>
          <w:p w:rsidR="00162986" w:rsidRPr="000D17B5" w:rsidRDefault="003074FF" w:rsidP="003074FF">
            <w:pPr>
              <w:widowControl w:val="0"/>
              <w:spacing w:line="240" w:lineRule="auto"/>
              <w:ind w:left="100" w:right="97"/>
              <w:jc w:val="both"/>
              <w:rPr>
                <w:rFonts w:ascii="Times New Roman" w:eastAsia="Times New Roman" w:hAnsi="Times New Roman" w:cs="Times New Roman"/>
                <w:sz w:val="26"/>
                <w:szCs w:val="26"/>
              </w:rPr>
            </w:pPr>
            <w:r w:rsidRPr="000D17B5">
              <w:rPr>
                <w:rFonts w:ascii="Times New Roman" w:eastAsia="Times New Roman" w:hAnsi="Times New Roman" w:cs="Times New Roman"/>
                <w:sz w:val="26"/>
                <w:szCs w:val="26"/>
              </w:rPr>
              <w:t>Дозволяє Держенергоефективності відповідно до частини шостої та сьомої  статті 11 зазначеного Закону вести  та оприлюднювати на своєму офіційному веб-сайті базу даних енергетичних аудиторів.</w:t>
            </w:r>
          </w:p>
        </w:tc>
        <w:tc>
          <w:tcPr>
            <w:tcW w:w="1871" w:type="pct"/>
          </w:tcPr>
          <w:p w:rsidR="003074FF" w:rsidRPr="000D17B5" w:rsidRDefault="003074FF" w:rsidP="003074FF">
            <w:pPr>
              <w:widowControl w:val="0"/>
              <w:tabs>
                <w:tab w:val="left" w:pos="2379"/>
              </w:tabs>
              <w:spacing w:line="240" w:lineRule="auto"/>
              <w:ind w:left="103" w:right="98"/>
              <w:jc w:val="both"/>
              <w:rPr>
                <w:rFonts w:ascii="Times New Roman" w:eastAsia="Times New Roman" w:hAnsi="Times New Roman" w:cs="Times New Roman"/>
                <w:sz w:val="26"/>
                <w:szCs w:val="26"/>
              </w:rPr>
            </w:pPr>
            <w:r w:rsidRPr="000D17B5">
              <w:rPr>
                <w:rFonts w:ascii="Times New Roman" w:eastAsia="Times New Roman" w:hAnsi="Times New Roman" w:cs="Times New Roman"/>
                <w:sz w:val="26"/>
                <w:szCs w:val="26"/>
              </w:rPr>
              <w:lastRenderedPageBreak/>
              <w:t>Відсутні</w:t>
            </w:r>
          </w:p>
          <w:p w:rsidR="00162986" w:rsidRPr="000D17B5" w:rsidRDefault="003074FF" w:rsidP="003074FF">
            <w:pPr>
              <w:widowControl w:val="0"/>
              <w:tabs>
                <w:tab w:val="left" w:pos="2379"/>
              </w:tabs>
              <w:spacing w:line="240" w:lineRule="auto"/>
              <w:ind w:left="103" w:right="98"/>
              <w:jc w:val="both"/>
              <w:rPr>
                <w:rFonts w:ascii="Times New Roman" w:eastAsia="Times New Roman" w:hAnsi="Times New Roman" w:cs="Times New Roman"/>
                <w:sz w:val="26"/>
                <w:szCs w:val="26"/>
              </w:rPr>
            </w:pPr>
            <w:r w:rsidRPr="000D17B5">
              <w:rPr>
                <w:rFonts w:ascii="Times New Roman" w:eastAsia="Times New Roman" w:hAnsi="Times New Roman" w:cs="Times New Roman"/>
                <w:sz w:val="26"/>
                <w:szCs w:val="26"/>
              </w:rPr>
              <w:t xml:space="preserve">витрати, пов’язані із впровадженням проєкту акта, будуть лише у кваліфікаційних організацій, які будуть надавати до Держенергоефективності відповідну інформацію . Ці витрати будуть складатися з витрат на підготовку та направлення до Держенергоефективності інформації про осіб, які мають намір здійснювати діяльність із здійснення енергетичних аудитів, та визначені в постанові </w:t>
            </w:r>
            <w:r w:rsidRPr="000D17B5">
              <w:rPr>
                <w:rFonts w:ascii="Times New Roman" w:eastAsia="Times New Roman" w:hAnsi="Times New Roman" w:cs="Times New Roman"/>
                <w:sz w:val="26"/>
                <w:szCs w:val="26"/>
              </w:rPr>
              <w:lastRenderedPageBreak/>
              <w:t>Кабінету Міністрів України “Про затвердження Порядку обміну інформацією між Державним агентством з енергоефективності та енергозбереження та кваліфікаційними організаціями”.</w:t>
            </w:r>
          </w:p>
        </w:tc>
      </w:tr>
    </w:tbl>
    <w:p w:rsidR="00B7706E" w:rsidRPr="00DB5EA1" w:rsidRDefault="00B7706E" w:rsidP="008A675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706E" w:rsidRDefault="00E22E49" w:rsidP="008A6755">
      <w:pPr>
        <w:pBdr>
          <w:top w:val="nil"/>
          <w:left w:val="nil"/>
          <w:bottom w:val="nil"/>
          <w:right w:val="nil"/>
          <w:between w:val="nil"/>
        </w:pBdr>
        <w:spacing w:after="0" w:line="317"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IV. Вибір найбільш оптимального альтернативного способу досягнення цілей</w:t>
      </w:r>
    </w:p>
    <w:p w:rsidR="00B7706E" w:rsidRDefault="00CE3101" w:rsidP="008A675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22E49">
        <w:rPr>
          <w:rFonts w:ascii="Times New Roman" w:eastAsia="Times New Roman" w:hAnsi="Times New Roman" w:cs="Times New Roman"/>
          <w:color w:val="000000"/>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rsidR="00B7706E" w:rsidRDefault="00CE3101" w:rsidP="008A675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22E49">
        <w:rPr>
          <w:rFonts w:ascii="Times New Roman" w:eastAsia="Times New Roman" w:hAnsi="Times New Roman" w:cs="Times New Roman"/>
          <w:color w:val="000000"/>
          <w:sz w:val="28"/>
          <w:szCs w:val="28"/>
        </w:rPr>
        <w:t>Вартість балів визначається за чотирибальною системою оцінки ступеня досягнення визначених цілей, де:</w:t>
      </w:r>
    </w:p>
    <w:p w:rsidR="00B7706E" w:rsidRDefault="00CE3101" w:rsidP="008A675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22E49">
        <w:rPr>
          <w:rFonts w:ascii="Times New Roman" w:eastAsia="Times New Roman" w:hAnsi="Times New Roman" w:cs="Times New Roman"/>
          <w:color w:val="000000"/>
          <w:sz w:val="28"/>
          <w:szCs w:val="28"/>
        </w:rPr>
        <w:t>4 - цілі прийняття регуляторного акта, які можуть бути досягнуті повною мірою (проблема більше існувати не буде);</w:t>
      </w:r>
    </w:p>
    <w:p w:rsidR="00B7706E" w:rsidRDefault="00E22E49" w:rsidP="008A675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rsidR="00B7706E" w:rsidRDefault="00E22E49" w:rsidP="00CE310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B7706E" w:rsidRDefault="00E22E49" w:rsidP="00CE310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 цілі прийняття регуляторного акта, які не можуть бути досягнуті (проблема продовжує існувати).</w:t>
      </w:r>
    </w:p>
    <w:p w:rsidR="00B7706E" w:rsidRDefault="00B7706E">
      <w:pPr>
        <w:pBdr>
          <w:top w:val="nil"/>
          <w:left w:val="nil"/>
          <w:bottom w:val="nil"/>
          <w:right w:val="nil"/>
          <w:between w:val="nil"/>
        </w:pBdr>
        <w:spacing w:after="0" w:line="240" w:lineRule="auto"/>
        <w:ind w:firstLine="542"/>
        <w:jc w:val="both"/>
        <w:rPr>
          <w:rFonts w:ascii="Times New Roman" w:eastAsia="Times New Roman" w:hAnsi="Times New Roman" w:cs="Times New Roman"/>
          <w:color w:val="000000"/>
          <w:sz w:val="28"/>
          <w:szCs w:val="28"/>
        </w:rPr>
      </w:pPr>
    </w:p>
    <w:tbl>
      <w:tblPr>
        <w:tblStyle w:val="ad"/>
        <w:tblW w:w="5000" w:type="pct"/>
        <w:tblInd w:w="0" w:type="dxa"/>
        <w:tblLook w:val="0000" w:firstRow="0" w:lastRow="0" w:firstColumn="0" w:lastColumn="0" w:noHBand="0" w:noVBand="0"/>
      </w:tblPr>
      <w:tblGrid>
        <w:gridCol w:w="2491"/>
        <w:gridCol w:w="2234"/>
        <w:gridCol w:w="4709"/>
      </w:tblGrid>
      <w:tr w:rsidR="00B7706E" w:rsidRPr="000D17B5" w:rsidTr="003074FF">
        <w:tc>
          <w:tcPr>
            <w:tcW w:w="1320"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322" w:lineRule="auto"/>
              <w:jc w:val="center"/>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Рейтинг результативності (досягнення цілей під час вирішення проблеми)</w:t>
            </w:r>
          </w:p>
        </w:tc>
        <w:tc>
          <w:tcPr>
            <w:tcW w:w="1184"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322" w:lineRule="auto"/>
              <w:jc w:val="center"/>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Бал</w:t>
            </w:r>
          </w:p>
          <w:p w:rsidR="00B7706E" w:rsidRPr="000D17B5" w:rsidRDefault="00E22E49">
            <w:pPr>
              <w:pBdr>
                <w:top w:val="nil"/>
                <w:left w:val="nil"/>
                <w:bottom w:val="nil"/>
                <w:right w:val="nil"/>
                <w:between w:val="nil"/>
              </w:pBdr>
              <w:spacing w:after="0" w:line="322" w:lineRule="auto"/>
              <w:jc w:val="center"/>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результативності (за чотирибальною системою оцінки)</w:t>
            </w:r>
          </w:p>
        </w:tc>
        <w:tc>
          <w:tcPr>
            <w:tcW w:w="2496"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322" w:lineRule="auto"/>
              <w:ind w:left="662"/>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 xml:space="preserve">Коментарі щодо присвоєння відповідного </w:t>
            </w:r>
            <w:proofErr w:type="spellStart"/>
            <w:r w:rsidRPr="000D17B5">
              <w:rPr>
                <w:rFonts w:ascii="Times New Roman" w:eastAsia="Times New Roman" w:hAnsi="Times New Roman" w:cs="Times New Roman"/>
                <w:color w:val="000000"/>
                <w:sz w:val="26"/>
                <w:szCs w:val="26"/>
              </w:rPr>
              <w:t>бала</w:t>
            </w:r>
            <w:proofErr w:type="spellEnd"/>
          </w:p>
        </w:tc>
      </w:tr>
      <w:tr w:rsidR="00B7706E" w:rsidRPr="000D17B5" w:rsidTr="003074FF">
        <w:tc>
          <w:tcPr>
            <w:tcW w:w="1320"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Альтернатива 1 Існуюча ситуація залишається без змін</w:t>
            </w:r>
          </w:p>
        </w:tc>
        <w:tc>
          <w:tcPr>
            <w:tcW w:w="1184"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1</w:t>
            </w:r>
          </w:p>
        </w:tc>
        <w:tc>
          <w:tcPr>
            <w:tcW w:w="2496"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 xml:space="preserve">Проблема продовжуватиме існувати. Аудити проведені особами які не підтвердили кваліфікацію належним чином мають низький рівень достовірності. </w:t>
            </w:r>
          </w:p>
        </w:tc>
      </w:tr>
      <w:tr w:rsidR="00B7706E" w:rsidRPr="000D17B5" w:rsidTr="003074FF">
        <w:tc>
          <w:tcPr>
            <w:tcW w:w="1320"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Альтернатива 2</w:t>
            </w:r>
          </w:p>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 xml:space="preserve">Прийняття запропонованого </w:t>
            </w:r>
            <w:r w:rsidRPr="000D17B5">
              <w:rPr>
                <w:rFonts w:ascii="Times New Roman" w:eastAsia="Times New Roman" w:hAnsi="Times New Roman" w:cs="Times New Roman"/>
                <w:color w:val="000000"/>
                <w:sz w:val="26"/>
                <w:szCs w:val="26"/>
              </w:rPr>
              <w:lastRenderedPageBreak/>
              <w:t>Проєкту акта</w:t>
            </w:r>
          </w:p>
        </w:tc>
        <w:tc>
          <w:tcPr>
            <w:tcW w:w="1184"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lastRenderedPageBreak/>
              <w:t>4</w:t>
            </w:r>
          </w:p>
        </w:tc>
        <w:tc>
          <w:tcPr>
            <w:tcW w:w="2496"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 xml:space="preserve">      Максимальний бал. Оптимальний   варіант збалансування інтересів          держави, суб'єктів господарювання,    </w:t>
            </w:r>
            <w:r w:rsidRPr="000D17B5">
              <w:rPr>
                <w:rFonts w:ascii="Times New Roman" w:eastAsia="Times New Roman" w:hAnsi="Times New Roman" w:cs="Times New Roman"/>
                <w:color w:val="000000"/>
                <w:sz w:val="26"/>
                <w:szCs w:val="26"/>
              </w:rPr>
              <w:lastRenderedPageBreak/>
              <w:t>громадян. Визнання результатів проведення підтвердження кваліфікації, відмови у видачі кваліфікаційного сертифікату, анулювання кваліфікаційного сертифікату.</w:t>
            </w:r>
          </w:p>
          <w:p w:rsidR="00B7706E" w:rsidRPr="000D17B5" w:rsidRDefault="00E22E49">
            <w:pPr>
              <w:pBdr>
                <w:top w:val="nil"/>
                <w:left w:val="nil"/>
                <w:bottom w:val="nil"/>
                <w:right w:val="nil"/>
                <w:between w:val="nil"/>
              </w:pBdr>
              <w:spacing w:after="0" w:line="322" w:lineRule="auto"/>
              <w:ind w:firstLine="413"/>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Підвищення кваліфікації виконавців енергоаудитів.</w:t>
            </w:r>
          </w:p>
          <w:p w:rsidR="00B7706E" w:rsidRPr="000D17B5" w:rsidRDefault="00E22E49">
            <w:pPr>
              <w:pBdr>
                <w:top w:val="nil"/>
                <w:left w:val="nil"/>
                <w:bottom w:val="nil"/>
                <w:right w:val="nil"/>
                <w:between w:val="nil"/>
              </w:pBdr>
              <w:spacing w:after="0" w:line="322" w:lineRule="auto"/>
              <w:ind w:firstLine="413"/>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Надання можливості замовникам енергоаудиту доступу до якісної послуги.</w:t>
            </w:r>
          </w:p>
        </w:tc>
      </w:tr>
    </w:tbl>
    <w:p w:rsidR="00B7706E" w:rsidRDefault="00B7706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bl>
      <w:tblPr>
        <w:tblStyle w:val="ae"/>
        <w:tblW w:w="5000" w:type="pct"/>
        <w:jc w:val="center"/>
        <w:tblInd w:w="0" w:type="dxa"/>
        <w:tblLook w:val="0000" w:firstRow="0" w:lastRow="0" w:firstColumn="0" w:lastColumn="0" w:noHBand="0" w:noVBand="0"/>
      </w:tblPr>
      <w:tblGrid>
        <w:gridCol w:w="2087"/>
        <w:gridCol w:w="2283"/>
        <w:gridCol w:w="2217"/>
        <w:gridCol w:w="2847"/>
      </w:tblGrid>
      <w:tr w:rsidR="00B7706E" w:rsidRPr="000D17B5" w:rsidTr="003074FF">
        <w:trPr>
          <w:jc w:val="center"/>
        </w:trPr>
        <w:tc>
          <w:tcPr>
            <w:tcW w:w="1106"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322" w:lineRule="auto"/>
              <w:ind w:firstLine="538"/>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Рейтинг результативності</w:t>
            </w:r>
          </w:p>
        </w:tc>
        <w:tc>
          <w:tcPr>
            <w:tcW w:w="1210"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Вигоди (підсумок)</w:t>
            </w:r>
          </w:p>
        </w:tc>
        <w:tc>
          <w:tcPr>
            <w:tcW w:w="1175"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322" w:lineRule="auto"/>
              <w:ind w:left="384" w:firstLine="130"/>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Витрати (підсумок)</w:t>
            </w:r>
          </w:p>
        </w:tc>
        <w:tc>
          <w:tcPr>
            <w:tcW w:w="1509"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322" w:lineRule="auto"/>
              <w:jc w:val="center"/>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Обґрунтування відповідного місця альтернативи у рейтингу</w:t>
            </w:r>
          </w:p>
        </w:tc>
      </w:tr>
      <w:tr w:rsidR="00B7706E" w:rsidRPr="000D17B5" w:rsidTr="003074FF">
        <w:trPr>
          <w:jc w:val="center"/>
        </w:trPr>
        <w:tc>
          <w:tcPr>
            <w:tcW w:w="1106"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22" w:lineRule="auto"/>
              <w:ind w:left="5" w:hanging="5"/>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Альтернатива 1 Існуюча ситуація залишається без змін</w:t>
            </w:r>
          </w:p>
        </w:tc>
        <w:tc>
          <w:tcPr>
            <w:tcW w:w="1210"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22" w:lineRule="auto"/>
              <w:ind w:left="24" w:hanging="24"/>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Неприйняття проєкту акта не має вигоди</w:t>
            </w:r>
          </w:p>
        </w:tc>
        <w:tc>
          <w:tcPr>
            <w:tcW w:w="1175"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Додаткові витрати пов'язані з проведенням енергетичних аудитів.</w:t>
            </w:r>
          </w:p>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Втрати, пов'язані з низькою кваліфікацією енергоаудиторів через відсутність працівників необхідної</w:t>
            </w:r>
          </w:p>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кваліфікації.</w:t>
            </w:r>
          </w:p>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Неефективне</w:t>
            </w:r>
          </w:p>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використання</w:t>
            </w:r>
          </w:p>
          <w:p w:rsidR="00B7706E" w:rsidRPr="000D17B5" w:rsidRDefault="00E22E49">
            <w:pPr>
              <w:pBdr>
                <w:top w:val="nil"/>
                <w:left w:val="nil"/>
                <w:bottom w:val="nil"/>
                <w:right w:val="nil"/>
                <w:between w:val="nil"/>
              </w:pBdr>
              <w:spacing w:after="0" w:line="322" w:lineRule="auto"/>
              <w:ind w:firstLine="5"/>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коштів.</w:t>
            </w:r>
          </w:p>
        </w:tc>
        <w:tc>
          <w:tcPr>
            <w:tcW w:w="1509"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22" w:lineRule="auto"/>
              <w:ind w:left="10" w:hanging="10"/>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Результати проведення підтвердження кваліфікації енергоаудиторів не вносяться до бази даних енергетичних аудиторів, не проводиться незалежний моніторинг витягів із звітів та незалежна верифікація звітів з енергетичних аудитів.</w:t>
            </w:r>
          </w:p>
          <w:p w:rsidR="00B7706E" w:rsidRPr="000D17B5" w:rsidRDefault="00E22E49">
            <w:pPr>
              <w:pBdr>
                <w:top w:val="nil"/>
                <w:left w:val="nil"/>
                <w:bottom w:val="nil"/>
                <w:right w:val="nil"/>
                <w:between w:val="nil"/>
              </w:pBdr>
              <w:spacing w:after="0" w:line="322" w:lineRule="auto"/>
              <w:ind w:left="10" w:hanging="10"/>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 xml:space="preserve">Відсутність системного підходу при проведені енергоаудитів не забезпечить доступу до якісної послуги з енергоаудиту. Сповільниться реакція ринку робочої сили на потреби замовників </w:t>
            </w:r>
            <w:r w:rsidRPr="000D17B5">
              <w:rPr>
                <w:rFonts w:ascii="Times New Roman" w:eastAsia="Times New Roman" w:hAnsi="Times New Roman" w:cs="Times New Roman"/>
                <w:color w:val="000000"/>
                <w:sz w:val="26"/>
                <w:szCs w:val="26"/>
              </w:rPr>
              <w:lastRenderedPageBreak/>
              <w:t>енергоаудиту  кваліфікованих належним чином виконавців енергоаудиту.</w:t>
            </w:r>
          </w:p>
        </w:tc>
      </w:tr>
      <w:tr w:rsidR="00B7706E" w:rsidRPr="000D17B5" w:rsidTr="003074FF">
        <w:trPr>
          <w:jc w:val="center"/>
        </w:trPr>
        <w:tc>
          <w:tcPr>
            <w:tcW w:w="1106"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17"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lastRenderedPageBreak/>
              <w:t>Альтернатива 2 Прийняття запропонованого проекту акта</w:t>
            </w:r>
          </w:p>
        </w:tc>
        <w:tc>
          <w:tcPr>
            <w:tcW w:w="1210"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Створення необхідних умов  до вимог ринку енергетичних послуг в частині енергоаудитів; створення умов для швидкого і гнучкого реагування ринку робочої сили і послуг з енергоаудиту на потреби ринку праці.</w:t>
            </w:r>
          </w:p>
        </w:tc>
        <w:tc>
          <w:tcPr>
            <w:tcW w:w="1175"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Витрати</w:t>
            </w:r>
          </w:p>
          <w:p w:rsidR="00B7706E" w:rsidRPr="000D17B5" w:rsidRDefault="00E22E49" w:rsidP="000D17B5">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sz w:val="26"/>
                <w:szCs w:val="26"/>
              </w:rPr>
              <w:t>пов'язані</w:t>
            </w:r>
            <w:r w:rsidRPr="000D17B5">
              <w:rPr>
                <w:rFonts w:ascii="Times New Roman" w:eastAsia="Times New Roman" w:hAnsi="Times New Roman" w:cs="Times New Roman"/>
                <w:color w:val="000000"/>
                <w:sz w:val="26"/>
                <w:szCs w:val="26"/>
              </w:rPr>
              <w:t xml:space="preserve"> з</w:t>
            </w:r>
          </w:p>
          <w:p w:rsidR="00B7706E" w:rsidRPr="000D17B5" w:rsidRDefault="00E22E49" w:rsidP="000D17B5">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оплатою</w:t>
            </w:r>
          </w:p>
          <w:p w:rsidR="00B7706E" w:rsidRPr="000D17B5" w:rsidRDefault="00E22E49" w:rsidP="000D17B5">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процедур</w:t>
            </w:r>
          </w:p>
          <w:p w:rsidR="00B7706E" w:rsidRPr="000D17B5" w:rsidRDefault="00E22E49" w:rsidP="000D17B5">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проведення енергетичних аудитів, що</w:t>
            </w:r>
          </w:p>
          <w:p w:rsidR="00B7706E" w:rsidRPr="000D17B5" w:rsidRDefault="00E22E49" w:rsidP="000D17B5">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компенсуються в</w:t>
            </w:r>
          </w:p>
          <w:p w:rsidR="00B7706E" w:rsidRPr="000D17B5" w:rsidRDefault="00E22E49" w:rsidP="000D17B5">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майбутньому в</w:t>
            </w:r>
          </w:p>
          <w:p w:rsidR="00B7706E" w:rsidRPr="000D17B5" w:rsidRDefault="00E22E49" w:rsidP="000D17B5">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процесі</w:t>
            </w:r>
          </w:p>
          <w:p w:rsidR="00B7706E" w:rsidRPr="000D17B5" w:rsidRDefault="00E22E49" w:rsidP="000D17B5">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запровадження визначених енергоаудитором пакетів заходів з енергозбереження на об’єктах замовників енергоаудитів.</w:t>
            </w:r>
          </w:p>
        </w:tc>
        <w:tc>
          <w:tcPr>
            <w:tcW w:w="1509"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Вирішує проблему.</w:t>
            </w:r>
          </w:p>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Прийняття проєкту акта дозволить розпочати діяльність щодо ведення та оприлюднення бази даних енергетичних аудиторів, бази даних витягів із звіту з енергетичного аудиту, незалежного моніторингу витягів із звітів з енергетичного аудиту, незалежної верифікації звітів з енергетичного аудиту для швидкого задоволення потреб ринку енергетичних послуг в кваліфікованій робочій силі; сприятиме забезпеченню підготовки фахівців відповідно до потреб ринку праці.</w:t>
            </w:r>
          </w:p>
        </w:tc>
      </w:tr>
    </w:tbl>
    <w:p w:rsidR="00B7706E" w:rsidRDefault="00B7706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bl>
      <w:tblPr>
        <w:tblStyle w:val="af"/>
        <w:tblW w:w="5000" w:type="pct"/>
        <w:tblInd w:w="0" w:type="dxa"/>
        <w:tblLook w:val="0000" w:firstRow="0" w:lastRow="0" w:firstColumn="0" w:lastColumn="0" w:noHBand="0" w:noVBand="0"/>
      </w:tblPr>
      <w:tblGrid>
        <w:gridCol w:w="2173"/>
        <w:gridCol w:w="4323"/>
        <w:gridCol w:w="2938"/>
      </w:tblGrid>
      <w:tr w:rsidR="00B7706E" w:rsidRPr="000D17B5" w:rsidTr="000D17B5">
        <w:tc>
          <w:tcPr>
            <w:tcW w:w="1152"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240" w:lineRule="auto"/>
              <w:ind w:left="614"/>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Рейтинг</w:t>
            </w:r>
          </w:p>
        </w:tc>
        <w:tc>
          <w:tcPr>
            <w:tcW w:w="2291"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322"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Аргументи щодо переваги обраної альтернативи/причини відмови від альтернативи</w:t>
            </w:r>
          </w:p>
        </w:tc>
        <w:tc>
          <w:tcPr>
            <w:tcW w:w="1557" w:type="pct"/>
            <w:tcBorders>
              <w:top w:val="single" w:sz="6" w:space="0" w:color="000000"/>
              <w:left w:val="single" w:sz="6" w:space="0" w:color="000000"/>
              <w:bottom w:val="single" w:sz="6" w:space="0" w:color="000000"/>
              <w:right w:val="single" w:sz="6" w:space="0" w:color="000000"/>
            </w:tcBorders>
            <w:vAlign w:val="center"/>
          </w:tcPr>
          <w:p w:rsidR="00B7706E" w:rsidRPr="000D17B5" w:rsidRDefault="00E22E49">
            <w:pPr>
              <w:pBdr>
                <w:top w:val="nil"/>
                <w:left w:val="nil"/>
                <w:bottom w:val="nil"/>
                <w:right w:val="nil"/>
                <w:between w:val="nil"/>
              </w:pBdr>
              <w:spacing w:after="0" w:line="322"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Оцінка ризику зовнішніх чинників на дію запропонованого регуляторного акта</w:t>
            </w:r>
          </w:p>
        </w:tc>
      </w:tr>
      <w:tr w:rsidR="00B7706E" w:rsidRPr="000D17B5" w:rsidTr="000D17B5">
        <w:tc>
          <w:tcPr>
            <w:tcW w:w="1152"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22"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 xml:space="preserve">Альтернатива 1 </w:t>
            </w:r>
            <w:r w:rsidRPr="000D17B5">
              <w:rPr>
                <w:rFonts w:ascii="Times New Roman" w:eastAsia="Times New Roman" w:hAnsi="Times New Roman" w:cs="Times New Roman"/>
                <w:color w:val="000000"/>
                <w:sz w:val="26"/>
                <w:szCs w:val="26"/>
              </w:rPr>
              <w:lastRenderedPageBreak/>
              <w:t>Існуюча ситуація залишається без змін</w:t>
            </w:r>
          </w:p>
        </w:tc>
        <w:tc>
          <w:tcPr>
            <w:tcW w:w="2291"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22"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lastRenderedPageBreak/>
              <w:t xml:space="preserve">Аргументи для переваги відсутні. </w:t>
            </w:r>
            <w:r w:rsidRPr="000D17B5">
              <w:rPr>
                <w:rFonts w:ascii="Times New Roman" w:eastAsia="Times New Roman" w:hAnsi="Times New Roman" w:cs="Times New Roman"/>
                <w:color w:val="000000"/>
                <w:sz w:val="26"/>
                <w:szCs w:val="26"/>
              </w:rPr>
              <w:lastRenderedPageBreak/>
              <w:t>Відмова    від    цієї альтернативи дозволить гармонізувати ринок енергетичних послуг в частині проведення енергетичних аудитів.</w:t>
            </w:r>
          </w:p>
        </w:tc>
        <w:tc>
          <w:tcPr>
            <w:tcW w:w="1557"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240" w:lineRule="auto"/>
              <w:ind w:left="1642"/>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lastRenderedPageBreak/>
              <w:t>Х</w:t>
            </w:r>
          </w:p>
        </w:tc>
      </w:tr>
      <w:tr w:rsidR="00B7706E" w:rsidRPr="000D17B5" w:rsidTr="000D17B5">
        <w:tc>
          <w:tcPr>
            <w:tcW w:w="1152"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22" w:lineRule="auto"/>
              <w:ind w:right="91"/>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lastRenderedPageBreak/>
              <w:t>Альтернатива 2 Прийняття запропонованого проєкту акта</w:t>
            </w:r>
          </w:p>
        </w:tc>
        <w:tc>
          <w:tcPr>
            <w:tcW w:w="2291"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22"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Причини для відмови відсутні. Обрана альтернатива є найбільш раціональним варіантом врахування інтересів всіх основних груп, на яких проблема справляє вплив.</w:t>
            </w:r>
          </w:p>
          <w:p w:rsidR="00B7706E" w:rsidRPr="000D17B5" w:rsidRDefault="00E22E49">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 xml:space="preserve">Започаткується діяльність кваліфікованих належним чином енергоаудиторів; будуть </w:t>
            </w:r>
          </w:p>
          <w:p w:rsidR="00B7706E" w:rsidRPr="000D17B5" w:rsidRDefault="00E22E49">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 xml:space="preserve">створені умови для швидкого і </w:t>
            </w:r>
          </w:p>
          <w:p w:rsidR="00B7706E" w:rsidRPr="000D17B5" w:rsidRDefault="00E22E49">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 xml:space="preserve">гнучкого реагування ринку робочої </w:t>
            </w:r>
          </w:p>
          <w:p w:rsidR="00B7706E" w:rsidRPr="000D17B5" w:rsidRDefault="00E22E49">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 xml:space="preserve">сили на потреби ринку праці та ринку енергетичних послуг. Прийняття Проєкту акта забезпечить досягненню </w:t>
            </w:r>
          </w:p>
          <w:p w:rsidR="00B7706E" w:rsidRPr="000D17B5" w:rsidRDefault="00E22E49">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 xml:space="preserve">задекларованих цілей та є єдиним </w:t>
            </w:r>
          </w:p>
          <w:p w:rsidR="00B7706E" w:rsidRPr="000D17B5" w:rsidRDefault="00E22E49">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 xml:space="preserve">необхідним і достатнім способом </w:t>
            </w:r>
          </w:p>
          <w:p w:rsidR="00B7706E" w:rsidRPr="000D17B5" w:rsidRDefault="00E22E49">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вирішення проблеми.</w:t>
            </w:r>
          </w:p>
        </w:tc>
        <w:tc>
          <w:tcPr>
            <w:tcW w:w="1557" w:type="pct"/>
            <w:tcBorders>
              <w:top w:val="single" w:sz="6" w:space="0" w:color="000000"/>
              <w:left w:val="single" w:sz="6" w:space="0" w:color="000000"/>
              <w:bottom w:val="single" w:sz="6" w:space="0" w:color="000000"/>
              <w:right w:val="single" w:sz="6" w:space="0" w:color="000000"/>
            </w:tcBorders>
          </w:tcPr>
          <w:p w:rsidR="00B7706E" w:rsidRPr="000D17B5" w:rsidRDefault="00E22E49">
            <w:pPr>
              <w:pBdr>
                <w:top w:val="nil"/>
                <w:left w:val="nil"/>
                <w:bottom w:val="nil"/>
                <w:right w:val="nil"/>
                <w:between w:val="nil"/>
              </w:pBdr>
              <w:spacing w:after="0" w:line="317"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У        разі зміни відповідного</w:t>
            </w:r>
          </w:p>
          <w:p w:rsidR="00B7706E" w:rsidRPr="000D17B5" w:rsidRDefault="00E22E49">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0D17B5">
              <w:rPr>
                <w:rFonts w:ascii="Times New Roman" w:eastAsia="Times New Roman" w:hAnsi="Times New Roman" w:cs="Times New Roman"/>
                <w:color w:val="000000"/>
                <w:sz w:val="26"/>
                <w:szCs w:val="26"/>
              </w:rPr>
              <w:t>законодавства, що регулює порушене питання, відповідний Проєкт акта може бути переглянутий.</w:t>
            </w:r>
          </w:p>
        </w:tc>
      </w:tr>
    </w:tbl>
    <w:p w:rsidR="00B7706E" w:rsidRDefault="00B7706E">
      <w:pPr>
        <w:pBdr>
          <w:top w:val="nil"/>
          <w:left w:val="nil"/>
          <w:bottom w:val="nil"/>
          <w:right w:val="nil"/>
          <w:between w:val="nil"/>
        </w:pBdr>
        <w:spacing w:after="0" w:line="240" w:lineRule="auto"/>
        <w:ind w:firstLine="542"/>
        <w:jc w:val="both"/>
        <w:rPr>
          <w:rFonts w:ascii="Times New Roman" w:eastAsia="Times New Roman" w:hAnsi="Times New Roman" w:cs="Times New Roman"/>
          <w:color w:val="000000"/>
          <w:sz w:val="28"/>
          <w:szCs w:val="28"/>
        </w:rPr>
      </w:pPr>
    </w:p>
    <w:p w:rsidR="00B7706E" w:rsidRDefault="00E22E49">
      <w:pPr>
        <w:widowControl w:val="0"/>
        <w:pBdr>
          <w:top w:val="nil"/>
          <w:left w:val="nil"/>
          <w:bottom w:val="nil"/>
          <w:right w:val="nil"/>
          <w:between w:val="nil"/>
        </w:pBdr>
        <w:spacing w:before="106" w:after="0" w:line="322" w:lineRule="auto"/>
        <w:ind w:right="14" w:firstLine="5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Враховуючи наведене, з метою вирішення правових питань в процесі ведення та оприлюднення бази даних енергоаудиторів, доцільно прийняти 2 альтернативний спосіб досягнення мети.</w:t>
      </w:r>
    </w:p>
    <w:p w:rsidR="00B7706E" w:rsidRDefault="00B7706E">
      <w:pPr>
        <w:pBdr>
          <w:top w:val="nil"/>
          <w:left w:val="nil"/>
          <w:bottom w:val="nil"/>
          <w:right w:val="nil"/>
          <w:between w:val="nil"/>
        </w:pBdr>
        <w:spacing w:after="0" w:line="240" w:lineRule="auto"/>
        <w:ind w:firstLine="571"/>
        <w:jc w:val="both"/>
        <w:rPr>
          <w:rFonts w:ascii="Times New Roman" w:eastAsia="Times New Roman" w:hAnsi="Times New Roman" w:cs="Times New Roman"/>
          <w:color w:val="000000"/>
          <w:sz w:val="28"/>
          <w:szCs w:val="28"/>
        </w:rPr>
      </w:pPr>
    </w:p>
    <w:p w:rsidR="00B7706E" w:rsidRDefault="00E22E49">
      <w:pPr>
        <w:pBdr>
          <w:top w:val="nil"/>
          <w:left w:val="nil"/>
          <w:bottom w:val="nil"/>
          <w:right w:val="nil"/>
          <w:between w:val="nil"/>
        </w:pBdr>
        <w:spacing w:before="82" w:after="0" w:line="322" w:lineRule="auto"/>
        <w:ind w:firstLine="57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 Механізми та заходи, які забезпечать розв'язання визначеної проблеми</w:t>
      </w:r>
    </w:p>
    <w:p w:rsidR="00B7706E" w:rsidRDefault="00E22E49">
      <w:pPr>
        <w:widowControl w:val="0"/>
        <w:pBdr>
          <w:top w:val="nil"/>
          <w:left w:val="nil"/>
          <w:bottom w:val="nil"/>
          <w:right w:val="nil"/>
          <w:between w:val="nil"/>
        </w:pBdr>
        <w:spacing w:after="0" w:line="322" w:lineRule="auto"/>
        <w:ind w:right="1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Проектом акта спрямовано на формування правової основи щодо ведення та оприлюднення бази даних енергоаудиторів. За результатами незалежної верифікації звітів з енергетичного аудиту проєкт акта також визначає статус витягу із звіту як діючий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кваліфікаційний сертифікат, відмовлено в видачі кваліфікаційного сертифікату, кваліфікаційний сертифікат анульовано.</w:t>
      </w:r>
    </w:p>
    <w:p w:rsidR="00B7706E" w:rsidRDefault="00E22E49">
      <w:pPr>
        <w:pBdr>
          <w:top w:val="nil"/>
          <w:left w:val="nil"/>
          <w:bottom w:val="nil"/>
          <w:right w:val="nil"/>
          <w:between w:val="nil"/>
        </w:pBdr>
        <w:spacing w:after="0" w:line="322" w:lineRule="auto"/>
        <w:ind w:right="10"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вимог Закону України «Про засади державної регуляторної політики у сфері господарської діяльності» проєкт регуляторного акта було оприлюднено у розділі «Громадське обговорення» </w:t>
      </w:r>
      <w:r>
        <w:rPr>
          <w:rFonts w:ascii="Times New Roman" w:eastAsia="Times New Roman" w:hAnsi="Times New Roman" w:cs="Times New Roman"/>
          <w:color w:val="000000"/>
          <w:sz w:val="28"/>
          <w:szCs w:val="28"/>
        </w:rPr>
        <w:lastRenderedPageBreak/>
        <w:t>на офіційному сайті Держенергоефективності (</w:t>
      </w:r>
      <w:hyperlink r:id="rId10">
        <w:r>
          <w:rPr>
            <w:rFonts w:ascii="Times New Roman" w:eastAsia="Times New Roman" w:hAnsi="Times New Roman" w:cs="Times New Roman"/>
            <w:color w:val="0066CC"/>
            <w:sz w:val="28"/>
            <w:szCs w:val="28"/>
            <w:u w:val="single"/>
          </w:rPr>
          <w:t>www.saee.gov.ua</w:t>
        </w:r>
      </w:hyperlink>
      <w:r>
        <w:rPr>
          <w:rFonts w:ascii="Times New Roman" w:eastAsia="Times New Roman" w:hAnsi="Times New Roman" w:cs="Times New Roman"/>
          <w:color w:val="000000"/>
          <w:sz w:val="28"/>
          <w:szCs w:val="28"/>
        </w:rPr>
        <w:t>) для обговорення та отримання пропозицій та зауважень від зацікавлених фізичних та юридичних осіб протягом одного місяця.</w:t>
      </w:r>
    </w:p>
    <w:p w:rsidR="00B7706E" w:rsidRDefault="00B7706E">
      <w:pPr>
        <w:pBdr>
          <w:top w:val="nil"/>
          <w:left w:val="nil"/>
          <w:bottom w:val="nil"/>
          <w:right w:val="nil"/>
          <w:between w:val="nil"/>
        </w:pBdr>
        <w:spacing w:before="96" w:after="0" w:line="317" w:lineRule="auto"/>
        <w:ind w:firstLine="566"/>
        <w:jc w:val="both"/>
        <w:rPr>
          <w:rFonts w:ascii="Times New Roman" w:eastAsia="Times New Roman" w:hAnsi="Times New Roman" w:cs="Times New Roman"/>
          <w:b/>
          <w:color w:val="000000"/>
          <w:sz w:val="28"/>
          <w:szCs w:val="28"/>
        </w:rPr>
      </w:pPr>
    </w:p>
    <w:p w:rsidR="00B7706E" w:rsidRDefault="00E22E49">
      <w:pPr>
        <w:pBdr>
          <w:top w:val="nil"/>
          <w:left w:val="nil"/>
          <w:bottom w:val="nil"/>
          <w:right w:val="nil"/>
          <w:between w:val="nil"/>
        </w:pBdr>
        <w:spacing w:before="96" w:after="0" w:line="317" w:lineRule="auto"/>
        <w:ind w:firstLine="56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B7706E" w:rsidRDefault="00E22E49" w:rsidP="00000CEE">
      <w:pPr>
        <w:spacing w:after="0" w:line="240" w:lineRule="auto"/>
        <w:ind w:right="-144"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Реалізація </w:t>
      </w:r>
      <w:r w:rsidR="00DB5EA1" w:rsidRPr="00DB5EA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роєкту акта не потребує додаткових витрат із державного бюджету України та місцевих бюджетів, тому розрахунок бюджетних витрат не здійснювався.</w:t>
      </w:r>
    </w:p>
    <w:p w:rsidR="00B7706E" w:rsidRDefault="00E22E49">
      <w:pPr>
        <w:spacing w:after="0" w:line="240" w:lineRule="auto"/>
        <w:ind w:right="-14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Впливу зовнішніх факторів на дію нормативно-правового акта не очікується.</w:t>
      </w:r>
    </w:p>
    <w:p w:rsidR="00B7706E" w:rsidRDefault="00E22E4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орган, для якого здійснюється розрахунок вартості адміністрування регулювання:</w:t>
      </w:r>
      <w:bookmarkStart w:id="1" w:name="bookmark=id.30j0zll" w:colFirst="0" w:colLast="0"/>
      <w:bookmarkEnd w:id="1"/>
      <w:r>
        <w:rPr>
          <w:rFonts w:ascii="Times New Roman" w:eastAsia="Times New Roman" w:hAnsi="Times New Roman" w:cs="Times New Roman"/>
          <w:sz w:val="28"/>
          <w:szCs w:val="28"/>
        </w:rPr>
        <w:t xml:space="preserve"> Регуляторний орган.</w:t>
      </w:r>
    </w:p>
    <w:p w:rsidR="00B7706E" w:rsidRDefault="00E22E4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Очікувані наслідки дії запропонованого акта не передбачають нанесення шкоди суб’єктам господарювання.</w:t>
      </w:r>
    </w:p>
    <w:p w:rsidR="00B7706E" w:rsidRDefault="00E22E49">
      <w:pPr>
        <w:spacing w:after="0" w:line="240" w:lineRule="auto"/>
        <w:ind w:right="-144"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Регуляторний акт відповідає принципам державної регуляторної політики.</w:t>
      </w:r>
    </w:p>
    <w:p w:rsidR="00B7706E" w:rsidRDefault="00E22E4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нагляд і контроль за додержанням вимог акта здійснюватиметься Регуляторним органом в межах компетенції в установленому Законом порядку.</w:t>
      </w:r>
    </w:p>
    <w:p w:rsidR="00B7706E" w:rsidRDefault="00E22E49" w:rsidP="00000CEE">
      <w:pPr>
        <w:spacing w:after="0" w:line="240" w:lineRule="auto"/>
        <w:ind w:firstLine="709"/>
        <w:jc w:val="both"/>
        <w:rPr>
          <w:rFonts w:ascii="Times New Roman" w:eastAsia="Times New Roman" w:hAnsi="Times New Roman" w:cs="Times New Roman"/>
          <w:color w:val="000000"/>
          <w:sz w:val="28"/>
          <w:szCs w:val="28"/>
        </w:rPr>
      </w:pPr>
      <w:r w:rsidRPr="00000CEE">
        <w:rPr>
          <w:rFonts w:ascii="Times New Roman" w:eastAsia="Times New Roman" w:hAnsi="Times New Roman" w:cs="Times New Roman"/>
          <w:sz w:val="28"/>
          <w:szCs w:val="28"/>
        </w:rPr>
        <w:t>Розробка</w:t>
      </w:r>
      <w:r>
        <w:rPr>
          <w:rFonts w:ascii="Times New Roman" w:eastAsia="Times New Roman" w:hAnsi="Times New Roman" w:cs="Times New Roman"/>
          <w:color w:val="000000"/>
          <w:sz w:val="28"/>
          <w:szCs w:val="28"/>
        </w:rPr>
        <w:t xml:space="preserve"> інформації яка надається до бази даних енергетичних аудиторів  здійснюється на договірних засадах із кваліфікаційним органом.</w:t>
      </w:r>
    </w:p>
    <w:p w:rsidR="00B7706E" w:rsidRDefault="00E22E49" w:rsidP="00000CE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суб'єктів господарювання (окрім суб’єктів великого підприємництва за даними Держстату) та/або кваліфікованих осіб з проведення енергетичних аудитів, на яких поширюватиметься дія акта, не визначена.</w:t>
      </w:r>
    </w:p>
    <w:p w:rsidR="00B7706E" w:rsidRDefault="00E22E49" w:rsidP="00000CE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Розмір коштів і час, що витрачатимуться суб'єктами господарювання та/або кваліфікованих осіб з проведення енергетичних аудитів, пов'язаними з виконанням вимог акта не визначені.</w:t>
      </w:r>
    </w:p>
    <w:p w:rsidR="00B7706E" w:rsidRDefault="00E22E49" w:rsidP="00000CE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Проєкт акта не містить дискримінаційних або таких, що обмежують конкуренцію норм.</w:t>
      </w:r>
    </w:p>
    <w:p w:rsidR="00B7706E" w:rsidRDefault="00B7706E">
      <w:pPr>
        <w:pBdr>
          <w:top w:val="nil"/>
          <w:left w:val="nil"/>
          <w:bottom w:val="nil"/>
          <w:right w:val="nil"/>
          <w:between w:val="nil"/>
        </w:pBdr>
        <w:spacing w:after="0" w:line="322" w:lineRule="auto"/>
        <w:ind w:firstLine="730"/>
        <w:jc w:val="both"/>
        <w:rPr>
          <w:rFonts w:ascii="Times New Roman" w:eastAsia="Times New Roman" w:hAnsi="Times New Roman" w:cs="Times New Roman"/>
          <w:color w:val="000000"/>
          <w:sz w:val="28"/>
          <w:szCs w:val="28"/>
        </w:rPr>
      </w:pPr>
    </w:p>
    <w:p w:rsidR="00B7706E" w:rsidRDefault="00E22E4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 Обґрунтування запропонованого строку дії регуляторного акта</w:t>
      </w:r>
    </w:p>
    <w:p w:rsidR="00B7706E" w:rsidRDefault="00B7706E">
      <w:pPr>
        <w:spacing w:after="0" w:line="240" w:lineRule="auto"/>
        <w:ind w:firstLine="709"/>
        <w:jc w:val="both"/>
        <w:rPr>
          <w:rFonts w:ascii="Times New Roman" w:eastAsia="Times New Roman" w:hAnsi="Times New Roman" w:cs="Times New Roman"/>
          <w:sz w:val="14"/>
          <w:szCs w:val="14"/>
        </w:rPr>
      </w:pPr>
    </w:p>
    <w:p w:rsidR="00B7706E" w:rsidRDefault="00E22E4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Оскільки проект регуляторного акту направлено на імплементації вимог нового Закону України «Про енергетичну ефективність», то строк дії вказаного акта відповідає строку дії цього Закону.</w:t>
      </w:r>
    </w:p>
    <w:p w:rsidR="00B7706E" w:rsidRDefault="00B7706E">
      <w:pPr>
        <w:spacing w:after="0" w:line="240" w:lineRule="auto"/>
        <w:ind w:firstLine="709"/>
        <w:jc w:val="both"/>
        <w:rPr>
          <w:rFonts w:ascii="Times New Roman" w:eastAsia="Times New Roman" w:hAnsi="Times New Roman" w:cs="Times New Roman"/>
          <w:sz w:val="28"/>
          <w:szCs w:val="28"/>
        </w:rPr>
      </w:pPr>
    </w:p>
    <w:p w:rsidR="00B7706E" w:rsidRDefault="00E22E4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VIII. Визначення показників результативності дії регуляторного акта</w:t>
      </w:r>
    </w:p>
    <w:p w:rsidR="00B7706E" w:rsidRDefault="00B7706E">
      <w:pPr>
        <w:spacing w:after="0" w:line="240" w:lineRule="auto"/>
        <w:ind w:firstLine="709"/>
        <w:jc w:val="both"/>
        <w:rPr>
          <w:rFonts w:ascii="Times New Roman" w:eastAsia="Times New Roman" w:hAnsi="Times New Roman" w:cs="Times New Roman"/>
          <w:sz w:val="14"/>
          <w:szCs w:val="14"/>
        </w:rPr>
      </w:pPr>
    </w:p>
    <w:p w:rsidR="00B7706E" w:rsidRDefault="00E22E4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Показниками результативності після набрання чинності регуляторного акта є:</w:t>
      </w:r>
    </w:p>
    <w:p w:rsidR="00B7706E" w:rsidRDefault="00E22E4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поінформованості суб'єктів господарювання та/або кваліфікованих осіб з проведення енергетичних аудитів з основних положень акта - високий, оскільки повідомлення про оприлюднення проекту постанови та аналізу регуляторного впливу акта розміщено на офіційних веб-сайтах Міністерства енергетики України (</w:t>
      </w:r>
      <w:hyperlink r:id="rId11">
        <w:r>
          <w:rPr>
            <w:rFonts w:ascii="Times New Roman" w:eastAsia="Times New Roman" w:hAnsi="Times New Roman" w:cs="Times New Roman"/>
            <w:color w:val="0066CC"/>
            <w:sz w:val="28"/>
            <w:szCs w:val="28"/>
            <w:u w:val="single"/>
          </w:rPr>
          <w:t>http://mev.gov.ua</w:t>
        </w:r>
      </w:hyperlink>
      <w:r>
        <w:rPr>
          <w:rFonts w:ascii="Times New Roman" w:eastAsia="Times New Roman" w:hAnsi="Times New Roman" w:cs="Times New Roman"/>
          <w:sz w:val="28"/>
          <w:szCs w:val="28"/>
        </w:rPr>
        <w:t> ) та Держенергоефективності  (</w:t>
      </w:r>
      <w:hyperlink r:id="rId12">
        <w:r>
          <w:rPr>
            <w:rFonts w:ascii="Times New Roman" w:eastAsia="Times New Roman" w:hAnsi="Times New Roman" w:cs="Times New Roman"/>
            <w:color w:val="0066CC"/>
            <w:sz w:val="28"/>
            <w:szCs w:val="28"/>
            <w:u w:val="single"/>
          </w:rPr>
          <w:t>http://saee.gov.ua</w:t>
        </w:r>
      </w:hyperlink>
      <w:r w:rsidR="00E43F2F">
        <w:rPr>
          <w:rFonts w:ascii="Times New Roman" w:eastAsia="Times New Roman" w:hAnsi="Times New Roman" w:cs="Times New Roman"/>
          <w:sz w:val="28"/>
          <w:szCs w:val="28"/>
        </w:rPr>
        <w:t> )</w:t>
      </w:r>
      <w:bookmarkStart w:id="2" w:name="_GoBack"/>
      <w:bookmarkEnd w:id="2"/>
      <w:r>
        <w:rPr>
          <w:rFonts w:ascii="Times New Roman" w:eastAsia="Times New Roman" w:hAnsi="Times New Roman" w:cs="Times New Roman"/>
          <w:sz w:val="28"/>
          <w:szCs w:val="28"/>
        </w:rPr>
        <w:t>;</w:t>
      </w:r>
    </w:p>
    <w:p w:rsidR="00B7706E" w:rsidRDefault="00E2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кількість суб’єктів господарювання, на яких поширюватиметься дія регуляторного акта.</w:t>
      </w:r>
    </w:p>
    <w:p w:rsidR="00B7706E" w:rsidRDefault="00E2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Кількісними показниками результативності акта є:</w:t>
      </w:r>
    </w:p>
    <w:p w:rsidR="00B7706E" w:rsidRDefault="00E2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кількість кваліфікованих осіб за відповідними напрямами;</w:t>
      </w:r>
    </w:p>
    <w:p w:rsidR="00B7706E" w:rsidRDefault="00E2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кількість осіб яким відмовлено в видачі кваліфікаційного сертифікату;</w:t>
      </w:r>
    </w:p>
    <w:p w:rsidR="00B7706E" w:rsidRDefault="00E22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highlight w:val="white"/>
        </w:rPr>
      </w:pPr>
      <w:bookmarkStart w:id="3" w:name="_heading=h.1fob9te" w:colFirst="0" w:colLast="0"/>
      <w:bookmarkEnd w:id="3"/>
      <w:r>
        <w:rPr>
          <w:rFonts w:ascii="Times New Roman" w:eastAsia="Times New Roman" w:hAnsi="Times New Roman" w:cs="Times New Roman"/>
          <w:sz w:val="28"/>
          <w:szCs w:val="28"/>
          <w:highlight w:val="white"/>
        </w:rPr>
        <w:t>кількість осіб кваліфікаційний сертифікат яких анульовано.</w:t>
      </w:r>
    </w:p>
    <w:p w:rsidR="00B7706E" w:rsidRDefault="00B77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highlight w:val="white"/>
        </w:rPr>
      </w:pPr>
    </w:p>
    <w:p w:rsidR="00B7706E" w:rsidRDefault="00E22E49">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IX. Визначення заходів, за допомогою яких здійснюватиметься відстеження результативності дії регуляторного акта</w:t>
      </w:r>
    </w:p>
    <w:p w:rsidR="00B7706E" w:rsidRDefault="00B7706E">
      <w:pPr>
        <w:spacing w:after="0" w:line="240" w:lineRule="auto"/>
        <w:ind w:firstLine="709"/>
        <w:jc w:val="both"/>
        <w:rPr>
          <w:rFonts w:ascii="Times New Roman" w:eastAsia="Times New Roman" w:hAnsi="Times New Roman" w:cs="Times New Roman"/>
          <w:sz w:val="14"/>
          <w:szCs w:val="14"/>
        </w:rPr>
      </w:pPr>
    </w:p>
    <w:p w:rsidR="00B7706E" w:rsidRDefault="00E22E49">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прийняття регуляторного акта послідовно здійснюються базове, повторне та періодичне відстеження його результативності згідно із статтею 10 Закону України «Про засади державної регуляторної політики у сфері господарської діяльності» та Методикою відстеження результативності регуляторного акта, затвердженою постановою Кабінету Міністрів України від 11.03.2004 № 308.</w:t>
      </w:r>
    </w:p>
    <w:p w:rsidR="00B7706E" w:rsidRDefault="00E22E49">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Відстеження результативності запропонованого регуляторного акта буде здійснюватися Регуляторний орган із використанням статистичного методу та статистичних даних.</w:t>
      </w:r>
    </w:p>
    <w:p w:rsidR="00B7706E" w:rsidRDefault="00E22E4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Базове відстеження результативності буде проведено через рік з дня набрання чинності цим регуляторним актом. </w:t>
      </w:r>
    </w:p>
    <w:p w:rsidR="00B7706E" w:rsidRDefault="00E22E4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Повторне відстеження результативності регуляторного акта буде проведено через два роки після набрання чинності цим актом. </w:t>
      </w:r>
    </w:p>
    <w:p w:rsidR="00B7706E" w:rsidRDefault="00E22E49">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Періодичне відстеження результативності регуляторного акта буде проводитись один раз на три роки після проведення заходів з повторного відстеження регуляторного акта.</w:t>
      </w:r>
    </w:p>
    <w:p w:rsidR="009C7FD6" w:rsidRDefault="009C7FD6">
      <w:pPr>
        <w:jc w:val="both"/>
        <w:rPr>
          <w:rFonts w:ascii="Times New Roman" w:eastAsia="Times New Roman" w:hAnsi="Times New Roman" w:cs="Times New Roman"/>
          <w:b/>
          <w:sz w:val="28"/>
          <w:szCs w:val="28"/>
          <w:lang w:val="ru-RU"/>
        </w:rPr>
      </w:pPr>
    </w:p>
    <w:p w:rsidR="00B7706E" w:rsidRDefault="009C7FD6">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ru-RU"/>
        </w:rPr>
        <w:t xml:space="preserve">  </w:t>
      </w:r>
      <w:r w:rsidR="00E22E49">
        <w:rPr>
          <w:rFonts w:ascii="Times New Roman" w:eastAsia="Times New Roman" w:hAnsi="Times New Roman" w:cs="Times New Roman"/>
          <w:b/>
          <w:sz w:val="28"/>
          <w:szCs w:val="28"/>
        </w:rPr>
        <w:t xml:space="preserve">Голова      </w:t>
      </w:r>
    </w:p>
    <w:p w:rsidR="00B7706E" w:rsidRPr="009C7FD6" w:rsidRDefault="00E22E49">
      <w:pPr>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rPr>
        <w:t xml:space="preserve">  Держенергоефективності                                                       Валерій БЕЗУС</w:t>
      </w:r>
    </w:p>
    <w:p w:rsidR="00B7706E" w:rsidRDefault="00E22E4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 _________ 2022 </w:t>
      </w:r>
      <w:bookmarkStart w:id="4" w:name="bookmark=id.3znysh7" w:colFirst="0" w:colLast="0"/>
      <w:bookmarkEnd w:id="4"/>
    </w:p>
    <w:p w:rsidR="00B7706E" w:rsidRDefault="00B7706E">
      <w:pPr>
        <w:jc w:val="both"/>
        <w:rPr>
          <w:rFonts w:ascii="Times New Roman" w:eastAsia="Times New Roman" w:hAnsi="Times New Roman" w:cs="Times New Roman"/>
          <w:sz w:val="28"/>
          <w:szCs w:val="28"/>
        </w:rPr>
      </w:pPr>
      <w:bookmarkStart w:id="5" w:name="bookmark=id.2et92p0" w:colFirst="0" w:colLast="0"/>
      <w:bookmarkEnd w:id="5"/>
    </w:p>
    <w:sectPr w:rsidR="00B7706E" w:rsidSect="008F26C3">
      <w:headerReference w:type="default" r:id="rId13"/>
      <w:footerReference w:type="default" r:id="rId14"/>
      <w:headerReference w:type="first" r:id="rId15"/>
      <w:type w:val="continuous"/>
      <w:pgSz w:w="11906" w:h="16838"/>
      <w:pgMar w:top="1134" w:right="851"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042" w:rsidRDefault="00E67042" w:rsidP="003519EB">
      <w:pPr>
        <w:spacing w:after="0" w:line="240" w:lineRule="auto"/>
      </w:pPr>
      <w:r>
        <w:separator/>
      </w:r>
    </w:p>
  </w:endnote>
  <w:endnote w:type="continuationSeparator" w:id="0">
    <w:p w:rsidR="00E67042" w:rsidRDefault="00E67042" w:rsidP="0035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59" w:rsidRDefault="00F26059">
    <w:pPr>
      <w:pStyle w:val="af2"/>
      <w:jc w:val="right"/>
    </w:pPr>
  </w:p>
  <w:p w:rsidR="00F26059" w:rsidRDefault="00F2605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042" w:rsidRDefault="00E67042" w:rsidP="003519EB">
      <w:pPr>
        <w:spacing w:after="0" w:line="240" w:lineRule="auto"/>
      </w:pPr>
      <w:r>
        <w:separator/>
      </w:r>
    </w:p>
  </w:footnote>
  <w:footnote w:type="continuationSeparator" w:id="0">
    <w:p w:rsidR="00E67042" w:rsidRDefault="00E67042" w:rsidP="00351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52311"/>
      <w:docPartObj>
        <w:docPartGallery w:val="Page Numbers (Top of Page)"/>
        <w:docPartUnique/>
      </w:docPartObj>
    </w:sdtPr>
    <w:sdtEndPr/>
    <w:sdtContent>
      <w:p w:rsidR="00F26059" w:rsidRDefault="00F26059">
        <w:pPr>
          <w:pStyle w:val="af0"/>
          <w:jc w:val="center"/>
        </w:pPr>
        <w:r>
          <w:fldChar w:fldCharType="begin"/>
        </w:r>
        <w:r>
          <w:instrText>PAGE   \* MERGEFORMAT</w:instrText>
        </w:r>
        <w:r>
          <w:fldChar w:fldCharType="separate"/>
        </w:r>
        <w:r w:rsidR="00E43F2F" w:rsidRPr="00E43F2F">
          <w:rPr>
            <w:noProof/>
            <w:lang w:val="ru-RU"/>
          </w:rPr>
          <w:t>14</w:t>
        </w:r>
        <w:r>
          <w:fldChar w:fldCharType="end"/>
        </w:r>
      </w:p>
    </w:sdtContent>
  </w:sdt>
  <w:p w:rsidR="003519EB" w:rsidRDefault="003519E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59" w:rsidRDefault="00F26059">
    <w:pPr>
      <w:pStyle w:val="af0"/>
      <w:jc w:val="center"/>
    </w:pPr>
  </w:p>
  <w:p w:rsidR="000D17B5" w:rsidRDefault="000D17B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B1BC1"/>
    <w:multiLevelType w:val="multilevel"/>
    <w:tmpl w:val="EB3E6C56"/>
    <w:lvl w:ilvl="0">
      <w:start w:val="1"/>
      <w:numFmt w:val="decimal"/>
      <w:lvlText w:val="%1."/>
      <w:lvlJc w:val="left"/>
      <w:pPr>
        <w:ind w:left="974" w:hanging="720"/>
      </w:pPr>
    </w:lvl>
    <w:lvl w:ilvl="1">
      <w:start w:val="1"/>
      <w:numFmt w:val="decimal"/>
      <w:lvlText w:val="%2."/>
      <w:lvlJc w:val="left"/>
      <w:pPr>
        <w:ind w:left="1694" w:hanging="720"/>
      </w:pPr>
    </w:lvl>
    <w:lvl w:ilvl="2">
      <w:start w:val="1"/>
      <w:numFmt w:val="decimal"/>
      <w:lvlText w:val="%3."/>
      <w:lvlJc w:val="left"/>
      <w:pPr>
        <w:ind w:left="2414" w:hanging="720"/>
      </w:pPr>
    </w:lvl>
    <w:lvl w:ilvl="3">
      <w:start w:val="1"/>
      <w:numFmt w:val="decimal"/>
      <w:lvlText w:val="%4."/>
      <w:lvlJc w:val="left"/>
      <w:pPr>
        <w:ind w:left="3134" w:hanging="720"/>
      </w:pPr>
    </w:lvl>
    <w:lvl w:ilvl="4">
      <w:start w:val="1"/>
      <w:numFmt w:val="decimal"/>
      <w:lvlText w:val="%5."/>
      <w:lvlJc w:val="left"/>
      <w:pPr>
        <w:ind w:left="3854" w:hanging="720"/>
      </w:pPr>
    </w:lvl>
    <w:lvl w:ilvl="5">
      <w:start w:val="1"/>
      <w:numFmt w:val="decimal"/>
      <w:lvlText w:val="%6."/>
      <w:lvlJc w:val="left"/>
      <w:pPr>
        <w:ind w:left="4574" w:hanging="720"/>
      </w:pPr>
    </w:lvl>
    <w:lvl w:ilvl="6">
      <w:start w:val="1"/>
      <w:numFmt w:val="decimal"/>
      <w:lvlText w:val="%7."/>
      <w:lvlJc w:val="left"/>
      <w:pPr>
        <w:ind w:left="5294" w:hanging="720"/>
      </w:pPr>
    </w:lvl>
    <w:lvl w:ilvl="7">
      <w:start w:val="1"/>
      <w:numFmt w:val="decimal"/>
      <w:lvlText w:val="%8."/>
      <w:lvlJc w:val="left"/>
      <w:pPr>
        <w:ind w:left="6014" w:hanging="720"/>
      </w:pPr>
    </w:lvl>
    <w:lvl w:ilvl="8">
      <w:start w:val="1"/>
      <w:numFmt w:val="decimal"/>
      <w:lvlText w:val="%9."/>
      <w:lvlJc w:val="left"/>
      <w:pPr>
        <w:ind w:left="6734"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7706E"/>
    <w:rsid w:val="00000CEE"/>
    <w:rsid w:val="000D17B5"/>
    <w:rsid w:val="00146388"/>
    <w:rsid w:val="00162986"/>
    <w:rsid w:val="00226D77"/>
    <w:rsid w:val="003074FF"/>
    <w:rsid w:val="003519EB"/>
    <w:rsid w:val="00577CD8"/>
    <w:rsid w:val="008A6755"/>
    <w:rsid w:val="008F26C3"/>
    <w:rsid w:val="00991A24"/>
    <w:rsid w:val="009C7FD6"/>
    <w:rsid w:val="00AF508A"/>
    <w:rsid w:val="00B7706E"/>
    <w:rsid w:val="00CE3101"/>
    <w:rsid w:val="00D26CFD"/>
    <w:rsid w:val="00DB5EA1"/>
    <w:rsid w:val="00DC48B8"/>
    <w:rsid w:val="00E22E49"/>
    <w:rsid w:val="00E255F6"/>
    <w:rsid w:val="00E43F2F"/>
    <w:rsid w:val="00E67042"/>
    <w:rsid w:val="00F26059"/>
    <w:rsid w:val="00F6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unhideWhenUsed/>
    <w:qFormat/>
    <w:rsid w:val="00484ED3"/>
    <w:pPr>
      <w:keepNext/>
      <w:keepLines/>
      <w:spacing w:after="120" w:line="276" w:lineRule="auto"/>
      <w:ind w:left="709"/>
      <w:jc w:val="both"/>
      <w:outlineLvl w:val="2"/>
    </w:pPr>
    <w:rPr>
      <w:rFonts w:ascii="Times New Roman" w:eastAsiaTheme="majorEastAsia" w:hAnsi="Times New Roman" w:cstheme="majorBidi"/>
      <w:i/>
      <w:sz w:val="28"/>
      <w:szCs w:val="24"/>
      <w:lang w:val="en-US"/>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FontStyle152">
    <w:name w:val="Font Style152"/>
    <w:basedOn w:val="a0"/>
    <w:uiPriority w:val="99"/>
    <w:rsid w:val="00506BFA"/>
    <w:rPr>
      <w:rFonts w:ascii="Times New Roman" w:hAnsi="Times New Roman" w:cs="Times New Roman"/>
      <w:color w:val="000000"/>
      <w:sz w:val="26"/>
      <w:szCs w:val="26"/>
    </w:rPr>
  </w:style>
  <w:style w:type="paragraph" w:customStyle="1" w:styleId="Style68">
    <w:name w:val="Style68"/>
    <w:basedOn w:val="a"/>
    <w:uiPriority w:val="99"/>
    <w:rsid w:val="00506BFA"/>
    <w:pPr>
      <w:widowControl w:val="0"/>
      <w:autoSpaceDE w:val="0"/>
      <w:autoSpaceDN w:val="0"/>
      <w:adjustRightInd w:val="0"/>
      <w:spacing w:after="0" w:line="320" w:lineRule="exact"/>
      <w:jc w:val="center"/>
    </w:pPr>
    <w:rPr>
      <w:rFonts w:ascii="Times New Roman" w:eastAsiaTheme="minorEastAsia" w:hAnsi="Times New Roman" w:cs="Times New Roman"/>
      <w:sz w:val="24"/>
      <w:szCs w:val="24"/>
      <w:lang w:val="ru-RU"/>
    </w:rPr>
  </w:style>
  <w:style w:type="paragraph" w:customStyle="1" w:styleId="Style72">
    <w:name w:val="Style72"/>
    <w:basedOn w:val="a"/>
    <w:uiPriority w:val="99"/>
    <w:rsid w:val="00506BFA"/>
    <w:pPr>
      <w:widowControl w:val="0"/>
      <w:autoSpaceDE w:val="0"/>
      <w:autoSpaceDN w:val="0"/>
      <w:adjustRightInd w:val="0"/>
      <w:spacing w:after="0" w:line="322" w:lineRule="exact"/>
      <w:ind w:firstLine="293"/>
      <w:jc w:val="both"/>
    </w:pPr>
    <w:rPr>
      <w:rFonts w:ascii="Times New Roman" w:eastAsiaTheme="minorEastAsia" w:hAnsi="Times New Roman" w:cs="Times New Roman"/>
      <w:sz w:val="24"/>
      <w:szCs w:val="24"/>
      <w:lang w:val="ru-RU"/>
    </w:rPr>
  </w:style>
  <w:style w:type="paragraph" w:customStyle="1" w:styleId="Style74">
    <w:name w:val="Style74"/>
    <w:basedOn w:val="a"/>
    <w:uiPriority w:val="99"/>
    <w:rsid w:val="00506BFA"/>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val="ru-RU"/>
    </w:rPr>
  </w:style>
  <w:style w:type="paragraph" w:customStyle="1" w:styleId="Style57">
    <w:name w:val="Style57"/>
    <w:basedOn w:val="a"/>
    <w:uiPriority w:val="99"/>
    <w:rsid w:val="00F94736"/>
    <w:pPr>
      <w:widowControl w:val="0"/>
      <w:autoSpaceDE w:val="0"/>
      <w:autoSpaceDN w:val="0"/>
      <w:adjustRightInd w:val="0"/>
      <w:spacing w:after="0" w:line="322" w:lineRule="exact"/>
      <w:ind w:firstLine="571"/>
      <w:jc w:val="both"/>
    </w:pPr>
    <w:rPr>
      <w:rFonts w:ascii="Times New Roman" w:eastAsiaTheme="minorEastAsia" w:hAnsi="Times New Roman" w:cs="Times New Roman"/>
      <w:sz w:val="24"/>
      <w:szCs w:val="24"/>
      <w:lang w:val="ru-RU"/>
    </w:rPr>
  </w:style>
  <w:style w:type="paragraph" w:customStyle="1" w:styleId="Style58">
    <w:name w:val="Style58"/>
    <w:basedOn w:val="a"/>
    <w:uiPriority w:val="99"/>
    <w:rsid w:val="00F94736"/>
    <w:pPr>
      <w:widowControl w:val="0"/>
      <w:autoSpaceDE w:val="0"/>
      <w:autoSpaceDN w:val="0"/>
      <w:adjustRightInd w:val="0"/>
      <w:spacing w:after="0" w:line="322" w:lineRule="exact"/>
      <w:ind w:firstLine="581"/>
      <w:jc w:val="both"/>
    </w:pPr>
    <w:rPr>
      <w:rFonts w:ascii="Times New Roman" w:eastAsiaTheme="minorEastAsia" w:hAnsi="Times New Roman" w:cs="Times New Roman"/>
      <w:sz w:val="24"/>
      <w:szCs w:val="24"/>
      <w:lang w:val="ru-RU"/>
    </w:rPr>
  </w:style>
  <w:style w:type="paragraph" w:customStyle="1" w:styleId="Style62">
    <w:name w:val="Style62"/>
    <w:basedOn w:val="a"/>
    <w:uiPriority w:val="99"/>
    <w:rsid w:val="00F94736"/>
    <w:pPr>
      <w:widowControl w:val="0"/>
      <w:autoSpaceDE w:val="0"/>
      <w:autoSpaceDN w:val="0"/>
      <w:adjustRightInd w:val="0"/>
      <w:spacing w:after="0" w:line="240" w:lineRule="auto"/>
    </w:pPr>
    <w:rPr>
      <w:rFonts w:ascii="Times New Roman" w:eastAsiaTheme="minorEastAsia" w:hAnsi="Times New Roman" w:cs="Times New Roman"/>
      <w:sz w:val="24"/>
      <w:szCs w:val="24"/>
      <w:lang w:val="ru-RU"/>
    </w:rPr>
  </w:style>
  <w:style w:type="character" w:customStyle="1" w:styleId="FontStyle151">
    <w:name w:val="Font Style151"/>
    <w:basedOn w:val="a0"/>
    <w:uiPriority w:val="99"/>
    <w:rsid w:val="00F94736"/>
    <w:rPr>
      <w:rFonts w:ascii="Times New Roman" w:hAnsi="Times New Roman" w:cs="Times New Roman"/>
      <w:b/>
      <w:bCs/>
      <w:color w:val="000000"/>
      <w:sz w:val="26"/>
      <w:szCs w:val="26"/>
    </w:rPr>
  </w:style>
  <w:style w:type="character" w:customStyle="1" w:styleId="FontStyle153">
    <w:name w:val="Font Style153"/>
    <w:basedOn w:val="a0"/>
    <w:uiPriority w:val="99"/>
    <w:rsid w:val="00F94736"/>
    <w:rPr>
      <w:rFonts w:ascii="Times New Roman" w:hAnsi="Times New Roman" w:cs="Times New Roman"/>
      <w:color w:val="000000"/>
      <w:sz w:val="22"/>
      <w:szCs w:val="22"/>
    </w:rPr>
  </w:style>
  <w:style w:type="paragraph" w:customStyle="1" w:styleId="Style71">
    <w:name w:val="Style71"/>
    <w:basedOn w:val="a"/>
    <w:uiPriority w:val="99"/>
    <w:rsid w:val="00F94736"/>
    <w:pPr>
      <w:widowControl w:val="0"/>
      <w:autoSpaceDE w:val="0"/>
      <w:autoSpaceDN w:val="0"/>
      <w:adjustRightInd w:val="0"/>
      <w:spacing w:after="0" w:line="322" w:lineRule="exact"/>
      <w:ind w:firstLine="571"/>
      <w:jc w:val="both"/>
    </w:pPr>
    <w:rPr>
      <w:rFonts w:ascii="Times New Roman" w:eastAsiaTheme="minorEastAsia" w:hAnsi="Times New Roman" w:cs="Times New Roman"/>
      <w:sz w:val="24"/>
      <w:szCs w:val="24"/>
      <w:lang w:val="ru-RU"/>
    </w:rPr>
  </w:style>
  <w:style w:type="paragraph" w:customStyle="1" w:styleId="Style73">
    <w:name w:val="Style73"/>
    <w:basedOn w:val="a"/>
    <w:uiPriority w:val="99"/>
    <w:rsid w:val="00F94736"/>
    <w:pPr>
      <w:widowControl w:val="0"/>
      <w:autoSpaceDE w:val="0"/>
      <w:autoSpaceDN w:val="0"/>
      <w:adjustRightInd w:val="0"/>
      <w:spacing w:after="0" w:line="240" w:lineRule="auto"/>
    </w:pPr>
    <w:rPr>
      <w:rFonts w:ascii="Times New Roman" w:eastAsiaTheme="minorEastAsia" w:hAnsi="Times New Roman" w:cs="Times New Roman"/>
      <w:sz w:val="24"/>
      <w:szCs w:val="24"/>
      <w:lang w:val="ru-RU"/>
    </w:rPr>
  </w:style>
  <w:style w:type="paragraph" w:customStyle="1" w:styleId="Default">
    <w:name w:val="Default"/>
    <w:rsid w:val="00F94736"/>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Style84">
    <w:name w:val="Style84"/>
    <w:basedOn w:val="a"/>
    <w:uiPriority w:val="99"/>
    <w:rsid w:val="00F94736"/>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val="ru-RU"/>
    </w:rPr>
  </w:style>
  <w:style w:type="paragraph" w:customStyle="1" w:styleId="Style5">
    <w:name w:val="Style5"/>
    <w:basedOn w:val="a"/>
    <w:uiPriority w:val="99"/>
    <w:rsid w:val="00F94736"/>
    <w:pPr>
      <w:widowControl w:val="0"/>
      <w:autoSpaceDE w:val="0"/>
      <w:autoSpaceDN w:val="0"/>
      <w:adjustRightInd w:val="0"/>
      <w:spacing w:after="0" w:line="323" w:lineRule="exact"/>
      <w:ind w:firstLine="710"/>
      <w:jc w:val="both"/>
    </w:pPr>
    <w:rPr>
      <w:rFonts w:ascii="Times New Roman" w:eastAsiaTheme="minorEastAsia" w:hAnsi="Times New Roman" w:cs="Times New Roman"/>
      <w:sz w:val="24"/>
      <w:szCs w:val="24"/>
      <w:lang w:val="ru-RU"/>
    </w:rPr>
  </w:style>
  <w:style w:type="paragraph" w:customStyle="1" w:styleId="Style78">
    <w:name w:val="Style78"/>
    <w:basedOn w:val="a"/>
    <w:uiPriority w:val="99"/>
    <w:rsid w:val="00F94736"/>
    <w:pPr>
      <w:widowControl w:val="0"/>
      <w:autoSpaceDE w:val="0"/>
      <w:autoSpaceDN w:val="0"/>
      <w:adjustRightInd w:val="0"/>
      <w:spacing w:after="0" w:line="322" w:lineRule="exact"/>
      <w:ind w:firstLine="427"/>
      <w:jc w:val="both"/>
    </w:pPr>
    <w:rPr>
      <w:rFonts w:ascii="Times New Roman" w:eastAsiaTheme="minorEastAsia" w:hAnsi="Times New Roman" w:cs="Times New Roman"/>
      <w:sz w:val="24"/>
      <w:szCs w:val="24"/>
      <w:lang w:val="ru-RU"/>
    </w:rPr>
  </w:style>
  <w:style w:type="paragraph" w:customStyle="1" w:styleId="Style77">
    <w:name w:val="Style77"/>
    <w:basedOn w:val="a"/>
    <w:uiPriority w:val="99"/>
    <w:rsid w:val="00F94736"/>
    <w:pPr>
      <w:widowControl w:val="0"/>
      <w:autoSpaceDE w:val="0"/>
      <w:autoSpaceDN w:val="0"/>
      <w:adjustRightInd w:val="0"/>
      <w:spacing w:after="0" w:line="322" w:lineRule="exact"/>
    </w:pPr>
    <w:rPr>
      <w:rFonts w:ascii="Times New Roman" w:eastAsiaTheme="minorEastAsia" w:hAnsi="Times New Roman" w:cs="Times New Roman"/>
      <w:sz w:val="24"/>
      <w:szCs w:val="24"/>
      <w:lang w:val="ru-RU"/>
    </w:rPr>
  </w:style>
  <w:style w:type="paragraph" w:customStyle="1" w:styleId="Style95">
    <w:name w:val="Style95"/>
    <w:basedOn w:val="a"/>
    <w:uiPriority w:val="99"/>
    <w:rsid w:val="00F94736"/>
    <w:pPr>
      <w:widowControl w:val="0"/>
      <w:autoSpaceDE w:val="0"/>
      <w:autoSpaceDN w:val="0"/>
      <w:adjustRightInd w:val="0"/>
      <w:spacing w:after="0" w:line="322" w:lineRule="exact"/>
      <w:ind w:firstLine="130"/>
    </w:pPr>
    <w:rPr>
      <w:rFonts w:ascii="Times New Roman" w:eastAsiaTheme="minorEastAsia" w:hAnsi="Times New Roman" w:cs="Times New Roman"/>
      <w:sz w:val="24"/>
      <w:szCs w:val="24"/>
      <w:lang w:val="ru-RU"/>
    </w:rPr>
  </w:style>
  <w:style w:type="paragraph" w:customStyle="1" w:styleId="Style97">
    <w:name w:val="Style97"/>
    <w:basedOn w:val="a"/>
    <w:uiPriority w:val="99"/>
    <w:rsid w:val="00F94736"/>
    <w:pPr>
      <w:widowControl w:val="0"/>
      <w:autoSpaceDE w:val="0"/>
      <w:autoSpaceDN w:val="0"/>
      <w:adjustRightInd w:val="0"/>
      <w:spacing w:after="0" w:line="322" w:lineRule="exact"/>
      <w:ind w:firstLine="538"/>
    </w:pPr>
    <w:rPr>
      <w:rFonts w:ascii="Times New Roman" w:eastAsiaTheme="minorEastAsia" w:hAnsi="Times New Roman" w:cs="Times New Roman"/>
      <w:sz w:val="24"/>
      <w:szCs w:val="24"/>
      <w:lang w:val="ru-RU"/>
    </w:rPr>
  </w:style>
  <w:style w:type="character" w:styleId="a4">
    <w:name w:val="Hyperlink"/>
    <w:basedOn w:val="a0"/>
    <w:uiPriority w:val="99"/>
    <w:rsid w:val="00F94736"/>
    <w:rPr>
      <w:color w:val="0066CC"/>
      <w:u w:val="single"/>
    </w:rPr>
  </w:style>
  <w:style w:type="paragraph" w:customStyle="1" w:styleId="Style10">
    <w:name w:val="Style10"/>
    <w:basedOn w:val="a"/>
    <w:uiPriority w:val="99"/>
    <w:rsid w:val="00F94736"/>
    <w:pPr>
      <w:widowControl w:val="0"/>
      <w:autoSpaceDE w:val="0"/>
      <w:autoSpaceDN w:val="0"/>
      <w:adjustRightInd w:val="0"/>
      <w:spacing w:after="0" w:line="240" w:lineRule="auto"/>
    </w:pPr>
    <w:rPr>
      <w:rFonts w:ascii="Times New Roman" w:eastAsiaTheme="minorEastAsia" w:hAnsi="Times New Roman" w:cs="Times New Roman"/>
      <w:sz w:val="24"/>
      <w:szCs w:val="24"/>
      <w:lang w:val="ru-RU"/>
    </w:rPr>
  </w:style>
  <w:style w:type="paragraph" w:customStyle="1" w:styleId="Style8">
    <w:name w:val="Style8"/>
    <w:basedOn w:val="a"/>
    <w:uiPriority w:val="99"/>
    <w:rsid w:val="00F94736"/>
    <w:pPr>
      <w:widowControl w:val="0"/>
      <w:autoSpaceDE w:val="0"/>
      <w:autoSpaceDN w:val="0"/>
      <w:adjustRightInd w:val="0"/>
      <w:spacing w:after="0" w:line="240" w:lineRule="auto"/>
    </w:pPr>
    <w:rPr>
      <w:rFonts w:ascii="Times New Roman" w:eastAsiaTheme="minorEastAsia" w:hAnsi="Times New Roman" w:cs="Times New Roman"/>
      <w:sz w:val="24"/>
      <w:szCs w:val="24"/>
      <w:lang w:val="ru-RU"/>
    </w:rPr>
  </w:style>
  <w:style w:type="paragraph" w:styleId="a5">
    <w:name w:val="List Paragraph"/>
    <w:basedOn w:val="a"/>
    <w:uiPriority w:val="34"/>
    <w:qFormat/>
    <w:rsid w:val="00CE451B"/>
    <w:pPr>
      <w:ind w:left="720"/>
      <w:contextualSpacing/>
    </w:pPr>
  </w:style>
  <w:style w:type="character" w:customStyle="1" w:styleId="30">
    <w:name w:val="Заголовок 3 Знак"/>
    <w:basedOn w:val="a0"/>
    <w:link w:val="3"/>
    <w:uiPriority w:val="9"/>
    <w:rsid w:val="00484ED3"/>
    <w:rPr>
      <w:rFonts w:ascii="Times New Roman" w:eastAsiaTheme="majorEastAsia" w:hAnsi="Times New Roman" w:cstheme="majorBidi"/>
      <w:i/>
      <w:sz w:val="28"/>
      <w:szCs w:val="24"/>
      <w:lang w:val="en-US"/>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40" w:type="dxa"/>
        <w:right w:w="40" w:type="dxa"/>
      </w:tblCellMar>
    </w:tblPr>
  </w:style>
  <w:style w:type="table" w:customStyle="1" w:styleId="ae">
    <w:basedOn w:val="TableNormal"/>
    <w:tblPr>
      <w:tblStyleRowBandSize w:val="1"/>
      <w:tblStyleColBandSize w:val="1"/>
      <w:tblCellMar>
        <w:left w:w="40" w:type="dxa"/>
        <w:right w:w="40" w:type="dxa"/>
      </w:tblCellMar>
    </w:tblPr>
  </w:style>
  <w:style w:type="table" w:customStyle="1" w:styleId="af">
    <w:basedOn w:val="TableNormal"/>
    <w:tblPr>
      <w:tblStyleRowBandSize w:val="1"/>
      <w:tblStyleColBandSize w:val="1"/>
      <w:tblCellMar>
        <w:left w:w="40" w:type="dxa"/>
        <w:right w:w="40" w:type="dxa"/>
      </w:tblCellMar>
    </w:tblPr>
  </w:style>
  <w:style w:type="paragraph" w:styleId="af0">
    <w:name w:val="header"/>
    <w:basedOn w:val="a"/>
    <w:link w:val="af1"/>
    <w:uiPriority w:val="99"/>
    <w:unhideWhenUsed/>
    <w:rsid w:val="003519E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519EB"/>
  </w:style>
  <w:style w:type="paragraph" w:styleId="af2">
    <w:name w:val="footer"/>
    <w:basedOn w:val="a"/>
    <w:link w:val="af3"/>
    <w:uiPriority w:val="99"/>
    <w:unhideWhenUsed/>
    <w:rsid w:val="003519E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51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unhideWhenUsed/>
    <w:qFormat/>
    <w:rsid w:val="00484ED3"/>
    <w:pPr>
      <w:keepNext/>
      <w:keepLines/>
      <w:spacing w:after="120" w:line="276" w:lineRule="auto"/>
      <w:ind w:left="709"/>
      <w:jc w:val="both"/>
      <w:outlineLvl w:val="2"/>
    </w:pPr>
    <w:rPr>
      <w:rFonts w:ascii="Times New Roman" w:eastAsiaTheme="majorEastAsia" w:hAnsi="Times New Roman" w:cstheme="majorBidi"/>
      <w:i/>
      <w:sz w:val="28"/>
      <w:szCs w:val="24"/>
      <w:lang w:val="en-US"/>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FontStyle152">
    <w:name w:val="Font Style152"/>
    <w:basedOn w:val="a0"/>
    <w:uiPriority w:val="99"/>
    <w:rsid w:val="00506BFA"/>
    <w:rPr>
      <w:rFonts w:ascii="Times New Roman" w:hAnsi="Times New Roman" w:cs="Times New Roman"/>
      <w:color w:val="000000"/>
      <w:sz w:val="26"/>
      <w:szCs w:val="26"/>
    </w:rPr>
  </w:style>
  <w:style w:type="paragraph" w:customStyle="1" w:styleId="Style68">
    <w:name w:val="Style68"/>
    <w:basedOn w:val="a"/>
    <w:uiPriority w:val="99"/>
    <w:rsid w:val="00506BFA"/>
    <w:pPr>
      <w:widowControl w:val="0"/>
      <w:autoSpaceDE w:val="0"/>
      <w:autoSpaceDN w:val="0"/>
      <w:adjustRightInd w:val="0"/>
      <w:spacing w:after="0" w:line="320" w:lineRule="exact"/>
      <w:jc w:val="center"/>
    </w:pPr>
    <w:rPr>
      <w:rFonts w:ascii="Times New Roman" w:eastAsiaTheme="minorEastAsia" w:hAnsi="Times New Roman" w:cs="Times New Roman"/>
      <w:sz w:val="24"/>
      <w:szCs w:val="24"/>
      <w:lang w:val="ru-RU"/>
    </w:rPr>
  </w:style>
  <w:style w:type="paragraph" w:customStyle="1" w:styleId="Style72">
    <w:name w:val="Style72"/>
    <w:basedOn w:val="a"/>
    <w:uiPriority w:val="99"/>
    <w:rsid w:val="00506BFA"/>
    <w:pPr>
      <w:widowControl w:val="0"/>
      <w:autoSpaceDE w:val="0"/>
      <w:autoSpaceDN w:val="0"/>
      <w:adjustRightInd w:val="0"/>
      <w:spacing w:after="0" w:line="322" w:lineRule="exact"/>
      <w:ind w:firstLine="293"/>
      <w:jc w:val="both"/>
    </w:pPr>
    <w:rPr>
      <w:rFonts w:ascii="Times New Roman" w:eastAsiaTheme="minorEastAsia" w:hAnsi="Times New Roman" w:cs="Times New Roman"/>
      <w:sz w:val="24"/>
      <w:szCs w:val="24"/>
      <w:lang w:val="ru-RU"/>
    </w:rPr>
  </w:style>
  <w:style w:type="paragraph" w:customStyle="1" w:styleId="Style74">
    <w:name w:val="Style74"/>
    <w:basedOn w:val="a"/>
    <w:uiPriority w:val="99"/>
    <w:rsid w:val="00506BFA"/>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val="ru-RU"/>
    </w:rPr>
  </w:style>
  <w:style w:type="paragraph" w:customStyle="1" w:styleId="Style57">
    <w:name w:val="Style57"/>
    <w:basedOn w:val="a"/>
    <w:uiPriority w:val="99"/>
    <w:rsid w:val="00F94736"/>
    <w:pPr>
      <w:widowControl w:val="0"/>
      <w:autoSpaceDE w:val="0"/>
      <w:autoSpaceDN w:val="0"/>
      <w:adjustRightInd w:val="0"/>
      <w:spacing w:after="0" w:line="322" w:lineRule="exact"/>
      <w:ind w:firstLine="571"/>
      <w:jc w:val="both"/>
    </w:pPr>
    <w:rPr>
      <w:rFonts w:ascii="Times New Roman" w:eastAsiaTheme="minorEastAsia" w:hAnsi="Times New Roman" w:cs="Times New Roman"/>
      <w:sz w:val="24"/>
      <w:szCs w:val="24"/>
      <w:lang w:val="ru-RU"/>
    </w:rPr>
  </w:style>
  <w:style w:type="paragraph" w:customStyle="1" w:styleId="Style58">
    <w:name w:val="Style58"/>
    <w:basedOn w:val="a"/>
    <w:uiPriority w:val="99"/>
    <w:rsid w:val="00F94736"/>
    <w:pPr>
      <w:widowControl w:val="0"/>
      <w:autoSpaceDE w:val="0"/>
      <w:autoSpaceDN w:val="0"/>
      <w:adjustRightInd w:val="0"/>
      <w:spacing w:after="0" w:line="322" w:lineRule="exact"/>
      <w:ind w:firstLine="581"/>
      <w:jc w:val="both"/>
    </w:pPr>
    <w:rPr>
      <w:rFonts w:ascii="Times New Roman" w:eastAsiaTheme="minorEastAsia" w:hAnsi="Times New Roman" w:cs="Times New Roman"/>
      <w:sz w:val="24"/>
      <w:szCs w:val="24"/>
      <w:lang w:val="ru-RU"/>
    </w:rPr>
  </w:style>
  <w:style w:type="paragraph" w:customStyle="1" w:styleId="Style62">
    <w:name w:val="Style62"/>
    <w:basedOn w:val="a"/>
    <w:uiPriority w:val="99"/>
    <w:rsid w:val="00F94736"/>
    <w:pPr>
      <w:widowControl w:val="0"/>
      <w:autoSpaceDE w:val="0"/>
      <w:autoSpaceDN w:val="0"/>
      <w:adjustRightInd w:val="0"/>
      <w:spacing w:after="0" w:line="240" w:lineRule="auto"/>
    </w:pPr>
    <w:rPr>
      <w:rFonts w:ascii="Times New Roman" w:eastAsiaTheme="minorEastAsia" w:hAnsi="Times New Roman" w:cs="Times New Roman"/>
      <w:sz w:val="24"/>
      <w:szCs w:val="24"/>
      <w:lang w:val="ru-RU"/>
    </w:rPr>
  </w:style>
  <w:style w:type="character" w:customStyle="1" w:styleId="FontStyle151">
    <w:name w:val="Font Style151"/>
    <w:basedOn w:val="a0"/>
    <w:uiPriority w:val="99"/>
    <w:rsid w:val="00F94736"/>
    <w:rPr>
      <w:rFonts w:ascii="Times New Roman" w:hAnsi="Times New Roman" w:cs="Times New Roman"/>
      <w:b/>
      <w:bCs/>
      <w:color w:val="000000"/>
      <w:sz w:val="26"/>
      <w:szCs w:val="26"/>
    </w:rPr>
  </w:style>
  <w:style w:type="character" w:customStyle="1" w:styleId="FontStyle153">
    <w:name w:val="Font Style153"/>
    <w:basedOn w:val="a0"/>
    <w:uiPriority w:val="99"/>
    <w:rsid w:val="00F94736"/>
    <w:rPr>
      <w:rFonts w:ascii="Times New Roman" w:hAnsi="Times New Roman" w:cs="Times New Roman"/>
      <w:color w:val="000000"/>
      <w:sz w:val="22"/>
      <w:szCs w:val="22"/>
    </w:rPr>
  </w:style>
  <w:style w:type="paragraph" w:customStyle="1" w:styleId="Style71">
    <w:name w:val="Style71"/>
    <w:basedOn w:val="a"/>
    <w:uiPriority w:val="99"/>
    <w:rsid w:val="00F94736"/>
    <w:pPr>
      <w:widowControl w:val="0"/>
      <w:autoSpaceDE w:val="0"/>
      <w:autoSpaceDN w:val="0"/>
      <w:adjustRightInd w:val="0"/>
      <w:spacing w:after="0" w:line="322" w:lineRule="exact"/>
      <w:ind w:firstLine="571"/>
      <w:jc w:val="both"/>
    </w:pPr>
    <w:rPr>
      <w:rFonts w:ascii="Times New Roman" w:eastAsiaTheme="minorEastAsia" w:hAnsi="Times New Roman" w:cs="Times New Roman"/>
      <w:sz w:val="24"/>
      <w:szCs w:val="24"/>
      <w:lang w:val="ru-RU"/>
    </w:rPr>
  </w:style>
  <w:style w:type="paragraph" w:customStyle="1" w:styleId="Style73">
    <w:name w:val="Style73"/>
    <w:basedOn w:val="a"/>
    <w:uiPriority w:val="99"/>
    <w:rsid w:val="00F94736"/>
    <w:pPr>
      <w:widowControl w:val="0"/>
      <w:autoSpaceDE w:val="0"/>
      <w:autoSpaceDN w:val="0"/>
      <w:adjustRightInd w:val="0"/>
      <w:spacing w:after="0" w:line="240" w:lineRule="auto"/>
    </w:pPr>
    <w:rPr>
      <w:rFonts w:ascii="Times New Roman" w:eastAsiaTheme="minorEastAsia" w:hAnsi="Times New Roman" w:cs="Times New Roman"/>
      <w:sz w:val="24"/>
      <w:szCs w:val="24"/>
      <w:lang w:val="ru-RU"/>
    </w:rPr>
  </w:style>
  <w:style w:type="paragraph" w:customStyle="1" w:styleId="Default">
    <w:name w:val="Default"/>
    <w:rsid w:val="00F94736"/>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Style84">
    <w:name w:val="Style84"/>
    <w:basedOn w:val="a"/>
    <w:uiPriority w:val="99"/>
    <w:rsid w:val="00F94736"/>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val="ru-RU"/>
    </w:rPr>
  </w:style>
  <w:style w:type="paragraph" w:customStyle="1" w:styleId="Style5">
    <w:name w:val="Style5"/>
    <w:basedOn w:val="a"/>
    <w:uiPriority w:val="99"/>
    <w:rsid w:val="00F94736"/>
    <w:pPr>
      <w:widowControl w:val="0"/>
      <w:autoSpaceDE w:val="0"/>
      <w:autoSpaceDN w:val="0"/>
      <w:adjustRightInd w:val="0"/>
      <w:spacing w:after="0" w:line="323" w:lineRule="exact"/>
      <w:ind w:firstLine="710"/>
      <w:jc w:val="both"/>
    </w:pPr>
    <w:rPr>
      <w:rFonts w:ascii="Times New Roman" w:eastAsiaTheme="minorEastAsia" w:hAnsi="Times New Roman" w:cs="Times New Roman"/>
      <w:sz w:val="24"/>
      <w:szCs w:val="24"/>
      <w:lang w:val="ru-RU"/>
    </w:rPr>
  </w:style>
  <w:style w:type="paragraph" w:customStyle="1" w:styleId="Style78">
    <w:name w:val="Style78"/>
    <w:basedOn w:val="a"/>
    <w:uiPriority w:val="99"/>
    <w:rsid w:val="00F94736"/>
    <w:pPr>
      <w:widowControl w:val="0"/>
      <w:autoSpaceDE w:val="0"/>
      <w:autoSpaceDN w:val="0"/>
      <w:adjustRightInd w:val="0"/>
      <w:spacing w:after="0" w:line="322" w:lineRule="exact"/>
      <w:ind w:firstLine="427"/>
      <w:jc w:val="both"/>
    </w:pPr>
    <w:rPr>
      <w:rFonts w:ascii="Times New Roman" w:eastAsiaTheme="minorEastAsia" w:hAnsi="Times New Roman" w:cs="Times New Roman"/>
      <w:sz w:val="24"/>
      <w:szCs w:val="24"/>
      <w:lang w:val="ru-RU"/>
    </w:rPr>
  </w:style>
  <w:style w:type="paragraph" w:customStyle="1" w:styleId="Style77">
    <w:name w:val="Style77"/>
    <w:basedOn w:val="a"/>
    <w:uiPriority w:val="99"/>
    <w:rsid w:val="00F94736"/>
    <w:pPr>
      <w:widowControl w:val="0"/>
      <w:autoSpaceDE w:val="0"/>
      <w:autoSpaceDN w:val="0"/>
      <w:adjustRightInd w:val="0"/>
      <w:spacing w:after="0" w:line="322" w:lineRule="exact"/>
    </w:pPr>
    <w:rPr>
      <w:rFonts w:ascii="Times New Roman" w:eastAsiaTheme="minorEastAsia" w:hAnsi="Times New Roman" w:cs="Times New Roman"/>
      <w:sz w:val="24"/>
      <w:szCs w:val="24"/>
      <w:lang w:val="ru-RU"/>
    </w:rPr>
  </w:style>
  <w:style w:type="paragraph" w:customStyle="1" w:styleId="Style95">
    <w:name w:val="Style95"/>
    <w:basedOn w:val="a"/>
    <w:uiPriority w:val="99"/>
    <w:rsid w:val="00F94736"/>
    <w:pPr>
      <w:widowControl w:val="0"/>
      <w:autoSpaceDE w:val="0"/>
      <w:autoSpaceDN w:val="0"/>
      <w:adjustRightInd w:val="0"/>
      <w:spacing w:after="0" w:line="322" w:lineRule="exact"/>
      <w:ind w:firstLine="130"/>
    </w:pPr>
    <w:rPr>
      <w:rFonts w:ascii="Times New Roman" w:eastAsiaTheme="minorEastAsia" w:hAnsi="Times New Roman" w:cs="Times New Roman"/>
      <w:sz w:val="24"/>
      <w:szCs w:val="24"/>
      <w:lang w:val="ru-RU"/>
    </w:rPr>
  </w:style>
  <w:style w:type="paragraph" w:customStyle="1" w:styleId="Style97">
    <w:name w:val="Style97"/>
    <w:basedOn w:val="a"/>
    <w:uiPriority w:val="99"/>
    <w:rsid w:val="00F94736"/>
    <w:pPr>
      <w:widowControl w:val="0"/>
      <w:autoSpaceDE w:val="0"/>
      <w:autoSpaceDN w:val="0"/>
      <w:adjustRightInd w:val="0"/>
      <w:spacing w:after="0" w:line="322" w:lineRule="exact"/>
      <w:ind w:firstLine="538"/>
    </w:pPr>
    <w:rPr>
      <w:rFonts w:ascii="Times New Roman" w:eastAsiaTheme="minorEastAsia" w:hAnsi="Times New Roman" w:cs="Times New Roman"/>
      <w:sz w:val="24"/>
      <w:szCs w:val="24"/>
      <w:lang w:val="ru-RU"/>
    </w:rPr>
  </w:style>
  <w:style w:type="character" w:styleId="a4">
    <w:name w:val="Hyperlink"/>
    <w:basedOn w:val="a0"/>
    <w:uiPriority w:val="99"/>
    <w:rsid w:val="00F94736"/>
    <w:rPr>
      <w:color w:val="0066CC"/>
      <w:u w:val="single"/>
    </w:rPr>
  </w:style>
  <w:style w:type="paragraph" w:customStyle="1" w:styleId="Style10">
    <w:name w:val="Style10"/>
    <w:basedOn w:val="a"/>
    <w:uiPriority w:val="99"/>
    <w:rsid w:val="00F94736"/>
    <w:pPr>
      <w:widowControl w:val="0"/>
      <w:autoSpaceDE w:val="0"/>
      <w:autoSpaceDN w:val="0"/>
      <w:adjustRightInd w:val="0"/>
      <w:spacing w:after="0" w:line="240" w:lineRule="auto"/>
    </w:pPr>
    <w:rPr>
      <w:rFonts w:ascii="Times New Roman" w:eastAsiaTheme="minorEastAsia" w:hAnsi="Times New Roman" w:cs="Times New Roman"/>
      <w:sz w:val="24"/>
      <w:szCs w:val="24"/>
      <w:lang w:val="ru-RU"/>
    </w:rPr>
  </w:style>
  <w:style w:type="paragraph" w:customStyle="1" w:styleId="Style8">
    <w:name w:val="Style8"/>
    <w:basedOn w:val="a"/>
    <w:uiPriority w:val="99"/>
    <w:rsid w:val="00F94736"/>
    <w:pPr>
      <w:widowControl w:val="0"/>
      <w:autoSpaceDE w:val="0"/>
      <w:autoSpaceDN w:val="0"/>
      <w:adjustRightInd w:val="0"/>
      <w:spacing w:after="0" w:line="240" w:lineRule="auto"/>
    </w:pPr>
    <w:rPr>
      <w:rFonts w:ascii="Times New Roman" w:eastAsiaTheme="minorEastAsia" w:hAnsi="Times New Roman" w:cs="Times New Roman"/>
      <w:sz w:val="24"/>
      <w:szCs w:val="24"/>
      <w:lang w:val="ru-RU"/>
    </w:rPr>
  </w:style>
  <w:style w:type="paragraph" w:styleId="a5">
    <w:name w:val="List Paragraph"/>
    <w:basedOn w:val="a"/>
    <w:uiPriority w:val="34"/>
    <w:qFormat/>
    <w:rsid w:val="00CE451B"/>
    <w:pPr>
      <w:ind w:left="720"/>
      <w:contextualSpacing/>
    </w:pPr>
  </w:style>
  <w:style w:type="character" w:customStyle="1" w:styleId="30">
    <w:name w:val="Заголовок 3 Знак"/>
    <w:basedOn w:val="a0"/>
    <w:link w:val="3"/>
    <w:uiPriority w:val="9"/>
    <w:rsid w:val="00484ED3"/>
    <w:rPr>
      <w:rFonts w:ascii="Times New Roman" w:eastAsiaTheme="majorEastAsia" w:hAnsi="Times New Roman" w:cstheme="majorBidi"/>
      <w:i/>
      <w:sz w:val="28"/>
      <w:szCs w:val="24"/>
      <w:lang w:val="en-US"/>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40" w:type="dxa"/>
        <w:right w:w="40" w:type="dxa"/>
      </w:tblCellMar>
    </w:tblPr>
  </w:style>
  <w:style w:type="table" w:customStyle="1" w:styleId="ae">
    <w:basedOn w:val="TableNormal"/>
    <w:tblPr>
      <w:tblStyleRowBandSize w:val="1"/>
      <w:tblStyleColBandSize w:val="1"/>
      <w:tblCellMar>
        <w:left w:w="40" w:type="dxa"/>
        <w:right w:w="40" w:type="dxa"/>
      </w:tblCellMar>
    </w:tblPr>
  </w:style>
  <w:style w:type="table" w:customStyle="1" w:styleId="af">
    <w:basedOn w:val="TableNormal"/>
    <w:tblPr>
      <w:tblStyleRowBandSize w:val="1"/>
      <w:tblStyleColBandSize w:val="1"/>
      <w:tblCellMar>
        <w:left w:w="40" w:type="dxa"/>
        <w:right w:w="40" w:type="dxa"/>
      </w:tblCellMar>
    </w:tblPr>
  </w:style>
  <w:style w:type="paragraph" w:styleId="af0">
    <w:name w:val="header"/>
    <w:basedOn w:val="a"/>
    <w:link w:val="af1"/>
    <w:uiPriority w:val="99"/>
    <w:unhideWhenUsed/>
    <w:rsid w:val="003519E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519EB"/>
  </w:style>
  <w:style w:type="paragraph" w:styleId="af2">
    <w:name w:val="footer"/>
    <w:basedOn w:val="a"/>
    <w:link w:val="af3"/>
    <w:uiPriority w:val="99"/>
    <w:unhideWhenUsed/>
    <w:rsid w:val="003519E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51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xj08W1im92lO5wN9tYC+1vxBVA==">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325483-1254-4779-8EC0-8E3AFEC5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3798</Words>
  <Characters>21650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semigin</cp:lastModifiedBy>
  <cp:revision>11</cp:revision>
  <cp:lastPrinted>2022-11-18T13:04:00Z</cp:lastPrinted>
  <dcterms:created xsi:type="dcterms:W3CDTF">2022-11-08T05:26:00Z</dcterms:created>
  <dcterms:modified xsi:type="dcterms:W3CDTF">2022-11-18T13:05:00Z</dcterms:modified>
</cp:coreProperties>
</file>