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34" w:rsidRPr="005D14C0" w:rsidRDefault="00BF7F34" w:rsidP="00A7048C">
      <w:pPr>
        <w:spacing w:after="0" w:line="240" w:lineRule="auto"/>
        <w:contextualSpacing/>
        <w:jc w:val="center"/>
        <w:rPr>
          <w:sz w:val="28"/>
          <w:szCs w:val="28"/>
        </w:rPr>
      </w:pPr>
      <w:bookmarkStart w:id="0" w:name="_GoBack"/>
      <w:bookmarkEnd w:id="0"/>
      <w:r w:rsidRPr="005D14C0">
        <w:rPr>
          <w:rFonts w:ascii="Times New Roman" w:hAnsi="Times New Roman" w:cs="Times New Roman"/>
          <w:b/>
          <w:sz w:val="28"/>
          <w:szCs w:val="28"/>
        </w:rPr>
        <w:t>Аналіз</w:t>
      </w:r>
      <w:r w:rsidR="00295BA5" w:rsidRPr="005D14C0">
        <w:rPr>
          <w:rFonts w:ascii="Times New Roman" w:hAnsi="Times New Roman" w:cs="Times New Roman"/>
          <w:b/>
          <w:sz w:val="28"/>
          <w:szCs w:val="28"/>
        </w:rPr>
        <w:t xml:space="preserve"> </w:t>
      </w:r>
      <w:r w:rsidRPr="005D14C0">
        <w:rPr>
          <w:rFonts w:ascii="Times New Roman" w:hAnsi="Times New Roman" w:cs="Times New Roman"/>
          <w:b/>
          <w:sz w:val="28"/>
          <w:szCs w:val="28"/>
        </w:rPr>
        <w:t xml:space="preserve">регуляторного </w:t>
      </w:r>
      <w:r w:rsidR="00295BA5" w:rsidRPr="005D14C0">
        <w:rPr>
          <w:rFonts w:ascii="Times New Roman" w:hAnsi="Times New Roman" w:cs="Times New Roman"/>
          <w:b/>
          <w:sz w:val="28"/>
          <w:szCs w:val="28"/>
        </w:rPr>
        <w:t xml:space="preserve">впливу </w:t>
      </w:r>
    </w:p>
    <w:p w:rsidR="00BF7F34" w:rsidRPr="005D14C0" w:rsidRDefault="00BF7F34" w:rsidP="00A7048C">
      <w:pPr>
        <w:pStyle w:val="1"/>
        <w:rPr>
          <w:szCs w:val="28"/>
        </w:rPr>
      </w:pPr>
      <w:r w:rsidRPr="005D14C0">
        <w:rPr>
          <w:szCs w:val="28"/>
        </w:rPr>
        <w:t>проекту Закону України «Про комерційний облік комунальних послуг»</w:t>
      </w:r>
    </w:p>
    <w:p w:rsidR="005D14C0" w:rsidRPr="005D14C0" w:rsidRDefault="005D14C0" w:rsidP="00217B29">
      <w:pPr>
        <w:spacing w:line="240" w:lineRule="auto"/>
        <w:contextualSpacing/>
        <w:jc w:val="center"/>
        <w:rPr>
          <w:rFonts w:ascii="Times New Roman" w:hAnsi="Times New Roman" w:cs="Times New Roman"/>
          <w:b/>
          <w:sz w:val="28"/>
          <w:szCs w:val="28"/>
        </w:rPr>
      </w:pPr>
    </w:p>
    <w:p w:rsidR="00295BA5" w:rsidRPr="005D14C0" w:rsidRDefault="00295BA5" w:rsidP="00217B29">
      <w:pPr>
        <w:numPr>
          <w:ilvl w:val="0"/>
          <w:numId w:val="2"/>
        </w:numPr>
        <w:tabs>
          <w:tab w:val="clear" w:pos="1800"/>
          <w:tab w:val="num" w:pos="0"/>
        </w:tabs>
        <w:spacing w:after="0" w:line="240" w:lineRule="auto"/>
        <w:ind w:left="0" w:firstLine="720"/>
        <w:contextualSpacing/>
        <w:jc w:val="both"/>
        <w:rPr>
          <w:rFonts w:ascii="Times New Roman" w:hAnsi="Times New Roman" w:cs="Times New Roman"/>
          <w:b/>
          <w:sz w:val="28"/>
          <w:szCs w:val="28"/>
        </w:rPr>
      </w:pPr>
      <w:r w:rsidRPr="005D14C0">
        <w:rPr>
          <w:rFonts w:ascii="Times New Roman" w:hAnsi="Times New Roman" w:cs="Times New Roman"/>
          <w:b/>
          <w:sz w:val="28"/>
          <w:szCs w:val="28"/>
        </w:rPr>
        <w:t>Визначення проблеми, яку передбачається розв’язати шляхом державного регулювання.</w:t>
      </w:r>
    </w:p>
    <w:p w:rsidR="005D14C0" w:rsidRPr="005D14C0" w:rsidRDefault="005D14C0" w:rsidP="005D14C0">
      <w:pPr>
        <w:spacing w:after="0" w:line="240" w:lineRule="auto"/>
        <w:ind w:left="720"/>
        <w:contextualSpacing/>
        <w:jc w:val="both"/>
        <w:rPr>
          <w:rFonts w:ascii="Times New Roman" w:hAnsi="Times New Roman" w:cs="Times New Roman"/>
          <w:b/>
          <w:sz w:val="28"/>
          <w:szCs w:val="28"/>
        </w:rPr>
      </w:pPr>
    </w:p>
    <w:p w:rsidR="001A2C70" w:rsidRPr="005D14C0" w:rsidRDefault="001A2C70" w:rsidP="001A2C70">
      <w:pPr>
        <w:spacing w:after="0" w:line="240" w:lineRule="auto"/>
        <w:ind w:firstLine="720"/>
        <w:jc w:val="both"/>
        <w:rPr>
          <w:rFonts w:ascii="Times New Roman" w:hAnsi="Times New Roman"/>
          <w:sz w:val="28"/>
          <w:szCs w:val="28"/>
        </w:rPr>
      </w:pPr>
      <w:r w:rsidRPr="005D14C0">
        <w:rPr>
          <w:rFonts w:ascii="Times New Roman" w:hAnsi="Times New Roman"/>
          <w:sz w:val="28"/>
          <w:szCs w:val="28"/>
        </w:rPr>
        <w:t>Прийняття проекту Закону</w:t>
      </w:r>
      <w:r w:rsidR="00305494" w:rsidRPr="005D14C0">
        <w:rPr>
          <w:rFonts w:ascii="Times New Roman" w:hAnsi="Times New Roman"/>
          <w:sz w:val="28"/>
          <w:szCs w:val="28"/>
        </w:rPr>
        <w:t xml:space="preserve"> України «Про комерційний облік комунальних послуг» (далі – проект Закону)</w:t>
      </w:r>
      <w:r w:rsidR="001005CA" w:rsidRPr="005D14C0">
        <w:rPr>
          <w:rFonts w:ascii="Times New Roman" w:hAnsi="Times New Roman"/>
          <w:sz w:val="28"/>
          <w:szCs w:val="28"/>
        </w:rPr>
        <w:t>, розробленого Держенергоефективності,</w:t>
      </w:r>
      <w:r w:rsidRPr="005D14C0">
        <w:rPr>
          <w:rFonts w:ascii="Times New Roman" w:hAnsi="Times New Roman"/>
          <w:sz w:val="28"/>
          <w:szCs w:val="28"/>
        </w:rPr>
        <w:t xml:space="preserve"> є необхідним для забезпечення раціонального використання водних, паливно-енергетичних ресурсів, а також для забезпечення захисту прав споживачів у сфері комунальних послуг шляхом запровадження обов’язкового комерційного та розподільчого обліку теплової енергії, гарячої та питної води.</w:t>
      </w:r>
    </w:p>
    <w:p w:rsidR="001A2C70" w:rsidRPr="005D14C0" w:rsidRDefault="001A2C70" w:rsidP="001A2C70">
      <w:pPr>
        <w:spacing w:after="0" w:line="240" w:lineRule="auto"/>
        <w:ind w:firstLine="720"/>
        <w:jc w:val="both"/>
        <w:rPr>
          <w:rFonts w:ascii="Times New Roman" w:hAnsi="Times New Roman"/>
          <w:sz w:val="28"/>
          <w:szCs w:val="28"/>
        </w:rPr>
      </w:pPr>
      <w:r w:rsidRPr="005D14C0">
        <w:rPr>
          <w:rFonts w:ascii="Times New Roman" w:hAnsi="Times New Roman"/>
          <w:sz w:val="28"/>
          <w:szCs w:val="28"/>
        </w:rPr>
        <w:t>В цілому по Україні засобами обліку споживання води обладнано близько                 77% абонентів, а показник забезпеченості комерційним обліком багатоквартирних будинків є ще меншим і складає близько 22%. Низький показник оснащення засобами обліку унеможливлює ефективну реалізацію заходів з економії водних ресурсів, що спрямовані головним чином на зменшення технологічних витрат та втрат води в системах централізованого питного водопостачання та внутрішньобудинкових системах централізованого постачання холодної води, централізованого постачання гарячої води. Оснащення вузлами обліку споживачів питної води та гарячої води, в тому числі з використанням засобів вимірювальної техніки підвищеного класу точності, дозволить зекономити до ¾ необлікованих витрат води у відповідних внутрішньобудинкових системах та, як наслідок, скоротити обсяги споживання підприємствами питного водопостачання електричної енергії, необхідної для виробництва зекономленого обсягу води.</w:t>
      </w:r>
    </w:p>
    <w:p w:rsidR="001A2C70" w:rsidRPr="005D14C0" w:rsidRDefault="001A2C70" w:rsidP="001A2C70">
      <w:pPr>
        <w:spacing w:after="0" w:line="240" w:lineRule="auto"/>
        <w:ind w:firstLine="720"/>
        <w:jc w:val="both"/>
        <w:rPr>
          <w:rFonts w:ascii="Times New Roman" w:hAnsi="Times New Roman"/>
          <w:sz w:val="28"/>
          <w:szCs w:val="28"/>
        </w:rPr>
      </w:pPr>
      <w:r w:rsidRPr="005D14C0">
        <w:rPr>
          <w:rFonts w:ascii="Times New Roman" w:hAnsi="Times New Roman"/>
          <w:sz w:val="28"/>
          <w:szCs w:val="28"/>
        </w:rPr>
        <w:t>Вагомим результатом запровадження норм проекту Закону має стати й суттєве зменшення розміру плати за послуги, що зумовлюється невідповідністю реальних обсягів водоспоживання встановленим нормативам і нормам, які є часто завищеними.</w:t>
      </w:r>
    </w:p>
    <w:p w:rsidR="001A2C70" w:rsidRPr="005D14C0" w:rsidRDefault="001A2C70" w:rsidP="001A2C70">
      <w:pPr>
        <w:spacing w:after="0" w:line="240" w:lineRule="auto"/>
        <w:ind w:firstLine="720"/>
        <w:jc w:val="both"/>
        <w:rPr>
          <w:rFonts w:ascii="Times New Roman" w:hAnsi="Times New Roman"/>
          <w:sz w:val="28"/>
          <w:szCs w:val="28"/>
        </w:rPr>
      </w:pPr>
      <w:r w:rsidRPr="005D14C0">
        <w:rPr>
          <w:rFonts w:ascii="Times New Roman" w:hAnsi="Times New Roman"/>
          <w:sz w:val="28"/>
          <w:szCs w:val="28"/>
        </w:rPr>
        <w:t>Станом на кінець 2015 р. середній показник оснащення житлових будинків приладами комерційного обліку складає близько 53%. Зазначений надзвичайно низький рівень встановлення вузлів обліку теплової енергії в комплексі з іншими недоліками організації системи централізованого теплопостачання призводить до значного зниження ефективності спрямованої на економію паливно-енергетичних ресурсів заходів з енергозбереження. Відповідного до проведеного Держенергоефективності аналізу встановлення в будинках вузлів обліку дозволяє зафіксувати скорочення її споживання протягом 1-3 років в середньому на 15-20% що, безумовно, позитивно вплине на фінансовий стан споживачів.</w:t>
      </w:r>
    </w:p>
    <w:p w:rsidR="001A2C70" w:rsidRPr="005D14C0" w:rsidRDefault="001A2C70" w:rsidP="001A2C70">
      <w:pPr>
        <w:spacing w:after="0" w:line="240" w:lineRule="auto"/>
        <w:ind w:firstLine="720"/>
        <w:jc w:val="both"/>
        <w:rPr>
          <w:rFonts w:ascii="Times New Roman" w:hAnsi="Times New Roman"/>
          <w:sz w:val="28"/>
          <w:szCs w:val="28"/>
        </w:rPr>
      </w:pPr>
      <w:r w:rsidRPr="005D14C0">
        <w:rPr>
          <w:rFonts w:ascii="Times New Roman" w:hAnsi="Times New Roman"/>
          <w:sz w:val="28"/>
          <w:szCs w:val="28"/>
        </w:rPr>
        <w:t>Також забезпечення обов’язкового приладного комерційного обліку не дозволить суб’єктам господарювання у сферах природних монополій перекладати понаднормативні втрати в мережах на споживачів.</w:t>
      </w:r>
    </w:p>
    <w:p w:rsidR="005D14C0" w:rsidRPr="005D14C0" w:rsidRDefault="001A2C70" w:rsidP="005D14C0">
      <w:pPr>
        <w:spacing w:after="0" w:line="240" w:lineRule="auto"/>
        <w:ind w:firstLine="720"/>
        <w:jc w:val="both"/>
        <w:rPr>
          <w:rFonts w:ascii="Times New Roman" w:hAnsi="Times New Roman"/>
          <w:sz w:val="28"/>
          <w:szCs w:val="28"/>
        </w:rPr>
      </w:pPr>
      <w:r w:rsidRPr="005D14C0">
        <w:rPr>
          <w:rFonts w:ascii="Times New Roman" w:hAnsi="Times New Roman"/>
          <w:sz w:val="28"/>
          <w:szCs w:val="28"/>
        </w:rPr>
        <w:t>Запровадження абонентської плати за обслуговування вузлів комерційного обліку встановлює справедливий порядок, який покладає на мешканців тільки ті витрати, що стосуються їх будинку.</w:t>
      </w:r>
    </w:p>
    <w:p w:rsidR="005D14C0" w:rsidRPr="005D14C0" w:rsidRDefault="005D14C0" w:rsidP="005D14C0">
      <w:pPr>
        <w:spacing w:after="0" w:line="240" w:lineRule="auto"/>
        <w:ind w:firstLine="720"/>
        <w:jc w:val="both"/>
        <w:rPr>
          <w:rFonts w:ascii="Times New Roman" w:hAnsi="Times New Roman" w:cs="Times New Roman"/>
          <w:b/>
          <w:sz w:val="28"/>
          <w:szCs w:val="28"/>
        </w:rPr>
      </w:pPr>
    </w:p>
    <w:p w:rsidR="005D14C0" w:rsidRPr="005D14C0" w:rsidRDefault="005D14C0" w:rsidP="005D14C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053AAB" w:rsidRPr="005D14C0">
        <w:rPr>
          <w:rFonts w:ascii="Times New Roman" w:hAnsi="Times New Roman" w:cs="Times New Roman"/>
          <w:b/>
          <w:sz w:val="28"/>
          <w:szCs w:val="28"/>
        </w:rPr>
        <w:t>Ц</w:t>
      </w:r>
      <w:r w:rsidR="00295BA5" w:rsidRPr="005D14C0">
        <w:rPr>
          <w:rFonts w:ascii="Times New Roman" w:hAnsi="Times New Roman" w:cs="Times New Roman"/>
          <w:b/>
          <w:sz w:val="28"/>
          <w:szCs w:val="28"/>
        </w:rPr>
        <w:t>іл</w:t>
      </w:r>
      <w:r w:rsidR="00053AAB" w:rsidRPr="005D14C0">
        <w:rPr>
          <w:rFonts w:ascii="Times New Roman" w:hAnsi="Times New Roman" w:cs="Times New Roman"/>
          <w:b/>
          <w:sz w:val="28"/>
          <w:szCs w:val="28"/>
        </w:rPr>
        <w:t>і</w:t>
      </w:r>
      <w:r w:rsidR="00295BA5" w:rsidRPr="005D14C0">
        <w:rPr>
          <w:rFonts w:ascii="Times New Roman" w:hAnsi="Times New Roman" w:cs="Times New Roman"/>
          <w:b/>
          <w:sz w:val="28"/>
          <w:szCs w:val="28"/>
        </w:rPr>
        <w:t xml:space="preserve"> державного регулювання.</w:t>
      </w:r>
    </w:p>
    <w:p w:rsidR="00053AAB" w:rsidRPr="005D14C0" w:rsidRDefault="00053AAB" w:rsidP="005D14C0">
      <w:pPr>
        <w:spacing w:after="0" w:line="240" w:lineRule="auto"/>
        <w:ind w:firstLine="720"/>
        <w:jc w:val="both"/>
        <w:rPr>
          <w:rFonts w:ascii="Times New Roman" w:hAnsi="Times New Roman" w:cs="Times New Roman"/>
          <w:b/>
          <w:sz w:val="28"/>
          <w:szCs w:val="28"/>
        </w:rPr>
      </w:pPr>
      <w:r w:rsidRPr="005D14C0">
        <w:rPr>
          <w:rFonts w:ascii="Times New Roman" w:hAnsi="Times New Roman" w:cs="Times New Roman"/>
          <w:sz w:val="28"/>
          <w:szCs w:val="28"/>
        </w:rPr>
        <w:t>Метою проекту Закону є законодавче врегулювання та формування правових, економічних та організаційних засад забезпечення комерційного та розподільчого обліку у сфері комунальних послуг.</w:t>
      </w:r>
    </w:p>
    <w:p w:rsidR="00295BA5" w:rsidRPr="005D14C0" w:rsidRDefault="00295BA5" w:rsidP="00217B29">
      <w:pPr>
        <w:spacing w:line="240" w:lineRule="auto"/>
        <w:ind w:left="720"/>
        <w:contextualSpacing/>
        <w:jc w:val="both"/>
        <w:rPr>
          <w:rFonts w:ascii="Times New Roman" w:hAnsi="Times New Roman" w:cs="Times New Roman"/>
          <w:sz w:val="28"/>
          <w:szCs w:val="28"/>
        </w:rPr>
      </w:pPr>
    </w:p>
    <w:p w:rsidR="00295BA5" w:rsidRPr="005D14C0" w:rsidRDefault="00295BA5" w:rsidP="00217B29">
      <w:pPr>
        <w:spacing w:line="240" w:lineRule="auto"/>
        <w:ind w:firstLine="720"/>
        <w:contextualSpacing/>
        <w:jc w:val="both"/>
        <w:rPr>
          <w:rFonts w:ascii="Times New Roman" w:hAnsi="Times New Roman" w:cs="Times New Roman"/>
          <w:b/>
          <w:sz w:val="28"/>
          <w:szCs w:val="28"/>
        </w:rPr>
      </w:pPr>
      <w:r w:rsidRPr="005D14C0">
        <w:rPr>
          <w:rFonts w:ascii="Times New Roman" w:hAnsi="Times New Roman" w:cs="Times New Roman"/>
          <w:b/>
          <w:sz w:val="28"/>
          <w:szCs w:val="28"/>
        </w:rPr>
        <w:t>3. Визначення та оцінка усіх прийнятих альтернативних способів досягнення зазначених цілей. Аргументи щодо переваги обраного способу.</w:t>
      </w:r>
    </w:p>
    <w:p w:rsidR="00BA17AD" w:rsidRPr="005D14C0" w:rsidRDefault="00BA17AD" w:rsidP="00217B29">
      <w:pPr>
        <w:spacing w:line="240" w:lineRule="auto"/>
        <w:ind w:firstLine="720"/>
        <w:contextualSpacing/>
        <w:jc w:val="both"/>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379"/>
        <w:gridCol w:w="3379"/>
        <w:gridCol w:w="3379"/>
      </w:tblGrid>
      <w:tr w:rsidR="00053AAB" w:rsidRPr="005D14C0" w:rsidTr="00053AAB">
        <w:tc>
          <w:tcPr>
            <w:tcW w:w="3379" w:type="dxa"/>
            <w:vAlign w:val="center"/>
          </w:tcPr>
          <w:p w:rsidR="00053AAB" w:rsidRPr="005D14C0" w:rsidRDefault="00053AAB" w:rsidP="00053AAB">
            <w:pPr>
              <w:contextualSpacing/>
              <w:jc w:val="center"/>
              <w:rPr>
                <w:b/>
                <w:sz w:val="28"/>
                <w:szCs w:val="28"/>
              </w:rPr>
            </w:pPr>
            <w:r w:rsidRPr="005D14C0">
              <w:rPr>
                <w:b/>
                <w:sz w:val="28"/>
                <w:szCs w:val="28"/>
              </w:rPr>
              <w:t>Можливі способи досягнення цілей</w:t>
            </w:r>
          </w:p>
        </w:tc>
        <w:tc>
          <w:tcPr>
            <w:tcW w:w="3379" w:type="dxa"/>
            <w:vAlign w:val="center"/>
          </w:tcPr>
          <w:p w:rsidR="00053AAB" w:rsidRPr="005D14C0" w:rsidRDefault="00053AAB" w:rsidP="00053AAB">
            <w:pPr>
              <w:contextualSpacing/>
              <w:jc w:val="center"/>
              <w:rPr>
                <w:b/>
                <w:sz w:val="28"/>
                <w:szCs w:val="28"/>
              </w:rPr>
            </w:pPr>
            <w:r w:rsidRPr="005D14C0">
              <w:rPr>
                <w:b/>
                <w:sz w:val="28"/>
                <w:szCs w:val="28"/>
              </w:rPr>
              <w:t>Оцінка способу</w:t>
            </w:r>
          </w:p>
        </w:tc>
        <w:tc>
          <w:tcPr>
            <w:tcW w:w="3379" w:type="dxa"/>
            <w:vAlign w:val="center"/>
          </w:tcPr>
          <w:p w:rsidR="00053AAB" w:rsidRPr="005D14C0" w:rsidRDefault="00053AAB" w:rsidP="00053AAB">
            <w:pPr>
              <w:contextualSpacing/>
              <w:jc w:val="center"/>
              <w:rPr>
                <w:b/>
                <w:sz w:val="28"/>
                <w:szCs w:val="28"/>
              </w:rPr>
            </w:pPr>
            <w:r w:rsidRPr="005D14C0">
              <w:rPr>
                <w:b/>
                <w:sz w:val="28"/>
                <w:szCs w:val="28"/>
              </w:rPr>
              <w:t>Причини відмови від альтернативних способів/аргументи щодо переваги обраного способу</w:t>
            </w:r>
          </w:p>
        </w:tc>
      </w:tr>
      <w:tr w:rsidR="00053AAB" w:rsidRPr="005D14C0" w:rsidTr="00053AAB">
        <w:tc>
          <w:tcPr>
            <w:tcW w:w="3379" w:type="dxa"/>
          </w:tcPr>
          <w:p w:rsidR="00053AAB" w:rsidRPr="005D14C0" w:rsidRDefault="00053AAB" w:rsidP="00053AAB">
            <w:pPr>
              <w:contextualSpacing/>
              <w:rPr>
                <w:sz w:val="28"/>
                <w:szCs w:val="28"/>
              </w:rPr>
            </w:pPr>
            <w:r w:rsidRPr="005D14C0">
              <w:rPr>
                <w:sz w:val="28"/>
                <w:szCs w:val="28"/>
              </w:rPr>
              <w:t>Збереження чинного способу регулювання</w:t>
            </w:r>
          </w:p>
        </w:tc>
        <w:tc>
          <w:tcPr>
            <w:tcW w:w="3379" w:type="dxa"/>
          </w:tcPr>
          <w:p w:rsidR="00053AAB" w:rsidRPr="005D14C0" w:rsidRDefault="00053AAB" w:rsidP="00053AAB">
            <w:pPr>
              <w:contextualSpacing/>
              <w:rPr>
                <w:sz w:val="28"/>
                <w:szCs w:val="28"/>
              </w:rPr>
            </w:pPr>
            <w:r w:rsidRPr="005D14C0">
              <w:rPr>
                <w:sz w:val="28"/>
                <w:szCs w:val="28"/>
              </w:rPr>
              <w:t>Не забезпечує необхідний рівень регуляторного впливу державної політики в сфері енергоефективності. Не забезпечує запровадження комерційного та розподільчого обліку теплової енергії, гарячої та питної води.</w:t>
            </w:r>
          </w:p>
        </w:tc>
        <w:tc>
          <w:tcPr>
            <w:tcW w:w="3379" w:type="dxa"/>
          </w:tcPr>
          <w:p w:rsidR="00053AAB" w:rsidRPr="005D14C0" w:rsidRDefault="00053AAB" w:rsidP="00217B29">
            <w:pPr>
              <w:contextualSpacing/>
              <w:jc w:val="both"/>
              <w:rPr>
                <w:sz w:val="28"/>
                <w:szCs w:val="28"/>
              </w:rPr>
            </w:pPr>
            <w:r w:rsidRPr="005D14C0">
              <w:rPr>
                <w:sz w:val="28"/>
                <w:szCs w:val="28"/>
              </w:rPr>
              <w:t>Зазначений спосіб не містить механізму нормативного забезпечення комерційного та розподільчого обліку теплової енергії, гарячої та питної води.</w:t>
            </w:r>
          </w:p>
        </w:tc>
      </w:tr>
      <w:tr w:rsidR="00053AAB" w:rsidRPr="005D14C0" w:rsidTr="00053AAB">
        <w:tc>
          <w:tcPr>
            <w:tcW w:w="3379" w:type="dxa"/>
          </w:tcPr>
          <w:p w:rsidR="00053AAB" w:rsidRPr="005D14C0" w:rsidRDefault="00053AAB" w:rsidP="00053AAB">
            <w:pPr>
              <w:contextualSpacing/>
              <w:rPr>
                <w:sz w:val="28"/>
                <w:szCs w:val="28"/>
              </w:rPr>
            </w:pPr>
            <w:r w:rsidRPr="005D14C0">
              <w:rPr>
                <w:sz w:val="28"/>
                <w:szCs w:val="28"/>
              </w:rPr>
              <w:t xml:space="preserve">Інший, від запропонованого спосіб </w:t>
            </w:r>
          </w:p>
        </w:tc>
        <w:tc>
          <w:tcPr>
            <w:tcW w:w="3379" w:type="dxa"/>
          </w:tcPr>
          <w:p w:rsidR="00053AAB" w:rsidRPr="005D14C0" w:rsidRDefault="00053AAB" w:rsidP="00217B29">
            <w:pPr>
              <w:contextualSpacing/>
              <w:jc w:val="both"/>
              <w:rPr>
                <w:sz w:val="28"/>
                <w:szCs w:val="28"/>
              </w:rPr>
            </w:pPr>
            <w:r w:rsidRPr="005D14C0">
              <w:rPr>
                <w:sz w:val="28"/>
                <w:szCs w:val="28"/>
              </w:rPr>
              <w:t>Альтернативи запропонованому способу немає</w:t>
            </w:r>
          </w:p>
        </w:tc>
        <w:tc>
          <w:tcPr>
            <w:tcW w:w="3379" w:type="dxa"/>
          </w:tcPr>
          <w:p w:rsidR="00053AAB" w:rsidRPr="005D14C0" w:rsidRDefault="00053AAB" w:rsidP="00053AAB">
            <w:pPr>
              <w:rPr>
                <w:sz w:val="28"/>
                <w:szCs w:val="28"/>
              </w:rPr>
            </w:pPr>
            <w:r w:rsidRPr="005D14C0">
              <w:rPr>
                <w:sz w:val="28"/>
                <w:szCs w:val="28"/>
              </w:rPr>
              <w:t>Будь-який інший спосіб не забезпечуватиме досягнення цілей щодо запровадження комерційного та розподільчого обліку теплової енергії, гарячої та питної води</w:t>
            </w:r>
          </w:p>
        </w:tc>
      </w:tr>
      <w:tr w:rsidR="00053AAB" w:rsidRPr="005D14C0" w:rsidTr="00053AAB">
        <w:tc>
          <w:tcPr>
            <w:tcW w:w="3379" w:type="dxa"/>
          </w:tcPr>
          <w:p w:rsidR="00053AAB" w:rsidRPr="005D14C0" w:rsidRDefault="00053AAB" w:rsidP="00053AAB">
            <w:pPr>
              <w:contextualSpacing/>
              <w:rPr>
                <w:sz w:val="28"/>
                <w:szCs w:val="28"/>
              </w:rPr>
            </w:pPr>
            <w:r w:rsidRPr="005D14C0">
              <w:rPr>
                <w:sz w:val="28"/>
                <w:szCs w:val="28"/>
              </w:rPr>
              <w:t>Обраний спосіб</w:t>
            </w:r>
          </w:p>
        </w:tc>
        <w:tc>
          <w:tcPr>
            <w:tcW w:w="3379" w:type="dxa"/>
          </w:tcPr>
          <w:p w:rsidR="00053AAB" w:rsidRPr="005D14C0" w:rsidRDefault="00186A9F" w:rsidP="00186A9F">
            <w:pPr>
              <w:contextualSpacing/>
              <w:rPr>
                <w:sz w:val="28"/>
                <w:szCs w:val="28"/>
              </w:rPr>
            </w:pPr>
            <w:r w:rsidRPr="005D14C0">
              <w:rPr>
                <w:sz w:val="28"/>
                <w:szCs w:val="28"/>
              </w:rPr>
              <w:t>Підвищить ефективність функціонування сфер теплопостачання, централізованого водопостачання та надання комунальних послуг шляхом створення нормативних передумов для запровадження обов’язкового комерційного та розподільчого обліку теплової енергії, гарячої та питної води.</w:t>
            </w:r>
          </w:p>
        </w:tc>
        <w:tc>
          <w:tcPr>
            <w:tcW w:w="3379" w:type="dxa"/>
          </w:tcPr>
          <w:p w:rsidR="00053AAB" w:rsidRPr="005D14C0" w:rsidRDefault="00507801" w:rsidP="00507801">
            <w:pPr>
              <w:rPr>
                <w:sz w:val="28"/>
                <w:szCs w:val="28"/>
              </w:rPr>
            </w:pPr>
            <w:r w:rsidRPr="005D14C0">
              <w:rPr>
                <w:sz w:val="28"/>
                <w:szCs w:val="28"/>
              </w:rPr>
              <w:t>Реалізація обраного способу створить стимули до забезпечення комерційного обліку на рівні 100% та раціонального використання водних та паливно-енергетичних ресурсів.</w:t>
            </w:r>
          </w:p>
        </w:tc>
      </w:tr>
    </w:tbl>
    <w:p w:rsidR="00295BA5" w:rsidRPr="005D14C0" w:rsidRDefault="00295BA5" w:rsidP="00217B29">
      <w:pPr>
        <w:spacing w:line="240" w:lineRule="auto"/>
        <w:ind w:firstLine="720"/>
        <w:contextualSpacing/>
        <w:jc w:val="both"/>
        <w:rPr>
          <w:rFonts w:ascii="Times New Roman" w:hAnsi="Times New Roman" w:cs="Times New Roman"/>
          <w:sz w:val="28"/>
          <w:szCs w:val="28"/>
        </w:rPr>
      </w:pPr>
    </w:p>
    <w:p w:rsidR="00A156A6" w:rsidRPr="005D14C0" w:rsidRDefault="00295BA5" w:rsidP="00A156A6">
      <w:pPr>
        <w:spacing w:line="240" w:lineRule="auto"/>
        <w:ind w:firstLine="720"/>
        <w:contextualSpacing/>
        <w:jc w:val="both"/>
        <w:rPr>
          <w:rFonts w:ascii="Times New Roman" w:hAnsi="Times New Roman" w:cs="Times New Roman"/>
          <w:b/>
          <w:sz w:val="28"/>
          <w:szCs w:val="28"/>
        </w:rPr>
      </w:pPr>
      <w:r w:rsidRPr="005D14C0">
        <w:rPr>
          <w:rFonts w:ascii="Times New Roman" w:hAnsi="Times New Roman" w:cs="Times New Roman"/>
          <w:b/>
          <w:sz w:val="28"/>
          <w:szCs w:val="28"/>
        </w:rPr>
        <w:lastRenderedPageBreak/>
        <w:t xml:space="preserve">4. </w:t>
      </w:r>
      <w:r w:rsidR="00A156A6" w:rsidRPr="005D14C0">
        <w:rPr>
          <w:rFonts w:ascii="Times New Roman" w:hAnsi="Times New Roman" w:cs="Times New Roman"/>
          <w:b/>
          <w:sz w:val="28"/>
          <w:szCs w:val="28"/>
        </w:rPr>
        <w:t>Механізм та заходи, що пропонуються для розв’язання проблеми.</w:t>
      </w:r>
    </w:p>
    <w:p w:rsidR="00FE7F08" w:rsidRPr="005D14C0" w:rsidRDefault="00FE7F08" w:rsidP="009A7691">
      <w:pPr>
        <w:spacing w:after="0" w:line="240" w:lineRule="auto"/>
        <w:ind w:firstLine="709"/>
        <w:jc w:val="both"/>
        <w:rPr>
          <w:rFonts w:ascii="Times New Roman" w:hAnsi="Times New Roman" w:cs="Times New Roman"/>
          <w:sz w:val="28"/>
          <w:szCs w:val="28"/>
        </w:rPr>
      </w:pPr>
      <w:r w:rsidRPr="005D14C0">
        <w:rPr>
          <w:rFonts w:ascii="Times New Roman" w:hAnsi="Times New Roman" w:cs="Times New Roman"/>
          <w:sz w:val="28"/>
          <w:szCs w:val="28"/>
        </w:rPr>
        <w:t>Шляхами розв’язання проблеми є визначення:</w:t>
      </w:r>
    </w:p>
    <w:p w:rsidR="00FE7F08" w:rsidRPr="005D14C0" w:rsidRDefault="00FE7F08" w:rsidP="009A7691">
      <w:pPr>
        <w:pStyle w:val="a9"/>
        <w:numPr>
          <w:ilvl w:val="0"/>
          <w:numId w:val="4"/>
        </w:numPr>
        <w:spacing w:after="0" w:line="240" w:lineRule="auto"/>
        <w:jc w:val="both"/>
        <w:rPr>
          <w:rFonts w:ascii="Times New Roman" w:hAnsi="Times New Roman" w:cs="Times New Roman"/>
          <w:sz w:val="28"/>
          <w:szCs w:val="28"/>
        </w:rPr>
      </w:pPr>
      <w:r w:rsidRPr="005D14C0">
        <w:rPr>
          <w:rFonts w:ascii="Times New Roman" w:hAnsi="Times New Roman" w:cs="Times New Roman"/>
          <w:sz w:val="28"/>
          <w:szCs w:val="28"/>
        </w:rPr>
        <w:t>строків та умов запровадження комерційного та розподільчого обліку теплової енергії, гарячої та питної води;</w:t>
      </w:r>
    </w:p>
    <w:p w:rsidR="00FE7F08" w:rsidRPr="005D14C0" w:rsidRDefault="00FE7F08" w:rsidP="009A7691">
      <w:pPr>
        <w:pStyle w:val="a9"/>
        <w:numPr>
          <w:ilvl w:val="0"/>
          <w:numId w:val="4"/>
        </w:numPr>
        <w:spacing w:after="0" w:line="240" w:lineRule="auto"/>
        <w:jc w:val="both"/>
        <w:rPr>
          <w:rFonts w:ascii="Times New Roman" w:hAnsi="Times New Roman" w:cs="Times New Roman"/>
          <w:sz w:val="28"/>
          <w:szCs w:val="28"/>
        </w:rPr>
      </w:pPr>
      <w:r w:rsidRPr="005D14C0">
        <w:rPr>
          <w:rFonts w:ascii="Times New Roman" w:hAnsi="Times New Roman" w:cs="Times New Roman"/>
          <w:sz w:val="28"/>
          <w:szCs w:val="28"/>
        </w:rPr>
        <w:t>джерел фінансування робіт із встановлення, обслуговування та заміни вузлів обліку;</w:t>
      </w:r>
    </w:p>
    <w:p w:rsidR="00FE7F08" w:rsidRPr="005D14C0" w:rsidRDefault="00FE7F08" w:rsidP="009A7691">
      <w:pPr>
        <w:pStyle w:val="a9"/>
        <w:numPr>
          <w:ilvl w:val="0"/>
          <w:numId w:val="4"/>
        </w:numPr>
        <w:spacing w:after="0" w:line="240" w:lineRule="auto"/>
        <w:jc w:val="both"/>
        <w:rPr>
          <w:rFonts w:ascii="Times New Roman" w:hAnsi="Times New Roman" w:cs="Times New Roman"/>
          <w:sz w:val="28"/>
          <w:szCs w:val="28"/>
        </w:rPr>
      </w:pPr>
      <w:r w:rsidRPr="005D14C0">
        <w:rPr>
          <w:rFonts w:ascii="Times New Roman" w:hAnsi="Times New Roman" w:cs="Times New Roman"/>
          <w:sz w:val="28"/>
          <w:szCs w:val="28"/>
        </w:rPr>
        <w:t>рівня відповідальності за порушення законодавства у сфері комерційного обліку.</w:t>
      </w:r>
    </w:p>
    <w:p w:rsidR="00295BA5" w:rsidRPr="005D14C0" w:rsidRDefault="00295BA5" w:rsidP="00217B29">
      <w:pPr>
        <w:spacing w:line="240" w:lineRule="auto"/>
        <w:ind w:firstLine="720"/>
        <w:contextualSpacing/>
        <w:jc w:val="both"/>
        <w:rPr>
          <w:rFonts w:ascii="Times New Roman" w:hAnsi="Times New Roman" w:cs="Times New Roman"/>
          <w:sz w:val="28"/>
          <w:szCs w:val="28"/>
        </w:rPr>
      </w:pPr>
    </w:p>
    <w:p w:rsidR="00295BA5" w:rsidRPr="005D14C0" w:rsidRDefault="00295BA5" w:rsidP="00217B29">
      <w:pPr>
        <w:spacing w:line="240" w:lineRule="auto"/>
        <w:ind w:firstLine="720"/>
        <w:contextualSpacing/>
        <w:jc w:val="both"/>
        <w:rPr>
          <w:rFonts w:ascii="Times New Roman" w:hAnsi="Times New Roman" w:cs="Times New Roman"/>
          <w:b/>
          <w:sz w:val="28"/>
          <w:szCs w:val="28"/>
        </w:rPr>
      </w:pPr>
      <w:r w:rsidRPr="005D14C0">
        <w:rPr>
          <w:rFonts w:ascii="Times New Roman" w:hAnsi="Times New Roman" w:cs="Times New Roman"/>
          <w:b/>
          <w:sz w:val="28"/>
          <w:szCs w:val="28"/>
        </w:rPr>
        <w:t>5. Обґрунтування можливості досягнення визначених цілей у разі прийняття регуляторного акта.</w:t>
      </w:r>
    </w:p>
    <w:p w:rsidR="00787BF0" w:rsidRPr="005D14C0" w:rsidRDefault="00787BF0" w:rsidP="00787BF0">
      <w:pPr>
        <w:shd w:val="clear" w:color="auto" w:fill="FFFFFF"/>
        <w:tabs>
          <w:tab w:val="left" w:pos="709"/>
        </w:tabs>
        <w:spacing w:line="240" w:lineRule="auto"/>
        <w:ind w:firstLine="708"/>
        <w:contextualSpacing/>
        <w:jc w:val="both"/>
        <w:rPr>
          <w:rFonts w:ascii="Times New Roman" w:hAnsi="Times New Roman" w:cs="Times New Roman"/>
          <w:spacing w:val="-1"/>
          <w:sz w:val="28"/>
          <w:szCs w:val="28"/>
        </w:rPr>
      </w:pPr>
      <w:r w:rsidRPr="005D14C0">
        <w:rPr>
          <w:rFonts w:ascii="Times New Roman" w:hAnsi="Times New Roman" w:cs="Times New Roman"/>
          <w:spacing w:val="-1"/>
          <w:sz w:val="28"/>
          <w:szCs w:val="28"/>
        </w:rPr>
        <w:t xml:space="preserve">Прийняття </w:t>
      </w:r>
      <w:r w:rsidR="00305494" w:rsidRPr="005D14C0">
        <w:rPr>
          <w:rFonts w:ascii="Times New Roman" w:hAnsi="Times New Roman" w:cs="Times New Roman"/>
          <w:spacing w:val="-1"/>
          <w:sz w:val="28"/>
          <w:szCs w:val="28"/>
        </w:rPr>
        <w:t>проекту Закону</w:t>
      </w:r>
      <w:r w:rsidRPr="005D14C0">
        <w:rPr>
          <w:rFonts w:ascii="Times New Roman" w:hAnsi="Times New Roman" w:cs="Times New Roman"/>
          <w:spacing w:val="-1"/>
          <w:sz w:val="28"/>
          <w:szCs w:val="28"/>
        </w:rPr>
        <w:t xml:space="preserve"> підвищить ефективність функціонування сфер теплопостачання, централізованого водопостачання та надання комунальних послуг шляхом створення нормативних передумов для запровадження обов’язкового комерційного та розподільчого обліку теплової енергії, гарячої та питної води. Реалізація положень проекту </w:t>
      </w:r>
      <w:r w:rsidR="005B3501" w:rsidRPr="005D14C0">
        <w:rPr>
          <w:rFonts w:ascii="Times New Roman" w:hAnsi="Times New Roman" w:cs="Times New Roman"/>
          <w:spacing w:val="-1"/>
          <w:sz w:val="28"/>
          <w:szCs w:val="28"/>
        </w:rPr>
        <w:t>Закону</w:t>
      </w:r>
      <w:r w:rsidRPr="005D14C0">
        <w:rPr>
          <w:rFonts w:ascii="Times New Roman" w:hAnsi="Times New Roman" w:cs="Times New Roman"/>
          <w:spacing w:val="-1"/>
          <w:sz w:val="28"/>
          <w:szCs w:val="28"/>
        </w:rPr>
        <w:t xml:space="preserve"> створить стимули до забезпечення комерційного обліку на рівні 100% та раціонального використання водних та паливно-енергетичних ресурсів, сприятиме налагодженню більш прозорих та взаємовигідних відносин між споживачами та суб’єктами господарювання, що реалізують відповідну продукцію (товар, послугу).</w:t>
      </w:r>
    </w:p>
    <w:p w:rsidR="00295BA5" w:rsidRPr="005D14C0" w:rsidRDefault="00295BA5" w:rsidP="00217B29">
      <w:pPr>
        <w:spacing w:line="240" w:lineRule="auto"/>
        <w:ind w:firstLine="720"/>
        <w:contextualSpacing/>
        <w:jc w:val="both"/>
        <w:rPr>
          <w:rFonts w:ascii="Times New Roman" w:hAnsi="Times New Roman" w:cs="Times New Roman"/>
          <w:sz w:val="28"/>
          <w:szCs w:val="28"/>
        </w:rPr>
      </w:pPr>
    </w:p>
    <w:p w:rsidR="00295BA5" w:rsidRPr="005D14C0" w:rsidRDefault="00295BA5" w:rsidP="00217B29">
      <w:pPr>
        <w:spacing w:line="240" w:lineRule="auto"/>
        <w:ind w:firstLine="720"/>
        <w:contextualSpacing/>
        <w:jc w:val="both"/>
        <w:rPr>
          <w:rFonts w:ascii="Times New Roman" w:hAnsi="Times New Roman" w:cs="Times New Roman"/>
          <w:b/>
          <w:sz w:val="28"/>
          <w:szCs w:val="28"/>
        </w:rPr>
      </w:pPr>
      <w:r w:rsidRPr="005D14C0">
        <w:rPr>
          <w:rFonts w:ascii="Times New Roman" w:hAnsi="Times New Roman" w:cs="Times New Roman"/>
          <w:b/>
          <w:sz w:val="28"/>
          <w:szCs w:val="28"/>
        </w:rPr>
        <w:t>6. Визначення очікуваних результатів прийняття акта.</w:t>
      </w:r>
    </w:p>
    <w:p w:rsidR="00787BF0" w:rsidRPr="005D14C0" w:rsidRDefault="00787BF0" w:rsidP="00813182">
      <w:pPr>
        <w:shd w:val="clear" w:color="auto" w:fill="FFFFFF"/>
        <w:tabs>
          <w:tab w:val="left" w:pos="709"/>
        </w:tabs>
        <w:spacing w:line="240" w:lineRule="auto"/>
        <w:ind w:firstLine="708"/>
        <w:contextualSpacing/>
        <w:jc w:val="both"/>
        <w:rPr>
          <w:rFonts w:ascii="Times New Roman" w:hAnsi="Times New Roman" w:cs="Times New Roman"/>
          <w:spacing w:val="-1"/>
          <w:sz w:val="28"/>
          <w:szCs w:val="28"/>
        </w:rPr>
      </w:pPr>
      <w:r w:rsidRPr="005D14C0">
        <w:rPr>
          <w:rFonts w:ascii="Times New Roman" w:hAnsi="Times New Roman" w:cs="Times New Roman"/>
          <w:spacing w:val="-1"/>
          <w:sz w:val="28"/>
          <w:szCs w:val="28"/>
        </w:rPr>
        <w:t>Впровадження змін, передбачених проектом Закону, забезпечить умови для прискореного технологічного та економічного розвитку сфер теплопостачання, централізованого водопостачання, надання комунальних послуг шляхом створення економічних та адміністративних стимулів до раціонального використання водних та паливно-енергетичних ресурсів.</w:t>
      </w:r>
    </w:p>
    <w:p w:rsidR="00BA17AD" w:rsidRPr="005D14C0" w:rsidRDefault="00BA17AD" w:rsidP="00813182">
      <w:pPr>
        <w:shd w:val="clear" w:color="auto" w:fill="FFFFFF"/>
        <w:tabs>
          <w:tab w:val="left" w:pos="709"/>
        </w:tabs>
        <w:spacing w:line="240" w:lineRule="auto"/>
        <w:ind w:firstLine="708"/>
        <w:contextualSpacing/>
        <w:jc w:val="both"/>
        <w:rPr>
          <w:rFonts w:ascii="Times New Roman" w:hAnsi="Times New Roman" w:cs="Times New Roman"/>
          <w:spacing w:val="-1"/>
          <w:sz w:val="28"/>
          <w:szCs w:val="28"/>
        </w:rPr>
      </w:pPr>
    </w:p>
    <w:p w:rsidR="00787BF0" w:rsidRPr="005D14C0" w:rsidRDefault="00787BF0" w:rsidP="00787BF0">
      <w:pPr>
        <w:jc w:val="center"/>
        <w:rPr>
          <w:rFonts w:ascii="Times New Roman" w:hAnsi="Times New Roman" w:cs="Times New Roman"/>
          <w:b/>
          <w:sz w:val="28"/>
          <w:szCs w:val="28"/>
        </w:rPr>
      </w:pPr>
      <w:r w:rsidRPr="005D14C0">
        <w:rPr>
          <w:rFonts w:ascii="Times New Roman" w:hAnsi="Times New Roman" w:cs="Times New Roman"/>
          <w:b/>
          <w:sz w:val="28"/>
          <w:szCs w:val="28"/>
        </w:rPr>
        <w:t>Очікувані результати від прийняття регуляторного акта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129"/>
        <w:gridCol w:w="1383"/>
      </w:tblGrid>
      <w:tr w:rsidR="00787BF0" w:rsidRPr="005D14C0" w:rsidTr="00813182">
        <w:tc>
          <w:tcPr>
            <w:tcW w:w="2235" w:type="dxa"/>
            <w:shd w:val="clear" w:color="auto" w:fill="auto"/>
            <w:vAlign w:val="center"/>
          </w:tcPr>
          <w:p w:rsidR="00787BF0" w:rsidRPr="005D14C0" w:rsidRDefault="00787BF0" w:rsidP="00CD4F81">
            <w:pPr>
              <w:rPr>
                <w:rFonts w:ascii="Times New Roman" w:hAnsi="Times New Roman" w:cs="Times New Roman"/>
                <w:b/>
                <w:sz w:val="28"/>
                <w:szCs w:val="28"/>
              </w:rPr>
            </w:pPr>
            <w:r w:rsidRPr="005D14C0">
              <w:rPr>
                <w:rFonts w:ascii="Times New Roman" w:hAnsi="Times New Roman" w:cs="Times New Roman"/>
                <w:b/>
                <w:sz w:val="28"/>
                <w:szCs w:val="28"/>
              </w:rPr>
              <w:t>Сфера впливу</w:t>
            </w:r>
          </w:p>
        </w:tc>
        <w:tc>
          <w:tcPr>
            <w:tcW w:w="6129" w:type="dxa"/>
            <w:shd w:val="clear" w:color="auto" w:fill="auto"/>
            <w:vAlign w:val="center"/>
          </w:tcPr>
          <w:p w:rsidR="00787BF0" w:rsidRPr="005D14C0" w:rsidRDefault="00787BF0" w:rsidP="00CD4F81">
            <w:pPr>
              <w:jc w:val="center"/>
              <w:rPr>
                <w:rFonts w:ascii="Times New Roman" w:hAnsi="Times New Roman" w:cs="Times New Roman"/>
                <w:b/>
                <w:sz w:val="28"/>
                <w:szCs w:val="28"/>
              </w:rPr>
            </w:pPr>
            <w:r w:rsidRPr="005D14C0">
              <w:rPr>
                <w:rFonts w:ascii="Times New Roman" w:hAnsi="Times New Roman" w:cs="Times New Roman"/>
                <w:b/>
                <w:sz w:val="28"/>
                <w:szCs w:val="28"/>
              </w:rPr>
              <w:t>Вигоди</w:t>
            </w:r>
          </w:p>
        </w:tc>
        <w:tc>
          <w:tcPr>
            <w:tcW w:w="1383" w:type="dxa"/>
            <w:shd w:val="clear" w:color="auto" w:fill="auto"/>
            <w:vAlign w:val="center"/>
          </w:tcPr>
          <w:p w:rsidR="00787BF0" w:rsidRPr="005D14C0" w:rsidRDefault="00787BF0" w:rsidP="00CD4F81">
            <w:pPr>
              <w:rPr>
                <w:rFonts w:ascii="Times New Roman" w:hAnsi="Times New Roman" w:cs="Times New Roman"/>
                <w:b/>
                <w:sz w:val="28"/>
                <w:szCs w:val="28"/>
              </w:rPr>
            </w:pPr>
            <w:r w:rsidRPr="005D14C0">
              <w:rPr>
                <w:rFonts w:ascii="Times New Roman" w:hAnsi="Times New Roman" w:cs="Times New Roman"/>
                <w:b/>
                <w:sz w:val="28"/>
                <w:szCs w:val="28"/>
              </w:rPr>
              <w:t>Витрати</w:t>
            </w:r>
          </w:p>
        </w:tc>
      </w:tr>
      <w:tr w:rsidR="00787BF0" w:rsidRPr="005D14C0" w:rsidTr="00813182">
        <w:tc>
          <w:tcPr>
            <w:tcW w:w="2235"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Ринкове середовище</w:t>
            </w:r>
          </w:p>
        </w:tc>
        <w:tc>
          <w:tcPr>
            <w:tcW w:w="6129"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Сприяння розвитку ринку теплової енергії, послуг з централізованого водопостачання, надання комунальних послуг.</w:t>
            </w:r>
          </w:p>
        </w:tc>
        <w:tc>
          <w:tcPr>
            <w:tcW w:w="1383"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відсутні</w:t>
            </w:r>
          </w:p>
        </w:tc>
      </w:tr>
      <w:tr w:rsidR="00787BF0" w:rsidRPr="005D14C0" w:rsidTr="00813182">
        <w:tc>
          <w:tcPr>
            <w:tcW w:w="2235"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Інтереси держави</w:t>
            </w:r>
          </w:p>
        </w:tc>
        <w:tc>
          <w:tcPr>
            <w:tcW w:w="6129"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Виконання вимог чинного законодавства.</w:t>
            </w:r>
          </w:p>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Забезпечення енергетичної безпеки держави.</w:t>
            </w:r>
          </w:p>
        </w:tc>
        <w:tc>
          <w:tcPr>
            <w:tcW w:w="1383"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відсутні</w:t>
            </w:r>
          </w:p>
        </w:tc>
      </w:tr>
      <w:tr w:rsidR="00787BF0" w:rsidRPr="005D14C0" w:rsidTr="00813182">
        <w:tc>
          <w:tcPr>
            <w:tcW w:w="2235"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Інтереси суб'єктів господарювання</w:t>
            </w:r>
          </w:p>
        </w:tc>
        <w:tc>
          <w:tcPr>
            <w:tcW w:w="6129"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Забезпечення ефективного контролю та зниження втрат і витрат ресурсів під час здійснення господарської діяльності, створення умов для ефективного економічного розвитку в умовах розвитку конкурентного середовища.</w:t>
            </w:r>
          </w:p>
        </w:tc>
        <w:tc>
          <w:tcPr>
            <w:tcW w:w="1383"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відсутні</w:t>
            </w:r>
          </w:p>
        </w:tc>
      </w:tr>
      <w:tr w:rsidR="00787BF0" w:rsidRPr="005D14C0" w:rsidTr="00813182">
        <w:tc>
          <w:tcPr>
            <w:tcW w:w="2235"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Інтереси громадян</w:t>
            </w:r>
          </w:p>
        </w:tc>
        <w:tc>
          <w:tcPr>
            <w:tcW w:w="6129"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Забезпечення населення якісними комунальними послугами.</w:t>
            </w:r>
          </w:p>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lastRenderedPageBreak/>
              <w:t>Здешевлення вартості послуг.</w:t>
            </w:r>
          </w:p>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t>Унормування взаємовідносин споживачів та суб’єктів господарювання, що реалізують відповідну продукцію (товар, послугу).</w:t>
            </w:r>
          </w:p>
        </w:tc>
        <w:tc>
          <w:tcPr>
            <w:tcW w:w="1383" w:type="dxa"/>
            <w:shd w:val="clear" w:color="auto" w:fill="auto"/>
            <w:vAlign w:val="center"/>
          </w:tcPr>
          <w:p w:rsidR="00787BF0" w:rsidRPr="005D14C0" w:rsidRDefault="00787BF0" w:rsidP="00813182">
            <w:pPr>
              <w:spacing w:line="240" w:lineRule="auto"/>
              <w:rPr>
                <w:rFonts w:ascii="Times New Roman" w:hAnsi="Times New Roman" w:cs="Times New Roman"/>
                <w:sz w:val="28"/>
                <w:szCs w:val="28"/>
              </w:rPr>
            </w:pPr>
            <w:r w:rsidRPr="005D14C0">
              <w:rPr>
                <w:rFonts w:ascii="Times New Roman" w:hAnsi="Times New Roman" w:cs="Times New Roman"/>
                <w:sz w:val="28"/>
                <w:szCs w:val="28"/>
              </w:rPr>
              <w:lastRenderedPageBreak/>
              <w:t>відсутні</w:t>
            </w:r>
          </w:p>
        </w:tc>
      </w:tr>
    </w:tbl>
    <w:p w:rsidR="00295BA5" w:rsidRPr="005D14C0" w:rsidRDefault="00295BA5" w:rsidP="00217B29">
      <w:pPr>
        <w:spacing w:line="240" w:lineRule="auto"/>
        <w:ind w:firstLine="720"/>
        <w:contextualSpacing/>
        <w:rPr>
          <w:rFonts w:ascii="Times New Roman" w:hAnsi="Times New Roman" w:cs="Times New Roman"/>
          <w:b/>
          <w:sz w:val="28"/>
          <w:szCs w:val="28"/>
        </w:rPr>
      </w:pPr>
    </w:p>
    <w:p w:rsidR="00295BA5" w:rsidRPr="005D14C0" w:rsidRDefault="00295BA5" w:rsidP="00217B29">
      <w:pPr>
        <w:spacing w:line="240" w:lineRule="auto"/>
        <w:ind w:firstLine="720"/>
        <w:contextualSpacing/>
        <w:rPr>
          <w:rFonts w:ascii="Times New Roman" w:hAnsi="Times New Roman" w:cs="Times New Roman"/>
          <w:b/>
          <w:sz w:val="28"/>
          <w:szCs w:val="28"/>
        </w:rPr>
      </w:pPr>
      <w:r w:rsidRPr="005D14C0">
        <w:rPr>
          <w:rFonts w:ascii="Times New Roman" w:hAnsi="Times New Roman" w:cs="Times New Roman"/>
          <w:b/>
          <w:sz w:val="28"/>
          <w:szCs w:val="28"/>
        </w:rPr>
        <w:t>7.Обґрунтування </w:t>
      </w:r>
      <w:r w:rsidR="006D7E90" w:rsidRPr="005D14C0">
        <w:rPr>
          <w:rFonts w:ascii="Times New Roman" w:hAnsi="Times New Roman" w:cs="Times New Roman"/>
          <w:b/>
          <w:sz w:val="28"/>
          <w:szCs w:val="28"/>
        </w:rPr>
        <w:t>терміну дії акта.</w:t>
      </w:r>
    </w:p>
    <w:p w:rsidR="000B4390" w:rsidRPr="005D14C0" w:rsidRDefault="006D7E90" w:rsidP="00217B29">
      <w:pPr>
        <w:spacing w:line="240" w:lineRule="auto"/>
        <w:ind w:firstLine="720"/>
        <w:contextualSpacing/>
        <w:jc w:val="both"/>
        <w:rPr>
          <w:rFonts w:ascii="Times New Roman" w:hAnsi="Times New Roman" w:cs="Times New Roman"/>
          <w:sz w:val="28"/>
          <w:szCs w:val="28"/>
        </w:rPr>
      </w:pPr>
      <w:r w:rsidRPr="005D14C0">
        <w:rPr>
          <w:rFonts w:ascii="Times New Roman" w:hAnsi="Times New Roman" w:cs="Times New Roman"/>
          <w:sz w:val="28"/>
          <w:szCs w:val="28"/>
        </w:rPr>
        <w:t>З моменту набрання регуляторним актом чинності строк його дії необмежений.</w:t>
      </w:r>
    </w:p>
    <w:p w:rsidR="006D7E90" w:rsidRPr="005D14C0" w:rsidRDefault="006D7E90" w:rsidP="00217B29">
      <w:pPr>
        <w:spacing w:line="240" w:lineRule="auto"/>
        <w:ind w:firstLine="720"/>
        <w:contextualSpacing/>
        <w:jc w:val="both"/>
        <w:rPr>
          <w:rFonts w:ascii="Times New Roman" w:hAnsi="Times New Roman" w:cs="Times New Roman"/>
          <w:sz w:val="28"/>
          <w:szCs w:val="28"/>
        </w:rPr>
      </w:pPr>
    </w:p>
    <w:p w:rsidR="00295BA5" w:rsidRPr="005D14C0" w:rsidRDefault="00295BA5" w:rsidP="00217B29">
      <w:pPr>
        <w:spacing w:line="240" w:lineRule="auto"/>
        <w:ind w:firstLine="720"/>
        <w:contextualSpacing/>
        <w:jc w:val="both"/>
        <w:rPr>
          <w:rFonts w:ascii="Times New Roman" w:hAnsi="Times New Roman" w:cs="Times New Roman"/>
          <w:b/>
          <w:sz w:val="28"/>
          <w:szCs w:val="28"/>
        </w:rPr>
      </w:pPr>
      <w:r w:rsidRPr="005D14C0">
        <w:rPr>
          <w:rFonts w:ascii="Times New Roman" w:hAnsi="Times New Roman" w:cs="Times New Roman"/>
          <w:b/>
          <w:sz w:val="28"/>
          <w:szCs w:val="28"/>
        </w:rPr>
        <w:t xml:space="preserve">8. Визначення показників результативності </w:t>
      </w:r>
      <w:r w:rsidR="008339AA" w:rsidRPr="005D14C0">
        <w:rPr>
          <w:rFonts w:ascii="Times New Roman" w:hAnsi="Times New Roman" w:cs="Times New Roman"/>
          <w:b/>
          <w:sz w:val="28"/>
          <w:szCs w:val="28"/>
        </w:rPr>
        <w:t xml:space="preserve">регуляторного </w:t>
      </w:r>
      <w:r w:rsidRPr="005D14C0">
        <w:rPr>
          <w:rFonts w:ascii="Times New Roman" w:hAnsi="Times New Roman" w:cs="Times New Roman"/>
          <w:b/>
          <w:sz w:val="28"/>
          <w:szCs w:val="28"/>
        </w:rPr>
        <w:t>акта.</w:t>
      </w:r>
    </w:p>
    <w:p w:rsidR="00004CFF" w:rsidRPr="005D14C0" w:rsidRDefault="00004CFF" w:rsidP="008339AA">
      <w:pPr>
        <w:spacing w:line="240" w:lineRule="auto"/>
        <w:ind w:firstLine="720"/>
        <w:contextualSpacing/>
        <w:jc w:val="both"/>
        <w:rPr>
          <w:rFonts w:ascii="Times New Roman" w:hAnsi="Times New Roman" w:cs="Times New Roman"/>
          <w:sz w:val="28"/>
          <w:szCs w:val="28"/>
        </w:rPr>
      </w:pPr>
      <w:r w:rsidRPr="005D14C0">
        <w:rPr>
          <w:rFonts w:ascii="Times New Roman" w:hAnsi="Times New Roman" w:cs="Times New Roman"/>
          <w:sz w:val="28"/>
          <w:szCs w:val="28"/>
        </w:rPr>
        <w:t xml:space="preserve">Після набрання чинності проекту Закону його результативність визначатиметься такими кількісними показниками: </w:t>
      </w:r>
    </w:p>
    <w:p w:rsidR="00004CFF" w:rsidRPr="005D14C0" w:rsidRDefault="00004CFF" w:rsidP="008339AA">
      <w:pPr>
        <w:spacing w:line="240" w:lineRule="auto"/>
        <w:ind w:firstLine="720"/>
        <w:contextualSpacing/>
        <w:jc w:val="both"/>
        <w:rPr>
          <w:rFonts w:ascii="Times New Roman" w:hAnsi="Times New Roman" w:cs="Times New Roman"/>
          <w:sz w:val="28"/>
          <w:szCs w:val="28"/>
        </w:rPr>
      </w:pPr>
      <w:r w:rsidRPr="005D14C0">
        <w:rPr>
          <w:rFonts w:ascii="Times New Roman" w:hAnsi="Times New Roman" w:cs="Times New Roman"/>
          <w:sz w:val="28"/>
          <w:szCs w:val="28"/>
        </w:rPr>
        <w:t xml:space="preserve">1) розмір надходжень до державного та місцевих бюджетів і державних цільових фондів, пов'язаних з дією акта – не змінюється; </w:t>
      </w:r>
    </w:p>
    <w:p w:rsidR="00004CFF" w:rsidRPr="005D14C0" w:rsidRDefault="00004CFF" w:rsidP="008339AA">
      <w:pPr>
        <w:spacing w:line="240" w:lineRule="auto"/>
        <w:ind w:firstLine="720"/>
        <w:contextualSpacing/>
        <w:jc w:val="both"/>
        <w:rPr>
          <w:rFonts w:ascii="Times New Roman" w:hAnsi="Times New Roman" w:cs="Times New Roman"/>
          <w:sz w:val="28"/>
          <w:szCs w:val="28"/>
        </w:rPr>
      </w:pPr>
      <w:r w:rsidRPr="005D14C0">
        <w:rPr>
          <w:rFonts w:ascii="Times New Roman" w:hAnsi="Times New Roman" w:cs="Times New Roman"/>
          <w:sz w:val="28"/>
          <w:szCs w:val="28"/>
        </w:rPr>
        <w:t xml:space="preserve">2) кількість суб'єктів господарювання та/або фізичних осіб, на яких поширюватиметься дія акта – дія акта поширюється на суб’єктів господарювання на суміжних ринках у сфері </w:t>
      </w:r>
      <w:r w:rsidR="00BC28A7" w:rsidRPr="005D14C0">
        <w:rPr>
          <w:rFonts w:ascii="Times New Roman" w:hAnsi="Times New Roman" w:cs="Times New Roman"/>
          <w:sz w:val="28"/>
          <w:szCs w:val="28"/>
        </w:rPr>
        <w:t>комунальних послуг</w:t>
      </w:r>
      <w:r w:rsidRPr="005D14C0">
        <w:rPr>
          <w:rFonts w:ascii="Times New Roman" w:hAnsi="Times New Roman" w:cs="Times New Roman"/>
          <w:sz w:val="28"/>
          <w:szCs w:val="28"/>
        </w:rPr>
        <w:t xml:space="preserve">; </w:t>
      </w:r>
    </w:p>
    <w:p w:rsidR="00004CFF" w:rsidRPr="005D14C0" w:rsidRDefault="00004CFF" w:rsidP="008339AA">
      <w:pPr>
        <w:spacing w:line="240" w:lineRule="auto"/>
        <w:ind w:firstLine="720"/>
        <w:contextualSpacing/>
        <w:jc w:val="both"/>
        <w:rPr>
          <w:rFonts w:ascii="Times New Roman" w:hAnsi="Times New Roman" w:cs="Times New Roman"/>
          <w:sz w:val="28"/>
          <w:szCs w:val="28"/>
        </w:rPr>
      </w:pPr>
      <w:r w:rsidRPr="005D14C0">
        <w:rPr>
          <w:rFonts w:ascii="Times New Roman" w:hAnsi="Times New Roman" w:cs="Times New Roman"/>
          <w:sz w:val="28"/>
          <w:szCs w:val="28"/>
        </w:rPr>
        <w:t xml:space="preserve">3) розмір коштів та час, що витрачатимуться суб'єктами господарювання та/або фізичними особами, пов'язаними з виконанням вимог акта – не змінюється;  </w:t>
      </w:r>
    </w:p>
    <w:p w:rsidR="008339AA" w:rsidRPr="005D14C0" w:rsidRDefault="00004CFF" w:rsidP="008339AA">
      <w:pPr>
        <w:spacing w:line="240" w:lineRule="auto"/>
        <w:ind w:firstLine="720"/>
        <w:contextualSpacing/>
        <w:jc w:val="both"/>
        <w:rPr>
          <w:rFonts w:ascii="Times New Roman" w:hAnsi="Times New Roman" w:cs="Times New Roman"/>
          <w:sz w:val="28"/>
          <w:szCs w:val="28"/>
        </w:rPr>
      </w:pPr>
      <w:r w:rsidRPr="005D14C0">
        <w:rPr>
          <w:rFonts w:ascii="Times New Roman" w:hAnsi="Times New Roman" w:cs="Times New Roman"/>
          <w:sz w:val="28"/>
          <w:szCs w:val="28"/>
        </w:rPr>
        <w:t>4) рівень поінформованості суб'єктів господарювання та/або фізичних осіб з основних положень акта – середній.</w:t>
      </w:r>
    </w:p>
    <w:p w:rsidR="00004CFF" w:rsidRPr="005D14C0" w:rsidRDefault="00004CFF" w:rsidP="008339AA">
      <w:pPr>
        <w:spacing w:line="240" w:lineRule="auto"/>
        <w:ind w:firstLine="720"/>
        <w:contextualSpacing/>
        <w:jc w:val="both"/>
        <w:rPr>
          <w:rFonts w:ascii="Times New Roman" w:hAnsi="Times New Roman" w:cs="Times New Roman"/>
          <w:b/>
          <w:sz w:val="28"/>
          <w:szCs w:val="28"/>
        </w:rPr>
      </w:pPr>
    </w:p>
    <w:p w:rsidR="00295BA5" w:rsidRPr="005D14C0" w:rsidRDefault="00295BA5" w:rsidP="00003A9F">
      <w:pPr>
        <w:spacing w:line="240" w:lineRule="auto"/>
        <w:ind w:firstLine="720"/>
        <w:contextualSpacing/>
        <w:jc w:val="both"/>
        <w:rPr>
          <w:rFonts w:ascii="Times New Roman" w:hAnsi="Times New Roman" w:cs="Times New Roman"/>
          <w:b/>
          <w:sz w:val="28"/>
          <w:szCs w:val="28"/>
        </w:rPr>
      </w:pPr>
      <w:r w:rsidRPr="005D14C0">
        <w:rPr>
          <w:rFonts w:ascii="Times New Roman" w:hAnsi="Times New Roman" w:cs="Times New Roman"/>
          <w:b/>
          <w:sz w:val="28"/>
          <w:szCs w:val="28"/>
        </w:rPr>
        <w:t>9. Визначення заходів, за допомогою яких буде здійснюватися відстеження результативності акта.</w:t>
      </w:r>
    </w:p>
    <w:p w:rsidR="002A415A" w:rsidRPr="005D14C0" w:rsidRDefault="002A415A" w:rsidP="002A415A">
      <w:pPr>
        <w:spacing w:line="240" w:lineRule="auto"/>
        <w:ind w:firstLine="708"/>
        <w:contextualSpacing/>
        <w:jc w:val="both"/>
        <w:rPr>
          <w:rFonts w:ascii="Times New Roman" w:hAnsi="Times New Roman" w:cs="Times New Roman"/>
          <w:sz w:val="28"/>
          <w:szCs w:val="28"/>
        </w:rPr>
      </w:pPr>
      <w:r w:rsidRPr="005D14C0">
        <w:rPr>
          <w:rFonts w:ascii="Times New Roman" w:hAnsi="Times New Roman" w:cs="Times New Roman"/>
          <w:sz w:val="28"/>
          <w:szCs w:val="28"/>
        </w:rPr>
        <w:t xml:space="preserve">Відстеження результативності </w:t>
      </w:r>
      <w:r w:rsidR="008A6E3B" w:rsidRPr="005D14C0">
        <w:rPr>
          <w:rFonts w:ascii="Times New Roman" w:hAnsi="Times New Roman" w:cs="Times New Roman"/>
          <w:sz w:val="28"/>
          <w:szCs w:val="28"/>
        </w:rPr>
        <w:t xml:space="preserve">проекту Закону </w:t>
      </w:r>
      <w:r w:rsidRPr="005D14C0">
        <w:rPr>
          <w:rFonts w:ascii="Times New Roman" w:hAnsi="Times New Roman" w:cs="Times New Roman"/>
          <w:sz w:val="28"/>
          <w:szCs w:val="28"/>
        </w:rPr>
        <w:t xml:space="preserve">здійснюватиметься відповідно до Закону України «Про засади державної регуляторної політики у сфері господарської діяльності». </w:t>
      </w:r>
    </w:p>
    <w:p w:rsidR="002A415A" w:rsidRPr="005D14C0" w:rsidRDefault="002A415A" w:rsidP="002A415A">
      <w:pPr>
        <w:spacing w:line="240" w:lineRule="auto"/>
        <w:ind w:firstLine="708"/>
        <w:contextualSpacing/>
        <w:jc w:val="both"/>
        <w:rPr>
          <w:rFonts w:ascii="Times New Roman" w:hAnsi="Times New Roman" w:cs="Times New Roman"/>
          <w:sz w:val="28"/>
          <w:szCs w:val="28"/>
        </w:rPr>
      </w:pPr>
      <w:r w:rsidRPr="005D14C0">
        <w:rPr>
          <w:rFonts w:ascii="Times New Roman" w:hAnsi="Times New Roman" w:cs="Times New Roman"/>
          <w:sz w:val="28"/>
          <w:szCs w:val="28"/>
        </w:rPr>
        <w:t xml:space="preserve">Базове відстеження результативності регуляторного акту буде здійснено після набрання чинності </w:t>
      </w:r>
      <w:r w:rsidR="008A6E3B" w:rsidRPr="005D14C0">
        <w:rPr>
          <w:rFonts w:ascii="Times New Roman" w:hAnsi="Times New Roman" w:cs="Times New Roman"/>
          <w:sz w:val="28"/>
          <w:szCs w:val="28"/>
        </w:rPr>
        <w:t>проекту Закону</w:t>
      </w:r>
      <w:r w:rsidRPr="005D14C0">
        <w:rPr>
          <w:rFonts w:ascii="Times New Roman" w:hAnsi="Times New Roman" w:cs="Times New Roman"/>
          <w:sz w:val="28"/>
          <w:szCs w:val="28"/>
        </w:rPr>
        <w:t xml:space="preserve"> шляхом використання виключно статистичних даних. </w:t>
      </w:r>
    </w:p>
    <w:p w:rsidR="002A415A" w:rsidRPr="005D14C0" w:rsidRDefault="002A415A" w:rsidP="002A415A">
      <w:pPr>
        <w:spacing w:line="240" w:lineRule="auto"/>
        <w:ind w:firstLine="708"/>
        <w:contextualSpacing/>
        <w:jc w:val="both"/>
        <w:rPr>
          <w:rFonts w:ascii="Times New Roman" w:hAnsi="Times New Roman" w:cs="Times New Roman"/>
          <w:sz w:val="28"/>
          <w:szCs w:val="28"/>
        </w:rPr>
      </w:pPr>
      <w:r w:rsidRPr="005D14C0">
        <w:rPr>
          <w:rFonts w:ascii="Times New Roman" w:hAnsi="Times New Roman" w:cs="Times New Roman"/>
          <w:sz w:val="28"/>
          <w:szCs w:val="28"/>
        </w:rPr>
        <w:t xml:space="preserve">Повторне відстеження результативності </w:t>
      </w:r>
      <w:r w:rsidR="008A6E3B" w:rsidRPr="005D14C0">
        <w:rPr>
          <w:rFonts w:ascii="Times New Roman" w:hAnsi="Times New Roman" w:cs="Times New Roman"/>
          <w:sz w:val="28"/>
          <w:szCs w:val="28"/>
        </w:rPr>
        <w:t>проекту Закону</w:t>
      </w:r>
      <w:r w:rsidRPr="005D14C0">
        <w:rPr>
          <w:rFonts w:ascii="Times New Roman" w:hAnsi="Times New Roman" w:cs="Times New Roman"/>
          <w:sz w:val="28"/>
          <w:szCs w:val="28"/>
        </w:rPr>
        <w:t xml:space="preserve"> буде здійснено через рік після набрання ним чинності з метою оцінки ступеня досягнення цим актом визначених цілей шляхом використання  виключно статистичних даних. Одержані при здійсненні повторного відстеження результативності значення показників результативності будуть порівнюватися із значеннями цих показників, що були одержані при здійсненні базового відстеження. </w:t>
      </w:r>
    </w:p>
    <w:p w:rsidR="00295BA5" w:rsidRPr="005D14C0" w:rsidRDefault="002A415A" w:rsidP="002A415A">
      <w:pPr>
        <w:spacing w:line="240" w:lineRule="auto"/>
        <w:ind w:firstLine="708"/>
        <w:contextualSpacing/>
        <w:jc w:val="both"/>
        <w:rPr>
          <w:rFonts w:ascii="Times New Roman" w:hAnsi="Times New Roman" w:cs="Times New Roman"/>
          <w:sz w:val="28"/>
          <w:szCs w:val="28"/>
        </w:rPr>
      </w:pPr>
      <w:r w:rsidRPr="005D14C0">
        <w:rPr>
          <w:rFonts w:ascii="Times New Roman" w:hAnsi="Times New Roman" w:cs="Times New Roman"/>
          <w:sz w:val="28"/>
          <w:szCs w:val="28"/>
        </w:rPr>
        <w:t xml:space="preserve">Періодичні відстеження результативності будуть здійснюватися раз на кожні три роки починаючи з дня закінчення заходів з повторного відстеження результативності </w:t>
      </w:r>
      <w:r w:rsidR="008A6E3B" w:rsidRPr="005D14C0">
        <w:rPr>
          <w:rFonts w:ascii="Times New Roman" w:hAnsi="Times New Roman" w:cs="Times New Roman"/>
          <w:sz w:val="28"/>
          <w:szCs w:val="28"/>
        </w:rPr>
        <w:t>проекту Закону</w:t>
      </w:r>
      <w:r w:rsidRPr="005D14C0">
        <w:rPr>
          <w:rFonts w:ascii="Times New Roman" w:hAnsi="Times New Roman" w:cs="Times New Roman"/>
          <w:sz w:val="28"/>
          <w:szCs w:val="28"/>
        </w:rPr>
        <w:t xml:space="preserve">.   </w:t>
      </w:r>
    </w:p>
    <w:p w:rsidR="000B4390" w:rsidRPr="005D14C0" w:rsidRDefault="000B4390" w:rsidP="00217B29">
      <w:pPr>
        <w:spacing w:line="240" w:lineRule="auto"/>
        <w:contextualSpacing/>
        <w:jc w:val="both"/>
        <w:rPr>
          <w:rFonts w:ascii="Times New Roman" w:hAnsi="Times New Roman" w:cs="Times New Roman"/>
          <w:sz w:val="28"/>
          <w:szCs w:val="28"/>
        </w:rPr>
      </w:pPr>
    </w:p>
    <w:p w:rsidR="00EF18A0" w:rsidRPr="005D14C0" w:rsidRDefault="00EF18A0" w:rsidP="00EF18A0">
      <w:pPr>
        <w:spacing w:after="0" w:line="240" w:lineRule="auto"/>
        <w:jc w:val="both"/>
        <w:rPr>
          <w:rFonts w:ascii="Times New Roman" w:hAnsi="Times New Roman" w:cs="Times New Roman"/>
          <w:b/>
          <w:sz w:val="28"/>
          <w:szCs w:val="28"/>
        </w:rPr>
      </w:pPr>
      <w:r w:rsidRPr="005D14C0">
        <w:rPr>
          <w:rFonts w:ascii="Times New Roman" w:hAnsi="Times New Roman" w:cs="Times New Roman"/>
          <w:b/>
          <w:sz w:val="28"/>
          <w:szCs w:val="28"/>
        </w:rPr>
        <w:t>Перший заступник Міністра</w:t>
      </w:r>
    </w:p>
    <w:p w:rsidR="00EF18A0" w:rsidRPr="005D14C0" w:rsidRDefault="00EF18A0" w:rsidP="00EF18A0">
      <w:pPr>
        <w:spacing w:after="0" w:line="240" w:lineRule="auto"/>
        <w:jc w:val="both"/>
        <w:rPr>
          <w:rFonts w:ascii="Times New Roman" w:hAnsi="Times New Roman" w:cs="Times New Roman"/>
          <w:b/>
          <w:sz w:val="28"/>
          <w:szCs w:val="28"/>
        </w:rPr>
      </w:pPr>
      <w:r w:rsidRPr="005D14C0">
        <w:rPr>
          <w:rFonts w:ascii="Times New Roman" w:hAnsi="Times New Roman" w:cs="Times New Roman"/>
          <w:b/>
          <w:sz w:val="28"/>
          <w:szCs w:val="28"/>
        </w:rPr>
        <w:t>регіонального розвитку, будівництва</w:t>
      </w:r>
    </w:p>
    <w:p w:rsidR="00EF18A0" w:rsidRPr="005D14C0" w:rsidRDefault="00EF18A0" w:rsidP="00EF18A0">
      <w:pPr>
        <w:spacing w:after="0" w:line="240" w:lineRule="auto"/>
        <w:jc w:val="both"/>
        <w:rPr>
          <w:rFonts w:ascii="Times New Roman" w:hAnsi="Times New Roman" w:cs="Times New Roman"/>
          <w:b/>
          <w:sz w:val="28"/>
          <w:szCs w:val="28"/>
        </w:rPr>
      </w:pPr>
      <w:r w:rsidRPr="005D14C0">
        <w:rPr>
          <w:rFonts w:ascii="Times New Roman" w:hAnsi="Times New Roman" w:cs="Times New Roman"/>
          <w:b/>
          <w:sz w:val="28"/>
          <w:szCs w:val="28"/>
        </w:rPr>
        <w:t xml:space="preserve">та житлово-комунального </w:t>
      </w:r>
    </w:p>
    <w:p w:rsidR="00EF18A0" w:rsidRPr="005D14C0" w:rsidRDefault="00EF18A0" w:rsidP="00EF18A0">
      <w:pPr>
        <w:spacing w:after="0" w:line="240" w:lineRule="auto"/>
        <w:jc w:val="both"/>
        <w:rPr>
          <w:rFonts w:ascii="Times New Roman" w:hAnsi="Times New Roman" w:cs="Times New Roman"/>
          <w:b/>
          <w:sz w:val="28"/>
          <w:szCs w:val="28"/>
        </w:rPr>
      </w:pPr>
      <w:r w:rsidRPr="005D14C0">
        <w:rPr>
          <w:rFonts w:ascii="Times New Roman" w:hAnsi="Times New Roman" w:cs="Times New Roman"/>
          <w:b/>
          <w:sz w:val="28"/>
          <w:szCs w:val="28"/>
        </w:rPr>
        <w:t>господарства України                                                                              В.А. Негода</w:t>
      </w:r>
    </w:p>
    <w:p w:rsidR="00EF18A0" w:rsidRPr="005D14C0" w:rsidRDefault="00EF18A0" w:rsidP="00EF18A0">
      <w:pPr>
        <w:spacing w:after="0" w:line="240" w:lineRule="auto"/>
        <w:jc w:val="both"/>
        <w:rPr>
          <w:rFonts w:ascii="Times New Roman" w:hAnsi="Times New Roman" w:cs="Times New Roman"/>
          <w:b/>
          <w:sz w:val="28"/>
          <w:szCs w:val="28"/>
        </w:rPr>
      </w:pPr>
    </w:p>
    <w:p w:rsidR="00C248A8" w:rsidRPr="005D14C0" w:rsidRDefault="00EF18A0" w:rsidP="00584E2A">
      <w:pPr>
        <w:spacing w:after="0" w:line="240" w:lineRule="auto"/>
        <w:jc w:val="both"/>
        <w:rPr>
          <w:rFonts w:ascii="Times New Roman" w:hAnsi="Times New Roman" w:cs="Times New Roman"/>
          <w:sz w:val="28"/>
          <w:szCs w:val="28"/>
        </w:rPr>
      </w:pPr>
      <w:r w:rsidRPr="005D14C0">
        <w:rPr>
          <w:rFonts w:ascii="Times New Roman" w:hAnsi="Times New Roman" w:cs="Times New Roman"/>
          <w:sz w:val="28"/>
          <w:szCs w:val="28"/>
        </w:rPr>
        <w:t>___ ____________ 2016 р.</w:t>
      </w:r>
    </w:p>
    <w:sectPr w:rsidR="00C248A8" w:rsidRPr="005D14C0" w:rsidSect="005D14C0">
      <w:headerReference w:type="even" r:id="rId9"/>
      <w:headerReference w:type="default" r:id="rId10"/>
      <w:footerReference w:type="first" r:id="rId11"/>
      <w:pgSz w:w="11906" w:h="16838"/>
      <w:pgMar w:top="851" w:right="567" w:bottom="426"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FD" w:rsidRDefault="002672FD" w:rsidP="00E553F6">
      <w:pPr>
        <w:spacing w:after="0" w:line="240" w:lineRule="auto"/>
      </w:pPr>
      <w:r>
        <w:separator/>
      </w:r>
    </w:p>
  </w:endnote>
  <w:endnote w:type="continuationSeparator" w:id="0">
    <w:p w:rsidR="002672FD" w:rsidRDefault="002672FD" w:rsidP="00E5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E2A" w:rsidRDefault="00584E2A">
    <w:pPr>
      <w:pStyle w:val="aa"/>
      <w:jc w:val="center"/>
    </w:pPr>
  </w:p>
  <w:p w:rsidR="00584E2A" w:rsidRDefault="00584E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FD" w:rsidRDefault="002672FD" w:rsidP="00E553F6">
      <w:pPr>
        <w:spacing w:after="0" w:line="240" w:lineRule="auto"/>
      </w:pPr>
      <w:r>
        <w:separator/>
      </w:r>
    </w:p>
  </w:footnote>
  <w:footnote w:type="continuationSeparator" w:id="0">
    <w:p w:rsidR="002672FD" w:rsidRDefault="002672FD" w:rsidP="00E55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C63" w:rsidRDefault="00A95032" w:rsidP="00727F16">
    <w:pPr>
      <w:pStyle w:val="a3"/>
      <w:framePr w:wrap="around" w:vAnchor="text" w:hAnchor="margin" w:xAlign="center" w:y="1"/>
      <w:rPr>
        <w:rStyle w:val="a5"/>
      </w:rPr>
    </w:pPr>
    <w:r>
      <w:rPr>
        <w:rStyle w:val="a5"/>
      </w:rPr>
      <w:fldChar w:fldCharType="begin"/>
    </w:r>
    <w:r w:rsidR="00C248A8">
      <w:rPr>
        <w:rStyle w:val="a5"/>
      </w:rPr>
      <w:instrText xml:space="preserve">PAGE  </w:instrText>
    </w:r>
    <w:r>
      <w:rPr>
        <w:rStyle w:val="a5"/>
      </w:rPr>
      <w:fldChar w:fldCharType="end"/>
    </w:r>
  </w:p>
  <w:p w:rsidR="002E3C63" w:rsidRDefault="002672F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C63" w:rsidRDefault="00A95032" w:rsidP="00727F16">
    <w:pPr>
      <w:pStyle w:val="a3"/>
      <w:framePr w:wrap="around" w:vAnchor="text" w:hAnchor="margin" w:xAlign="center" w:y="1"/>
      <w:rPr>
        <w:rStyle w:val="a5"/>
      </w:rPr>
    </w:pPr>
    <w:r>
      <w:rPr>
        <w:rStyle w:val="a5"/>
      </w:rPr>
      <w:fldChar w:fldCharType="begin"/>
    </w:r>
    <w:r w:rsidR="00C248A8">
      <w:rPr>
        <w:rStyle w:val="a5"/>
      </w:rPr>
      <w:instrText xml:space="preserve">PAGE  </w:instrText>
    </w:r>
    <w:r>
      <w:rPr>
        <w:rStyle w:val="a5"/>
      </w:rPr>
      <w:fldChar w:fldCharType="separate"/>
    </w:r>
    <w:r w:rsidR="002E1D7F">
      <w:rPr>
        <w:rStyle w:val="a5"/>
        <w:noProof/>
      </w:rPr>
      <w:t>2</w:t>
    </w:r>
    <w:r>
      <w:rPr>
        <w:rStyle w:val="a5"/>
      </w:rPr>
      <w:fldChar w:fldCharType="end"/>
    </w:r>
  </w:p>
  <w:p w:rsidR="002E3C63" w:rsidRDefault="002672F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76F08"/>
    <w:multiLevelType w:val="hybridMultilevel"/>
    <w:tmpl w:val="7DEC2C36"/>
    <w:lvl w:ilvl="0" w:tplc="75A8295E">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6F3590"/>
    <w:multiLevelType w:val="hybridMultilevel"/>
    <w:tmpl w:val="45E48BD4"/>
    <w:lvl w:ilvl="0" w:tplc="CBDEB4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35EF5DFC"/>
    <w:multiLevelType w:val="hybridMultilevel"/>
    <w:tmpl w:val="7D02307C"/>
    <w:lvl w:ilvl="0" w:tplc="E18AFC74">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6EF75B40"/>
    <w:multiLevelType w:val="hybridMultilevel"/>
    <w:tmpl w:val="BDAE4756"/>
    <w:lvl w:ilvl="0" w:tplc="71F2D26A">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A5"/>
    <w:rsid w:val="00003A9F"/>
    <w:rsid w:val="00004CFF"/>
    <w:rsid w:val="00053AAB"/>
    <w:rsid w:val="000B2268"/>
    <w:rsid w:val="000B4390"/>
    <w:rsid w:val="000D27D3"/>
    <w:rsid w:val="000F5297"/>
    <w:rsid w:val="001005CA"/>
    <w:rsid w:val="00186A9F"/>
    <w:rsid w:val="001A2C70"/>
    <w:rsid w:val="001D03B8"/>
    <w:rsid w:val="00217B29"/>
    <w:rsid w:val="002672FD"/>
    <w:rsid w:val="00295BA5"/>
    <w:rsid w:val="002A415A"/>
    <w:rsid w:val="002E1D7F"/>
    <w:rsid w:val="00300054"/>
    <w:rsid w:val="00305494"/>
    <w:rsid w:val="003463FA"/>
    <w:rsid w:val="003D3054"/>
    <w:rsid w:val="003F0E90"/>
    <w:rsid w:val="003F31D1"/>
    <w:rsid w:val="00416A2E"/>
    <w:rsid w:val="00473A11"/>
    <w:rsid w:val="004F5DF3"/>
    <w:rsid w:val="00507801"/>
    <w:rsid w:val="00552F99"/>
    <w:rsid w:val="0056031B"/>
    <w:rsid w:val="00584E2A"/>
    <w:rsid w:val="005B3501"/>
    <w:rsid w:val="005D14C0"/>
    <w:rsid w:val="005E4C62"/>
    <w:rsid w:val="006D7E90"/>
    <w:rsid w:val="007066BD"/>
    <w:rsid w:val="007164DE"/>
    <w:rsid w:val="007400C1"/>
    <w:rsid w:val="00787BF0"/>
    <w:rsid w:val="00813182"/>
    <w:rsid w:val="008339AA"/>
    <w:rsid w:val="00877E7D"/>
    <w:rsid w:val="008A6E3B"/>
    <w:rsid w:val="00916486"/>
    <w:rsid w:val="009A7691"/>
    <w:rsid w:val="009E6D4B"/>
    <w:rsid w:val="00A156A6"/>
    <w:rsid w:val="00A6415F"/>
    <w:rsid w:val="00A7048C"/>
    <w:rsid w:val="00A95032"/>
    <w:rsid w:val="00AB78AB"/>
    <w:rsid w:val="00AD4822"/>
    <w:rsid w:val="00B96CB0"/>
    <w:rsid w:val="00BA17AD"/>
    <w:rsid w:val="00BC28A7"/>
    <w:rsid w:val="00BF7F34"/>
    <w:rsid w:val="00C248A8"/>
    <w:rsid w:val="00CA44C7"/>
    <w:rsid w:val="00D519DD"/>
    <w:rsid w:val="00D800E9"/>
    <w:rsid w:val="00D8739A"/>
    <w:rsid w:val="00DC4BCE"/>
    <w:rsid w:val="00E553F6"/>
    <w:rsid w:val="00E76214"/>
    <w:rsid w:val="00EA306F"/>
    <w:rsid w:val="00EC3892"/>
    <w:rsid w:val="00EF18A0"/>
    <w:rsid w:val="00FD4D66"/>
    <w:rsid w:val="00FE7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F7F34"/>
    <w:pPr>
      <w:keepNext/>
      <w:spacing w:after="0" w:line="240" w:lineRule="auto"/>
      <w:jc w:val="center"/>
      <w:outlineLvl w:val="0"/>
    </w:pPr>
    <w:rPr>
      <w:rFonts w:ascii="Times New Roman" w:eastAsia="Times New Roman" w:hAnsi="Times New Roman" w:cs="Times New Roman"/>
      <w:b/>
      <w:kern w:val="3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95B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ій колонтитул Знак"/>
    <w:basedOn w:val="a0"/>
    <w:link w:val="a3"/>
    <w:uiPriority w:val="99"/>
    <w:rsid w:val="00295BA5"/>
    <w:rPr>
      <w:rFonts w:ascii="Times New Roman" w:eastAsia="Times New Roman" w:hAnsi="Times New Roman" w:cs="Times New Roman"/>
      <w:sz w:val="24"/>
      <w:szCs w:val="24"/>
    </w:rPr>
  </w:style>
  <w:style w:type="character" w:styleId="a5">
    <w:name w:val="page number"/>
    <w:basedOn w:val="a0"/>
    <w:rsid w:val="00295BA5"/>
  </w:style>
  <w:style w:type="table" w:styleId="a6">
    <w:name w:val="Table Grid"/>
    <w:basedOn w:val="a1"/>
    <w:rsid w:val="00295B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Нормальний текст"/>
    <w:basedOn w:val="a"/>
    <w:rsid w:val="00295BA5"/>
    <w:pPr>
      <w:spacing w:before="120" w:after="0" w:line="240" w:lineRule="auto"/>
      <w:ind w:firstLine="567"/>
      <w:jc w:val="both"/>
    </w:pPr>
    <w:rPr>
      <w:rFonts w:ascii="Antiqua" w:eastAsia="Times New Roman" w:hAnsi="Antiqua" w:cs="Times New Roman"/>
      <w:sz w:val="26"/>
      <w:szCs w:val="20"/>
    </w:rPr>
  </w:style>
  <w:style w:type="character" w:customStyle="1" w:styleId="10">
    <w:name w:val="Заголовок 1 Знак"/>
    <w:basedOn w:val="a0"/>
    <w:link w:val="1"/>
    <w:uiPriority w:val="99"/>
    <w:rsid w:val="00BF7F34"/>
    <w:rPr>
      <w:rFonts w:ascii="Times New Roman" w:eastAsia="Times New Roman" w:hAnsi="Times New Roman" w:cs="Times New Roman"/>
      <w:b/>
      <w:kern w:val="32"/>
      <w:sz w:val="28"/>
      <w:szCs w:val="20"/>
    </w:rPr>
  </w:style>
  <w:style w:type="character" w:styleId="a8">
    <w:name w:val="Strong"/>
    <w:basedOn w:val="a0"/>
    <w:qFormat/>
    <w:rsid w:val="00BF7F34"/>
    <w:rPr>
      <w:b/>
      <w:bCs/>
    </w:rPr>
  </w:style>
  <w:style w:type="paragraph" w:styleId="a9">
    <w:name w:val="List Paragraph"/>
    <w:basedOn w:val="a"/>
    <w:uiPriority w:val="34"/>
    <w:qFormat/>
    <w:rsid w:val="00BF7F34"/>
    <w:pPr>
      <w:ind w:left="720"/>
      <w:contextualSpacing/>
    </w:pPr>
  </w:style>
  <w:style w:type="paragraph" w:styleId="aa">
    <w:name w:val="footer"/>
    <w:basedOn w:val="a"/>
    <w:link w:val="ab"/>
    <w:uiPriority w:val="99"/>
    <w:unhideWhenUsed/>
    <w:rsid w:val="00584E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84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F7F34"/>
    <w:pPr>
      <w:keepNext/>
      <w:spacing w:after="0" w:line="240" w:lineRule="auto"/>
      <w:jc w:val="center"/>
      <w:outlineLvl w:val="0"/>
    </w:pPr>
    <w:rPr>
      <w:rFonts w:ascii="Times New Roman" w:eastAsia="Times New Roman" w:hAnsi="Times New Roman" w:cs="Times New Roman"/>
      <w:b/>
      <w:kern w:val="3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95B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ій колонтитул Знак"/>
    <w:basedOn w:val="a0"/>
    <w:link w:val="a3"/>
    <w:uiPriority w:val="99"/>
    <w:rsid w:val="00295BA5"/>
    <w:rPr>
      <w:rFonts w:ascii="Times New Roman" w:eastAsia="Times New Roman" w:hAnsi="Times New Roman" w:cs="Times New Roman"/>
      <w:sz w:val="24"/>
      <w:szCs w:val="24"/>
    </w:rPr>
  </w:style>
  <w:style w:type="character" w:styleId="a5">
    <w:name w:val="page number"/>
    <w:basedOn w:val="a0"/>
    <w:rsid w:val="00295BA5"/>
  </w:style>
  <w:style w:type="table" w:styleId="a6">
    <w:name w:val="Table Grid"/>
    <w:basedOn w:val="a1"/>
    <w:rsid w:val="00295B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Нормальний текст"/>
    <w:basedOn w:val="a"/>
    <w:rsid w:val="00295BA5"/>
    <w:pPr>
      <w:spacing w:before="120" w:after="0" w:line="240" w:lineRule="auto"/>
      <w:ind w:firstLine="567"/>
      <w:jc w:val="both"/>
    </w:pPr>
    <w:rPr>
      <w:rFonts w:ascii="Antiqua" w:eastAsia="Times New Roman" w:hAnsi="Antiqua" w:cs="Times New Roman"/>
      <w:sz w:val="26"/>
      <w:szCs w:val="20"/>
    </w:rPr>
  </w:style>
  <w:style w:type="character" w:customStyle="1" w:styleId="10">
    <w:name w:val="Заголовок 1 Знак"/>
    <w:basedOn w:val="a0"/>
    <w:link w:val="1"/>
    <w:uiPriority w:val="99"/>
    <w:rsid w:val="00BF7F34"/>
    <w:rPr>
      <w:rFonts w:ascii="Times New Roman" w:eastAsia="Times New Roman" w:hAnsi="Times New Roman" w:cs="Times New Roman"/>
      <w:b/>
      <w:kern w:val="32"/>
      <w:sz w:val="28"/>
      <w:szCs w:val="20"/>
    </w:rPr>
  </w:style>
  <w:style w:type="character" w:styleId="a8">
    <w:name w:val="Strong"/>
    <w:basedOn w:val="a0"/>
    <w:qFormat/>
    <w:rsid w:val="00BF7F34"/>
    <w:rPr>
      <w:b/>
      <w:bCs/>
    </w:rPr>
  </w:style>
  <w:style w:type="paragraph" w:styleId="a9">
    <w:name w:val="List Paragraph"/>
    <w:basedOn w:val="a"/>
    <w:uiPriority w:val="34"/>
    <w:qFormat/>
    <w:rsid w:val="00BF7F34"/>
    <w:pPr>
      <w:ind w:left="720"/>
      <w:contextualSpacing/>
    </w:pPr>
  </w:style>
  <w:style w:type="paragraph" w:styleId="aa">
    <w:name w:val="footer"/>
    <w:basedOn w:val="a"/>
    <w:link w:val="ab"/>
    <w:uiPriority w:val="99"/>
    <w:unhideWhenUsed/>
    <w:rsid w:val="00584E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8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E27C-83FE-4680-AA08-D3C2D20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5636</Words>
  <Characters>3214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K802user</cp:lastModifiedBy>
  <cp:revision>2</cp:revision>
  <cp:lastPrinted>2016-03-04T12:54:00Z</cp:lastPrinted>
  <dcterms:created xsi:type="dcterms:W3CDTF">2016-03-09T07:58:00Z</dcterms:created>
  <dcterms:modified xsi:type="dcterms:W3CDTF">2016-03-09T07:58:00Z</dcterms:modified>
</cp:coreProperties>
</file>