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D5E8" w14:textId="77777777" w:rsidR="00B43B9E" w:rsidRPr="003864E7" w:rsidRDefault="00AF0BE5">
      <w:pPr>
        <w:spacing w:before="80" w:after="0" w:line="240" w:lineRule="auto"/>
        <w:ind w:left="720" w:firstLine="708"/>
        <w:jc w:val="center"/>
        <w:rPr>
          <w:rFonts w:ascii="Times New Roman" w:eastAsia="Times New Roman" w:hAnsi="Times New Roman" w:cs="Times New Roman"/>
          <w:b/>
          <w:sz w:val="28"/>
          <w:szCs w:val="28"/>
        </w:rPr>
      </w:pPr>
      <w:r w:rsidRPr="003864E7">
        <w:rPr>
          <w:rFonts w:ascii="Times New Roman" w:eastAsia="Times New Roman" w:hAnsi="Times New Roman" w:cs="Times New Roman"/>
          <w:b/>
          <w:color w:val="000000"/>
          <w:sz w:val="28"/>
          <w:szCs w:val="28"/>
        </w:rPr>
        <w:t>Інформація про врахування зауважень та пропозицій громадян і організацій до проекту розпорядження Кабінету Міністрів України «Про Національний план дій з розвитку відновлюваної енергетики на період до 2030 року»</w:t>
      </w:r>
    </w:p>
    <w:p w14:paraId="78D1D562" w14:textId="77777777" w:rsidR="00B43B9E" w:rsidRPr="003864E7" w:rsidRDefault="00B43B9E">
      <w:pPr>
        <w:pBdr>
          <w:top w:val="nil"/>
          <w:left w:val="nil"/>
          <w:bottom w:val="nil"/>
          <w:right w:val="nil"/>
          <w:between w:val="nil"/>
        </w:pBdr>
        <w:shd w:val="clear" w:color="auto" w:fill="FFFFFF"/>
        <w:spacing w:after="0" w:line="240" w:lineRule="auto"/>
        <w:ind w:left="810"/>
        <w:jc w:val="both"/>
        <w:rPr>
          <w:rFonts w:ascii="Times New Roman" w:eastAsia="Times New Roman" w:hAnsi="Times New Roman" w:cs="Times New Roman"/>
          <w:b/>
          <w:color w:val="000000"/>
          <w:sz w:val="28"/>
          <w:szCs w:val="28"/>
        </w:rPr>
      </w:pPr>
      <w:bookmarkStart w:id="0" w:name="bookmark=id.gjdgxs" w:colFirst="0" w:colLast="0"/>
      <w:bookmarkEnd w:id="0"/>
    </w:p>
    <w:p w14:paraId="24F401F8" w14:textId="77777777" w:rsidR="00B43B9E" w:rsidRPr="003864E7" w:rsidRDefault="00AF0BE5">
      <w:pPr>
        <w:pBdr>
          <w:top w:val="nil"/>
          <w:left w:val="nil"/>
          <w:bottom w:val="nil"/>
          <w:right w:val="nil"/>
          <w:between w:val="nil"/>
        </w:pBdr>
        <w:shd w:val="clear" w:color="auto" w:fill="FFFFFF"/>
        <w:spacing w:after="151" w:line="240" w:lineRule="auto"/>
        <w:jc w:val="both"/>
        <w:rPr>
          <w:rFonts w:ascii="Times New Roman" w:eastAsia="Times New Roman" w:hAnsi="Times New Roman" w:cs="Times New Roman"/>
          <w:i/>
          <w:color w:val="000000"/>
          <w:sz w:val="28"/>
          <w:szCs w:val="28"/>
        </w:rPr>
      </w:pPr>
      <w:r w:rsidRPr="003864E7">
        <w:rPr>
          <w:rFonts w:ascii="Times New Roman" w:eastAsia="Times New Roman" w:hAnsi="Times New Roman" w:cs="Times New Roman"/>
          <w:i/>
          <w:color w:val="000000"/>
          <w:sz w:val="28"/>
          <w:szCs w:val="28"/>
        </w:rPr>
        <w:t>Інформація про зміст питання проекту акта, автора пропозицій/ зауважень та відмітка про врахування з відповідним обґрунтуванням</w:t>
      </w:r>
    </w:p>
    <w:tbl>
      <w:tblPr>
        <w:tblStyle w:val="affffffb"/>
        <w:tblW w:w="15324" w:type="dxa"/>
        <w:tblInd w:w="-30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43"/>
        <w:gridCol w:w="3969"/>
        <w:gridCol w:w="5812"/>
      </w:tblGrid>
      <w:tr w:rsidR="00B43B9E" w:rsidRPr="003864E7" w14:paraId="31FEA605"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3FFC5A31" w14:textId="77777777" w:rsidR="00B43B9E" w:rsidRPr="003864E7" w:rsidRDefault="00AF0BE5">
            <w:pPr>
              <w:spacing w:after="0" w:line="240" w:lineRule="auto"/>
              <w:jc w:val="center"/>
              <w:rPr>
                <w:rFonts w:ascii="Times New Roman" w:eastAsia="Times New Roman" w:hAnsi="Times New Roman" w:cs="Times New Roman"/>
                <w:b/>
              </w:rPr>
            </w:pPr>
            <w:bookmarkStart w:id="1" w:name="bookmark=id.3dy6vkm" w:colFirst="0" w:colLast="0"/>
            <w:bookmarkEnd w:id="1"/>
            <w:r w:rsidRPr="003864E7">
              <w:rPr>
                <w:rFonts w:ascii="Times New Roman" w:eastAsia="Times New Roman" w:hAnsi="Times New Roman" w:cs="Times New Roman"/>
                <w:b/>
              </w:rPr>
              <w:t>Суть зауваження</w:t>
            </w:r>
          </w:p>
        </w:tc>
        <w:tc>
          <w:tcPr>
            <w:tcW w:w="3969" w:type="dxa"/>
            <w:tcBorders>
              <w:top w:val="single" w:sz="6" w:space="0" w:color="000000"/>
              <w:left w:val="single" w:sz="6" w:space="0" w:color="000000"/>
              <w:bottom w:val="single" w:sz="6" w:space="0" w:color="000000"/>
              <w:right w:val="single" w:sz="6" w:space="0" w:color="000000"/>
            </w:tcBorders>
          </w:tcPr>
          <w:p w14:paraId="4F1CCE23" w14:textId="77777777" w:rsidR="00B43B9E" w:rsidRPr="003864E7" w:rsidRDefault="00AF0BE5">
            <w:pPr>
              <w:spacing w:after="0" w:line="240" w:lineRule="auto"/>
              <w:jc w:val="center"/>
              <w:rPr>
                <w:rFonts w:ascii="Times New Roman" w:eastAsia="Times New Roman" w:hAnsi="Times New Roman" w:cs="Times New Roman"/>
                <w:b/>
              </w:rPr>
            </w:pPr>
            <w:r w:rsidRPr="003864E7">
              <w:rPr>
                <w:rFonts w:ascii="Times New Roman" w:eastAsia="Times New Roman" w:hAnsi="Times New Roman" w:cs="Times New Roman"/>
                <w:b/>
              </w:rPr>
              <w:t>Положення</w:t>
            </w:r>
            <w:r w:rsidRPr="003864E7">
              <w:rPr>
                <w:rFonts w:ascii="Times New Roman" w:eastAsia="Times New Roman" w:hAnsi="Times New Roman" w:cs="Times New Roman"/>
                <w:b/>
              </w:rPr>
              <w:br/>
              <w:t>спірної частини проєкту акта (у разі потреби)</w:t>
            </w:r>
          </w:p>
        </w:tc>
        <w:tc>
          <w:tcPr>
            <w:tcW w:w="5812" w:type="dxa"/>
            <w:tcBorders>
              <w:top w:val="single" w:sz="6" w:space="0" w:color="000000"/>
              <w:left w:val="single" w:sz="6" w:space="0" w:color="000000"/>
              <w:bottom w:val="single" w:sz="6" w:space="0" w:color="000000"/>
              <w:right w:val="single" w:sz="6" w:space="0" w:color="000000"/>
            </w:tcBorders>
          </w:tcPr>
          <w:p w14:paraId="1F1CE15E" w14:textId="77777777" w:rsidR="00B43B9E" w:rsidRPr="003864E7" w:rsidRDefault="00AF0BE5">
            <w:pPr>
              <w:spacing w:after="0" w:line="240" w:lineRule="auto"/>
              <w:ind w:left="566" w:hanging="566"/>
              <w:jc w:val="center"/>
              <w:rPr>
                <w:rFonts w:ascii="Times New Roman" w:eastAsia="Times New Roman" w:hAnsi="Times New Roman" w:cs="Times New Roman"/>
                <w:b/>
              </w:rPr>
            </w:pPr>
            <w:r w:rsidRPr="003864E7">
              <w:rPr>
                <w:rFonts w:ascii="Times New Roman" w:eastAsia="Times New Roman" w:hAnsi="Times New Roman" w:cs="Times New Roman"/>
                <w:b/>
              </w:rPr>
              <w:t>Відмітка про врахування (враховано, враховано частково, не враховано). Спосіб врахування та аргументи розробника щодо відхилення зауважень</w:t>
            </w:r>
          </w:p>
        </w:tc>
      </w:tr>
      <w:tr w:rsidR="00B43B9E" w:rsidRPr="003864E7" w14:paraId="0EAFB0B1" w14:textId="77777777">
        <w:tc>
          <w:tcPr>
            <w:tcW w:w="15324" w:type="dxa"/>
            <w:gridSpan w:val="3"/>
            <w:tcBorders>
              <w:top w:val="single" w:sz="6" w:space="0" w:color="000000"/>
              <w:left w:val="single" w:sz="6" w:space="0" w:color="000000"/>
              <w:bottom w:val="single" w:sz="6" w:space="0" w:color="000000"/>
              <w:right w:val="single" w:sz="6" w:space="0" w:color="000000"/>
            </w:tcBorders>
          </w:tcPr>
          <w:p w14:paraId="1133E39D" w14:textId="77777777" w:rsidR="00B43B9E" w:rsidRPr="003864E7" w:rsidRDefault="00AF0BE5">
            <w:pPr>
              <w:pBdr>
                <w:top w:val="nil"/>
                <w:left w:val="nil"/>
                <w:bottom w:val="nil"/>
                <w:right w:val="nil"/>
                <w:between w:val="nil"/>
              </w:pBdr>
              <w:spacing w:after="0" w:line="240" w:lineRule="auto"/>
              <w:ind w:left="57" w:right="57"/>
              <w:jc w:val="center"/>
              <w:rPr>
                <w:rFonts w:ascii="Times New Roman" w:eastAsia="Times New Roman" w:hAnsi="Times New Roman" w:cs="Times New Roman"/>
                <w:color w:val="000000"/>
              </w:rPr>
            </w:pPr>
            <w:r w:rsidRPr="003864E7">
              <w:rPr>
                <w:rFonts w:ascii="Times New Roman" w:eastAsia="Times New Roman" w:hAnsi="Times New Roman" w:cs="Times New Roman"/>
                <w:b/>
              </w:rPr>
              <w:t>ДП «Гарантований покупець»</w:t>
            </w:r>
          </w:p>
        </w:tc>
      </w:tr>
      <w:tr w:rsidR="00B43B9E" w:rsidRPr="003864E7" w14:paraId="7BCC1D61"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051A21B0"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До таблиці «Ціль 4. Нормативно-правове та організаційне забезпечення розвитку відновлюваної енергетики»: 1. У пункті 1 в стовбці «Відповідальні за виконання» після слів «ПрАТ «НЕК «Укренерго» слова «(за згодою)» - вилучити, оскільки функція надання пропозицій Міністерству енергетики України щодо розміру річних квот підтримки оператором системи передачі визначена ст.9-3 Закону України «Про альтернативні джерела енергії». </w:t>
            </w:r>
          </w:p>
          <w:p w14:paraId="568B16EE"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2. У пункті 1 у стовбці «Строк виконання» слова «до 1 листопада» замінити на слова та цифри «до 31 жовтня (Міненерго)» та «до 15 вересня (Держенергоефективності, ПрАТ «ДП «НЕК «Укренерго»)», оскільки зазначені терміни визначені Порядком проведення аукціонів з розподілу квот підтримки, затвердженим постановою Кабінету Міністрів України від 27 грудня 2019 р. №1175. </w:t>
            </w:r>
          </w:p>
          <w:p w14:paraId="30FB98EE" w14:textId="77777777" w:rsidR="00B43B9E" w:rsidRPr="003864E7" w:rsidRDefault="00B43B9E">
            <w:pPr>
              <w:spacing w:after="0" w:line="240" w:lineRule="auto"/>
              <w:ind w:left="57" w:right="57"/>
              <w:rPr>
                <w:rFonts w:ascii="Times New Roman" w:eastAsia="Times New Roman" w:hAnsi="Times New Roman" w:cs="Times New Roman"/>
              </w:rPr>
            </w:pPr>
          </w:p>
        </w:tc>
        <w:tc>
          <w:tcPr>
            <w:tcW w:w="3969" w:type="dxa"/>
            <w:tcBorders>
              <w:top w:val="single" w:sz="6" w:space="0" w:color="000000"/>
              <w:left w:val="single" w:sz="6" w:space="0" w:color="000000"/>
              <w:bottom w:val="single" w:sz="6" w:space="0" w:color="000000"/>
              <w:right w:val="single" w:sz="6" w:space="0" w:color="000000"/>
            </w:tcBorders>
          </w:tcPr>
          <w:p w14:paraId="3F26AE97" w14:textId="77777777" w:rsidR="00B43B9E" w:rsidRPr="003864E7" w:rsidRDefault="00AF0BE5">
            <w:pPr>
              <w:shd w:val="clear" w:color="auto" w:fill="FFFFFF"/>
              <w:spacing w:after="0" w:line="240" w:lineRule="auto"/>
              <w:ind w:left="57" w:right="57"/>
              <w:jc w:val="center"/>
              <w:rPr>
                <w:rFonts w:ascii="Times New Roman" w:eastAsia="Times New Roman" w:hAnsi="Times New Roman" w:cs="Times New Roman"/>
                <w:color w:val="000000"/>
              </w:rPr>
            </w:pPr>
            <w:r w:rsidRPr="003864E7">
              <w:rPr>
                <w:rFonts w:ascii="Times New Roman" w:eastAsia="Times New Roman" w:hAnsi="Times New Roman" w:cs="Times New Roman"/>
                <w:color w:val="000000"/>
              </w:rPr>
              <w:t>Ціль 4. Нормативно-правове та організаційне забезпечення розвитку відновлюваної енергетики</w:t>
            </w:r>
          </w:p>
          <w:p w14:paraId="4A049F50"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Пункту 1 «Подання Кабінетові Міністрів України проекту розпорядження Кабінету Міністрів 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w:t>
            </w:r>
          </w:p>
          <w:p w14:paraId="2E608C57"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Строк виконання: щороку до 1 листопада</w:t>
            </w:r>
          </w:p>
          <w:p w14:paraId="48F4BBFF"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Відповідальні за виконання:</w:t>
            </w:r>
          </w:p>
          <w:p w14:paraId="6FDD1008"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Міненерго</w:t>
            </w:r>
          </w:p>
          <w:p w14:paraId="0EBD006A"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Держенергоефективності</w:t>
            </w:r>
          </w:p>
          <w:p w14:paraId="03C59F94" w14:textId="77777777" w:rsidR="00B43B9E" w:rsidRPr="003864E7" w:rsidRDefault="00AF0BE5">
            <w:pPr>
              <w:shd w:val="clear" w:color="auto" w:fill="FFFFFF"/>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ПрАТ «НЕК» Укренерго» (за згодою)</w:t>
            </w:r>
          </w:p>
        </w:tc>
        <w:tc>
          <w:tcPr>
            <w:tcW w:w="5812" w:type="dxa"/>
            <w:tcBorders>
              <w:top w:val="single" w:sz="6" w:space="0" w:color="000000"/>
              <w:left w:val="single" w:sz="6" w:space="0" w:color="000000"/>
              <w:bottom w:val="single" w:sz="6" w:space="0" w:color="000000"/>
              <w:right w:val="single" w:sz="6" w:space="0" w:color="000000"/>
            </w:tcBorders>
          </w:tcPr>
          <w:p w14:paraId="4F87A5AA" w14:textId="77777777" w:rsidR="00B43B9E" w:rsidRPr="003864E7" w:rsidRDefault="00AF0BE5">
            <w:pPr>
              <w:pBdr>
                <w:top w:val="nil"/>
                <w:left w:val="nil"/>
                <w:bottom w:val="nil"/>
                <w:right w:val="nil"/>
                <w:between w:val="nil"/>
              </w:pBdr>
              <w:spacing w:after="0" w:line="240" w:lineRule="auto"/>
              <w:ind w:left="57" w:right="57" w:firstLine="556"/>
              <w:jc w:val="both"/>
              <w:rPr>
                <w:rFonts w:ascii="Times New Roman" w:eastAsia="Times New Roman" w:hAnsi="Times New Roman" w:cs="Times New Roman"/>
                <w:color w:val="000000"/>
              </w:rPr>
            </w:pPr>
            <w:r w:rsidRPr="003864E7">
              <w:rPr>
                <w:rFonts w:ascii="Times New Roman" w:eastAsia="Times New Roman" w:hAnsi="Times New Roman" w:cs="Times New Roman"/>
              </w:rPr>
              <w:t>Частково в</w:t>
            </w:r>
            <w:r w:rsidRPr="003864E7">
              <w:rPr>
                <w:rFonts w:ascii="Times New Roman" w:eastAsia="Times New Roman" w:hAnsi="Times New Roman" w:cs="Times New Roman"/>
                <w:color w:val="000000"/>
              </w:rPr>
              <w:t>раховано</w:t>
            </w:r>
          </w:p>
          <w:p w14:paraId="21EB4DBE" w14:textId="77777777" w:rsidR="00B43B9E" w:rsidRPr="003864E7" w:rsidRDefault="00AF0BE5">
            <w:pPr>
              <w:spacing w:after="0" w:line="240" w:lineRule="auto"/>
              <w:ind w:right="57" w:firstLine="567"/>
              <w:jc w:val="both"/>
              <w:rPr>
                <w:rFonts w:ascii="Times New Roman" w:eastAsia="Times New Roman" w:hAnsi="Times New Roman" w:cs="Times New Roman"/>
              </w:rPr>
            </w:pPr>
            <w:r w:rsidRPr="003864E7">
              <w:rPr>
                <w:rFonts w:ascii="Times New Roman" w:eastAsia="Times New Roman" w:hAnsi="Times New Roman" w:cs="Times New Roman"/>
              </w:rPr>
              <w:t>Відповідно до пункту 6 Порядку проведення аукціонів з розподілу квоти підтримки, затвердженого постановою Кабінету Міністрів України від 27 грудня 2019 р. № 1175,  проект рішення щодо встановлення річних квот підтримки суб’єктів господарювання, які виробляють електричну енергію з альтернативних джерел енергії подається Міненерго  до Кабінету Міністрів України щороку до 31 жовтня.</w:t>
            </w:r>
          </w:p>
          <w:p w14:paraId="5B12237A"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Пункт 1 Цілі 4 викладено у такій редакції: </w:t>
            </w:r>
          </w:p>
          <w:p w14:paraId="61E7D4A9"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«Подання Кабінетові Міністрів України проекту розпорядження Кабінету Міністрів 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w:t>
            </w:r>
          </w:p>
          <w:p w14:paraId="15D65354"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Строк виконання: щороку до 31 жовтня,</w:t>
            </w:r>
          </w:p>
          <w:p w14:paraId="5A4781A0"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Відповідальні за виконання:</w:t>
            </w:r>
          </w:p>
          <w:p w14:paraId="0444B53D"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Міненерго</w:t>
            </w:r>
          </w:p>
          <w:p w14:paraId="5AE99E08"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Держенергоефективності</w:t>
            </w:r>
          </w:p>
          <w:p w14:paraId="4F606D93"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ПрАТ «НЕК» Укренерго»»</w:t>
            </w:r>
          </w:p>
          <w:p w14:paraId="415883FB" w14:textId="77777777" w:rsidR="00B43B9E" w:rsidRPr="003864E7" w:rsidRDefault="00B43B9E">
            <w:pPr>
              <w:pBdr>
                <w:top w:val="nil"/>
                <w:left w:val="nil"/>
                <w:bottom w:val="nil"/>
                <w:right w:val="nil"/>
                <w:between w:val="nil"/>
              </w:pBdr>
              <w:spacing w:after="0" w:line="240" w:lineRule="auto"/>
              <w:ind w:left="57" w:right="57"/>
              <w:rPr>
                <w:rFonts w:ascii="Times New Roman" w:eastAsia="Times New Roman" w:hAnsi="Times New Roman" w:cs="Times New Roman"/>
                <w:color w:val="000000"/>
              </w:rPr>
            </w:pPr>
          </w:p>
        </w:tc>
      </w:tr>
      <w:tr w:rsidR="00B43B9E" w:rsidRPr="003864E7" w14:paraId="047EB81A"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60901357"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 xml:space="preserve">У пункті 2 в стовбці «Відповідальні за виконання» після слів «ДП «Гарантований покупець» та ДП «Прозорро.Продажі» слова «(за згодою)» - вилучити, оскільки повноваження для таких підприємств визначені нормативно-правовими документами. </w:t>
            </w:r>
          </w:p>
          <w:p w14:paraId="1242C940" w14:textId="77777777" w:rsidR="00B43B9E" w:rsidRPr="003864E7" w:rsidRDefault="00B43B9E">
            <w:pPr>
              <w:spacing w:after="0" w:line="240" w:lineRule="auto"/>
              <w:ind w:left="57" w:right="57" w:firstLine="567"/>
              <w:jc w:val="both"/>
              <w:rPr>
                <w:rFonts w:ascii="Times New Roman" w:eastAsia="Times New Roman" w:hAnsi="Times New Roman" w:cs="Times New Roman"/>
              </w:rPr>
            </w:pPr>
          </w:p>
        </w:tc>
        <w:tc>
          <w:tcPr>
            <w:tcW w:w="3969" w:type="dxa"/>
            <w:tcBorders>
              <w:top w:val="single" w:sz="6" w:space="0" w:color="000000"/>
              <w:left w:val="single" w:sz="6" w:space="0" w:color="000000"/>
              <w:bottom w:val="single" w:sz="6" w:space="0" w:color="000000"/>
              <w:right w:val="single" w:sz="6" w:space="0" w:color="000000"/>
            </w:tcBorders>
          </w:tcPr>
          <w:p w14:paraId="272F4B28" w14:textId="77777777" w:rsidR="00B43B9E" w:rsidRPr="003864E7" w:rsidRDefault="00AF0BE5">
            <w:pPr>
              <w:shd w:val="clear" w:color="auto" w:fill="FFFFFF"/>
              <w:spacing w:after="0" w:line="240" w:lineRule="auto"/>
              <w:ind w:left="57" w:right="57"/>
              <w:jc w:val="center"/>
              <w:rPr>
                <w:rFonts w:ascii="Times New Roman" w:eastAsia="Times New Roman" w:hAnsi="Times New Roman" w:cs="Times New Roman"/>
                <w:color w:val="000000"/>
              </w:rPr>
            </w:pPr>
            <w:r w:rsidRPr="003864E7">
              <w:rPr>
                <w:rFonts w:ascii="Times New Roman" w:eastAsia="Times New Roman" w:hAnsi="Times New Roman" w:cs="Times New Roman"/>
                <w:color w:val="000000"/>
              </w:rPr>
              <w:t>Ціль 4. Нормативно-правове та організаційне забезпечення розвитку відновлюваної енергетики</w:t>
            </w:r>
          </w:p>
          <w:p w14:paraId="5C630C21"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Пункту 2 «Проведення аукціонів з розподілу квоти підтримки виробництва електричної енергії з альтернативних джерел енергії»</w:t>
            </w:r>
          </w:p>
          <w:p w14:paraId="5ED53C95"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Відповідальні за виконання:</w:t>
            </w:r>
          </w:p>
          <w:p w14:paraId="3581FDDD"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Міненерго</w:t>
            </w:r>
          </w:p>
          <w:p w14:paraId="56F4EA0A"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ДП «Гарантований покупець» (за згодою)</w:t>
            </w:r>
          </w:p>
          <w:p w14:paraId="0CC36AE9"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ДП «Прозорро.Продажі» (за згодою)</w:t>
            </w:r>
          </w:p>
        </w:tc>
        <w:tc>
          <w:tcPr>
            <w:tcW w:w="5812" w:type="dxa"/>
            <w:tcBorders>
              <w:top w:val="single" w:sz="6" w:space="0" w:color="000000"/>
              <w:left w:val="single" w:sz="6" w:space="0" w:color="000000"/>
              <w:bottom w:val="single" w:sz="6" w:space="0" w:color="000000"/>
              <w:right w:val="single" w:sz="6" w:space="0" w:color="000000"/>
            </w:tcBorders>
          </w:tcPr>
          <w:p w14:paraId="3FE927FD" w14:textId="77777777" w:rsidR="00B43B9E" w:rsidRPr="003864E7" w:rsidRDefault="00AF0BE5">
            <w:pPr>
              <w:pBdr>
                <w:top w:val="nil"/>
                <w:left w:val="nil"/>
                <w:bottom w:val="nil"/>
                <w:right w:val="nil"/>
                <w:between w:val="nil"/>
              </w:pBdr>
              <w:spacing w:after="0" w:line="240" w:lineRule="auto"/>
              <w:ind w:left="57" w:right="57" w:firstLine="55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6EAFE95A"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Пункт 2 Цілі 4 викладено у такій редакції: </w:t>
            </w:r>
          </w:p>
          <w:p w14:paraId="6D9816BB"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«Проведення аукціонів з розподілу квоти підтримки виробництва електричної енергії з альтернативних джерел енергії»</w:t>
            </w:r>
          </w:p>
          <w:p w14:paraId="7EACF9A4"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Відповідальні за виконання:</w:t>
            </w:r>
          </w:p>
          <w:p w14:paraId="4CF21691"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Міненерго</w:t>
            </w:r>
          </w:p>
          <w:p w14:paraId="7E589A9B"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ДП «Гарантований покупець»</w:t>
            </w:r>
          </w:p>
          <w:p w14:paraId="283015A9"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ДП «Прозорро.Продажі»</w:t>
            </w:r>
          </w:p>
          <w:p w14:paraId="57BBB6DB"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Строк виконання: 2023-2029 роки</w:t>
            </w:r>
          </w:p>
          <w:p w14:paraId="5762CDD1"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rPr>
            </w:pPr>
          </w:p>
        </w:tc>
      </w:tr>
      <w:tr w:rsidR="00B43B9E" w:rsidRPr="003864E7" w14:paraId="3E3F4DA4"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0C696383"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У пункті 6 в стовбці «Відповідальні за виконання» доповнити абревіатурою «НКРЕКП (за згодою)» оскільки Регулятор має бути залучений до взаємодії державних органів у системі видачі гарантій походження як орган, що здійснює державне регулювання, моніторинг та контроль на енергетичних ринках з метою досягнення балансу інтересів споживачів, суб’єктів господарювання, що провадять діяльність у сферах енергетики та комунальних послуг, і держави, а також європейської інтеграції ринків електричної енергії та природного газу України.</w:t>
            </w:r>
          </w:p>
        </w:tc>
        <w:tc>
          <w:tcPr>
            <w:tcW w:w="3969" w:type="dxa"/>
            <w:tcBorders>
              <w:top w:val="single" w:sz="6" w:space="0" w:color="000000"/>
              <w:left w:val="single" w:sz="6" w:space="0" w:color="000000"/>
              <w:bottom w:val="single" w:sz="6" w:space="0" w:color="000000"/>
              <w:right w:val="single" w:sz="6" w:space="0" w:color="000000"/>
            </w:tcBorders>
          </w:tcPr>
          <w:p w14:paraId="421B568E" w14:textId="77777777" w:rsidR="00B43B9E" w:rsidRPr="003864E7" w:rsidRDefault="00AF0BE5">
            <w:pPr>
              <w:shd w:val="clear" w:color="auto" w:fill="FFFFFF"/>
              <w:spacing w:after="0" w:line="240" w:lineRule="auto"/>
              <w:ind w:left="57" w:right="57"/>
              <w:jc w:val="center"/>
              <w:rPr>
                <w:rFonts w:ascii="Times New Roman" w:eastAsia="Times New Roman" w:hAnsi="Times New Roman" w:cs="Times New Roman"/>
                <w:color w:val="000000"/>
              </w:rPr>
            </w:pPr>
            <w:r w:rsidRPr="003864E7">
              <w:rPr>
                <w:rFonts w:ascii="Times New Roman" w:eastAsia="Times New Roman" w:hAnsi="Times New Roman" w:cs="Times New Roman"/>
                <w:color w:val="000000"/>
              </w:rPr>
              <w:t>Ціль 4. Нормативно-правове та організаційне забезпечення розвитку відновлюваної енергетики</w:t>
            </w:r>
          </w:p>
          <w:p w14:paraId="2DD467BE"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Пункту 6 «Розроблення та подання Кабінетові Міністрів України проекту нормативно-правового акту щодо порядку видачі, використання та припинення дії гарантії походження електроенергії з відновлюваних джерел енергії»</w:t>
            </w:r>
          </w:p>
          <w:p w14:paraId="489CBBEA"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Відповідальні за виконання:</w:t>
            </w:r>
          </w:p>
          <w:p w14:paraId="3FE1DC52" w14:textId="77777777" w:rsidR="00B43B9E" w:rsidRPr="003864E7" w:rsidRDefault="00AF0BE5">
            <w:pPr>
              <w:spacing w:after="0" w:line="240" w:lineRule="auto"/>
              <w:ind w:left="57" w:right="57"/>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Міненерго</w:t>
            </w:r>
          </w:p>
          <w:p w14:paraId="56CE073C" w14:textId="77777777" w:rsidR="00B43B9E" w:rsidRPr="003864E7" w:rsidRDefault="00AF0BE5">
            <w:pPr>
              <w:spacing w:after="0" w:line="240" w:lineRule="auto"/>
              <w:ind w:left="57" w:right="57"/>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Держенергоефективності </w:t>
            </w:r>
          </w:p>
          <w:p w14:paraId="38F873A5"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ПрАТ «НЕК «Укренерго» (за згодою)</w:t>
            </w:r>
          </w:p>
        </w:tc>
        <w:tc>
          <w:tcPr>
            <w:tcW w:w="5812" w:type="dxa"/>
            <w:tcBorders>
              <w:top w:val="single" w:sz="6" w:space="0" w:color="000000"/>
              <w:left w:val="single" w:sz="6" w:space="0" w:color="000000"/>
              <w:bottom w:val="single" w:sz="6" w:space="0" w:color="000000"/>
              <w:right w:val="single" w:sz="6" w:space="0" w:color="000000"/>
            </w:tcBorders>
          </w:tcPr>
          <w:p w14:paraId="2E795B88" w14:textId="77777777" w:rsidR="00B43B9E" w:rsidRPr="003864E7" w:rsidRDefault="00AF0BE5">
            <w:pPr>
              <w:pBdr>
                <w:top w:val="nil"/>
                <w:left w:val="nil"/>
                <w:bottom w:val="nil"/>
                <w:right w:val="nil"/>
                <w:between w:val="nil"/>
              </w:pBdr>
              <w:spacing w:after="0" w:line="240" w:lineRule="auto"/>
              <w:ind w:left="57" w:right="57" w:firstLine="55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00B93B0A"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Пункт 2 Цілі 4 викладено у такій редакції: </w:t>
            </w:r>
          </w:p>
          <w:p w14:paraId="5D1A9ECF"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Пункту 6 «Розроблення та подання Кабінетові Міністрів України проекту нормативно-правового акту щодо порядку видачі, використання та припинення дії гарантії походження електроенергії з відновлюваних джерел енергії»</w:t>
            </w:r>
          </w:p>
          <w:p w14:paraId="614B6389"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Відповідальні за виконання:</w:t>
            </w:r>
          </w:p>
          <w:p w14:paraId="24365923" w14:textId="77777777" w:rsidR="00B43B9E" w:rsidRPr="003864E7" w:rsidRDefault="00AF0BE5">
            <w:pP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Міненерго</w:t>
            </w:r>
          </w:p>
          <w:p w14:paraId="54064970" w14:textId="77777777" w:rsidR="00B43B9E" w:rsidRPr="003864E7" w:rsidRDefault="00AF0BE5">
            <w:pP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Держенергоефективності</w:t>
            </w:r>
          </w:p>
          <w:p w14:paraId="103C3099" w14:textId="77777777" w:rsidR="00B43B9E" w:rsidRPr="003864E7" w:rsidRDefault="00AF0BE5">
            <w:pP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rPr>
              <w:t>НКРЕКП (за згодою)</w:t>
            </w:r>
            <w:r w:rsidRPr="003864E7">
              <w:rPr>
                <w:rFonts w:ascii="Times New Roman" w:eastAsia="Times New Roman" w:hAnsi="Times New Roman" w:cs="Times New Roman"/>
                <w:color w:val="000000"/>
              </w:rPr>
              <w:t xml:space="preserve"> </w:t>
            </w:r>
          </w:p>
          <w:p w14:paraId="70210810"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ПрАТ «НЕК «Укренерго» (за згодою)</w:t>
            </w:r>
          </w:p>
        </w:tc>
      </w:tr>
      <w:tr w:rsidR="00B43B9E" w:rsidRPr="003864E7" w14:paraId="2125785D"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1D9261ED"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Доповнити таблицю Цілі 4  новими пунктами, а саме:</w:t>
            </w:r>
          </w:p>
          <w:p w14:paraId="13C3704E"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 xml:space="preserve"> ■ «Здійснення заходів з підписання угоди з ЄС про взаємне визнання гарантій походження»; </w:t>
            </w:r>
          </w:p>
          <w:p w14:paraId="4BB82472"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 xml:space="preserve">■ «Розроблення та впровадження нових схем підтримки розвитку ВДЕ та залучення інвестицій, використовуючи позитивний досвід європейських країн.»; </w:t>
            </w:r>
          </w:p>
          <w:p w14:paraId="725B0785"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 xml:space="preserve">■ «Створення освітніх програм та навчального/ігрового/розважального відео-контенту з </w:t>
            </w:r>
            <w:r w:rsidRPr="003864E7">
              <w:rPr>
                <w:rFonts w:ascii="Times New Roman" w:eastAsia="Times New Roman" w:hAnsi="Times New Roman" w:cs="Times New Roman"/>
              </w:rPr>
              <w:lastRenderedPageBreak/>
              <w:t>популяризації розвитку ВДЕ у загальних цілях з декарбонізації, екології та зміни клімату.»</w:t>
            </w:r>
          </w:p>
        </w:tc>
        <w:tc>
          <w:tcPr>
            <w:tcW w:w="3969" w:type="dxa"/>
            <w:tcBorders>
              <w:top w:val="single" w:sz="6" w:space="0" w:color="000000"/>
              <w:left w:val="single" w:sz="6" w:space="0" w:color="000000"/>
              <w:bottom w:val="single" w:sz="6" w:space="0" w:color="000000"/>
              <w:right w:val="single" w:sz="6" w:space="0" w:color="000000"/>
            </w:tcBorders>
          </w:tcPr>
          <w:p w14:paraId="293C7EEA"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Ціль 4. Нормативно-правове та організаційне забезпечення розвитку відновлюваної енергетики</w:t>
            </w:r>
          </w:p>
        </w:tc>
        <w:tc>
          <w:tcPr>
            <w:tcW w:w="5812" w:type="dxa"/>
            <w:tcBorders>
              <w:top w:val="single" w:sz="6" w:space="0" w:color="000000"/>
              <w:left w:val="single" w:sz="6" w:space="0" w:color="000000"/>
              <w:bottom w:val="single" w:sz="6" w:space="0" w:color="000000"/>
              <w:right w:val="single" w:sz="6" w:space="0" w:color="000000"/>
            </w:tcBorders>
          </w:tcPr>
          <w:p w14:paraId="10DDABC1"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Частково враховано.</w:t>
            </w:r>
          </w:p>
          <w:p w14:paraId="2312CF4D"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Ціль 4 доповнено таким пунктом:</w:t>
            </w:r>
          </w:p>
          <w:p w14:paraId="23A77BB1"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«Здійснення заходів з підписання угоди з ЄС про взаємне визнання гарантій походження</w:t>
            </w:r>
          </w:p>
          <w:p w14:paraId="6B40EA0C"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Відповідальні за виконання:</w:t>
            </w:r>
          </w:p>
          <w:p w14:paraId="345FC9C4"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Міненерго</w:t>
            </w:r>
          </w:p>
          <w:p w14:paraId="59CC4456"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Держенергоефективності </w:t>
            </w:r>
          </w:p>
          <w:p w14:paraId="0C6672CF"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МЗС</w:t>
            </w:r>
          </w:p>
          <w:p w14:paraId="514F2153" w14:textId="77777777" w:rsidR="00B43B9E" w:rsidRPr="003864E7" w:rsidRDefault="00AF0BE5">
            <w:pPr>
              <w:spacing w:after="0" w:line="240" w:lineRule="auto"/>
              <w:ind w:left="57" w:right="57"/>
              <w:jc w:val="right"/>
              <w:rPr>
                <w:rFonts w:ascii="Times New Roman" w:eastAsia="Times New Roman" w:hAnsi="Times New Roman" w:cs="Times New Roman"/>
                <w:color w:val="000000"/>
              </w:rPr>
            </w:pPr>
            <w:r w:rsidRPr="003864E7">
              <w:rPr>
                <w:rFonts w:ascii="Times New Roman" w:eastAsia="Times New Roman" w:hAnsi="Times New Roman" w:cs="Times New Roman"/>
              </w:rPr>
              <w:t>НКРЕКП (за згодою)</w:t>
            </w:r>
            <w:r w:rsidRPr="003864E7">
              <w:rPr>
                <w:rFonts w:ascii="Times New Roman" w:eastAsia="Times New Roman" w:hAnsi="Times New Roman" w:cs="Times New Roman"/>
                <w:color w:val="000000"/>
              </w:rPr>
              <w:t xml:space="preserve"> </w:t>
            </w:r>
          </w:p>
          <w:p w14:paraId="63BE5AD8" w14:textId="77777777" w:rsidR="00B43B9E" w:rsidRPr="003864E7" w:rsidRDefault="00AF0BE5">
            <w:pPr>
              <w:spacing w:after="0" w:line="240" w:lineRule="auto"/>
              <w:ind w:left="57" w:right="57" w:firstLine="567"/>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ДП «Гарантований покупець» (за згодою)</w:t>
            </w:r>
          </w:p>
          <w:p w14:paraId="18B00DAD" w14:textId="77777777" w:rsidR="00B43B9E" w:rsidRPr="003864E7" w:rsidRDefault="00AF0BE5">
            <w:pPr>
              <w:spacing w:after="0" w:line="240" w:lineRule="auto"/>
              <w:ind w:left="57" w:right="57" w:firstLine="567"/>
              <w:jc w:val="right"/>
              <w:rPr>
                <w:rFonts w:ascii="Times New Roman" w:eastAsia="Times New Roman" w:hAnsi="Times New Roman" w:cs="Times New Roman"/>
              </w:rPr>
            </w:pPr>
            <w:r w:rsidRPr="003864E7">
              <w:rPr>
                <w:rFonts w:ascii="Times New Roman" w:eastAsia="Times New Roman" w:hAnsi="Times New Roman" w:cs="Times New Roman"/>
                <w:color w:val="000000"/>
              </w:rPr>
              <w:lastRenderedPageBreak/>
              <w:t>ПрАТ «НЕК «Укренерго» (за згодою)</w:t>
            </w:r>
          </w:p>
          <w:p w14:paraId="35096D55"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Строк виконання: 2024 рік </w:t>
            </w:r>
          </w:p>
          <w:p w14:paraId="45B4144B"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p>
          <w:p w14:paraId="287B66DA"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Включення заходів щодо розроблення та впровадження нових схем підтримки, а також створення освітніх програм та навчального/ігрового/розважального не враховано, оскільки зазначені заходи вже включені в Ціль 4  Плану заходів проекту НПДВЕ 2030.</w:t>
            </w:r>
          </w:p>
        </w:tc>
      </w:tr>
    </w:tbl>
    <w:tbl>
      <w:tblPr>
        <w:tblStyle w:val="affffffc"/>
        <w:tblW w:w="15294" w:type="dxa"/>
        <w:tblInd w:w="-27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13"/>
        <w:gridCol w:w="3969"/>
        <w:gridCol w:w="5812"/>
      </w:tblGrid>
      <w:tr w:rsidR="00B43B9E" w:rsidRPr="003864E7" w14:paraId="3122F481"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20AE62DE"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lastRenderedPageBreak/>
              <w:t>Доповнити таблицю Цілі 4  новими пунктами, а саме:</w:t>
            </w:r>
          </w:p>
          <w:p w14:paraId="5D139A97"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 xml:space="preserve"> ■ «Здійснення заходів з підписання угоди з ЄС про взаємне визнання гарантій походження»; </w:t>
            </w:r>
          </w:p>
          <w:p w14:paraId="541E78AF"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 xml:space="preserve">■ «Розроблення та впровадження нових схем підтримки розвитку ВДЕ та залучення інвестицій, використовуючи позитивний досвід європейських країн.»; </w:t>
            </w:r>
          </w:p>
          <w:p w14:paraId="3008A5A5" w14:textId="77777777" w:rsidR="00B43B9E" w:rsidRPr="003864E7" w:rsidRDefault="00AF0BE5">
            <w:pP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 «Створення освітніх програм та навчального/ігрового/розважального відео-контенту з популяризації розвитку ВДЕ у загальних цілях з декарбонізації, екології та зміни клімату.»</w:t>
            </w:r>
          </w:p>
        </w:tc>
        <w:tc>
          <w:tcPr>
            <w:tcW w:w="3969" w:type="dxa"/>
            <w:tcBorders>
              <w:top w:val="single" w:sz="6" w:space="0" w:color="000000"/>
              <w:left w:val="single" w:sz="6" w:space="0" w:color="000000"/>
              <w:bottom w:val="single" w:sz="6" w:space="0" w:color="000000"/>
              <w:right w:val="single" w:sz="6" w:space="0" w:color="000000"/>
            </w:tcBorders>
          </w:tcPr>
          <w:p w14:paraId="56C77D23" w14:textId="77777777" w:rsidR="00B43B9E" w:rsidRPr="003864E7" w:rsidRDefault="00AF0BE5">
            <w:pPr>
              <w:shd w:val="clear" w:color="auto" w:fill="FFFFFF"/>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Ціль 4. Нормативно-правове та організаційне забезпечення розвитку відновлюваної енергетики</w:t>
            </w:r>
          </w:p>
        </w:tc>
        <w:tc>
          <w:tcPr>
            <w:tcW w:w="5812" w:type="dxa"/>
            <w:tcBorders>
              <w:top w:val="single" w:sz="6" w:space="0" w:color="000000"/>
              <w:left w:val="single" w:sz="6" w:space="0" w:color="000000"/>
              <w:bottom w:val="single" w:sz="6" w:space="0" w:color="000000"/>
              <w:right w:val="single" w:sz="6" w:space="0" w:color="000000"/>
            </w:tcBorders>
          </w:tcPr>
          <w:p w14:paraId="3E188B85"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Частково враховано.</w:t>
            </w:r>
          </w:p>
          <w:p w14:paraId="4EAD450F"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Ціль 4 доповнено таким пунком:</w:t>
            </w:r>
          </w:p>
          <w:p w14:paraId="683F1ED2"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«Здійснення заходів з підписання угоди з ЄС про взаємне визнання гарантій походження</w:t>
            </w:r>
          </w:p>
          <w:p w14:paraId="588E5E57"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Відповідальні за виконання:</w:t>
            </w:r>
          </w:p>
          <w:p w14:paraId="68C619B4"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Міненерго</w:t>
            </w:r>
          </w:p>
          <w:p w14:paraId="12D4F006"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Держенергоефективності </w:t>
            </w:r>
          </w:p>
          <w:p w14:paraId="0E08E3A9"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МЗС</w:t>
            </w:r>
          </w:p>
          <w:p w14:paraId="061276D5" w14:textId="77777777" w:rsidR="00B43B9E" w:rsidRPr="003864E7" w:rsidRDefault="00AF0BE5">
            <w:pPr>
              <w:spacing w:after="0" w:line="240" w:lineRule="auto"/>
              <w:ind w:left="57" w:right="57"/>
              <w:jc w:val="right"/>
              <w:rPr>
                <w:rFonts w:ascii="Times New Roman" w:eastAsia="Times New Roman" w:hAnsi="Times New Roman" w:cs="Times New Roman"/>
                <w:color w:val="000000"/>
              </w:rPr>
            </w:pPr>
            <w:r w:rsidRPr="003864E7">
              <w:rPr>
                <w:rFonts w:ascii="Times New Roman" w:eastAsia="Times New Roman" w:hAnsi="Times New Roman" w:cs="Times New Roman"/>
              </w:rPr>
              <w:t>НКРЕКП (за згодою)</w:t>
            </w:r>
            <w:r w:rsidRPr="003864E7">
              <w:rPr>
                <w:rFonts w:ascii="Times New Roman" w:eastAsia="Times New Roman" w:hAnsi="Times New Roman" w:cs="Times New Roman"/>
                <w:color w:val="000000"/>
              </w:rPr>
              <w:t xml:space="preserve"> </w:t>
            </w:r>
          </w:p>
          <w:p w14:paraId="0D6571D8" w14:textId="77777777" w:rsidR="00B43B9E" w:rsidRPr="003864E7" w:rsidRDefault="00AF0BE5">
            <w:pPr>
              <w:spacing w:after="0" w:line="240" w:lineRule="auto"/>
              <w:ind w:left="57" w:right="57" w:firstLine="567"/>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ДП «Гарантований покупець» (за згодою)</w:t>
            </w:r>
          </w:p>
          <w:p w14:paraId="07CD223F" w14:textId="77777777" w:rsidR="00B43B9E" w:rsidRPr="003864E7" w:rsidRDefault="00AF0BE5">
            <w:pPr>
              <w:spacing w:after="0" w:line="240" w:lineRule="auto"/>
              <w:ind w:left="57" w:right="57" w:firstLine="567"/>
              <w:jc w:val="right"/>
              <w:rPr>
                <w:rFonts w:ascii="Times New Roman" w:eastAsia="Times New Roman" w:hAnsi="Times New Roman" w:cs="Times New Roman"/>
              </w:rPr>
            </w:pPr>
            <w:r w:rsidRPr="003864E7">
              <w:rPr>
                <w:rFonts w:ascii="Times New Roman" w:eastAsia="Times New Roman" w:hAnsi="Times New Roman" w:cs="Times New Roman"/>
                <w:color w:val="000000"/>
              </w:rPr>
              <w:t>ПрАТ «НЕК «Укренерго» (за згодою)</w:t>
            </w:r>
          </w:p>
          <w:p w14:paraId="63A775E5"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Строк виконання: 2024 рік </w:t>
            </w:r>
          </w:p>
          <w:p w14:paraId="2A62B613"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p>
          <w:p w14:paraId="27EFAF40" w14:textId="77777777" w:rsidR="00B43B9E" w:rsidRPr="003864E7" w:rsidRDefault="00AF0BE5">
            <w:pPr>
              <w:pBdr>
                <w:top w:val="nil"/>
                <w:left w:val="nil"/>
                <w:bottom w:val="nil"/>
                <w:right w:val="nil"/>
                <w:between w:val="nil"/>
              </w:pBd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Включення заходів щодо розроблення та впровадження нових схем підтримки, а також створення освітніх програм та навчального/ігрового/розважального не враховано, оскільки зазначені заходи вже включені в Ціль 4  Плану заходів проекту НПДВЕ 2030.</w:t>
            </w:r>
          </w:p>
        </w:tc>
      </w:tr>
    </w:tbl>
    <w:tbl>
      <w:tblPr>
        <w:tblStyle w:val="affffffd"/>
        <w:tblW w:w="15324" w:type="dxa"/>
        <w:tblInd w:w="-30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43"/>
        <w:gridCol w:w="3969"/>
        <w:gridCol w:w="5812"/>
      </w:tblGrid>
      <w:tr w:rsidR="00B43B9E" w:rsidRPr="003864E7" w14:paraId="2840E9BA" w14:textId="77777777">
        <w:tc>
          <w:tcPr>
            <w:tcW w:w="15324" w:type="dxa"/>
            <w:gridSpan w:val="3"/>
            <w:tcBorders>
              <w:top w:val="single" w:sz="6" w:space="0" w:color="000000"/>
              <w:left w:val="single" w:sz="6" w:space="0" w:color="000000"/>
              <w:bottom w:val="single" w:sz="6" w:space="0" w:color="000000"/>
              <w:right w:val="single" w:sz="6" w:space="0" w:color="000000"/>
            </w:tcBorders>
          </w:tcPr>
          <w:p w14:paraId="6C021DDF" w14:textId="77777777" w:rsidR="00B43B9E" w:rsidRPr="003864E7" w:rsidRDefault="00AF0BE5">
            <w:pPr>
              <w:pBdr>
                <w:top w:val="nil"/>
                <w:left w:val="nil"/>
                <w:bottom w:val="nil"/>
                <w:right w:val="nil"/>
                <w:between w:val="nil"/>
              </w:pBdr>
              <w:spacing w:after="0" w:line="240" w:lineRule="auto"/>
              <w:ind w:left="57" w:right="57"/>
              <w:jc w:val="center"/>
              <w:rPr>
                <w:rFonts w:ascii="Times New Roman" w:eastAsia="Times New Roman" w:hAnsi="Times New Roman" w:cs="Times New Roman"/>
                <w:color w:val="000000"/>
              </w:rPr>
            </w:pPr>
            <w:r w:rsidRPr="003864E7">
              <w:rPr>
                <w:rFonts w:ascii="Times New Roman" w:eastAsia="Times New Roman" w:hAnsi="Times New Roman" w:cs="Times New Roman"/>
                <w:b/>
                <w:color w:val="000000"/>
              </w:rPr>
              <w:t>Німецько-Українська промислово-торговельна палата (АНК Ukraine)</w:t>
            </w:r>
          </w:p>
        </w:tc>
      </w:tr>
      <w:tr w:rsidR="00B43B9E" w:rsidRPr="003864E7" w14:paraId="1553C43F"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5D5345D5"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 xml:space="preserve">Зазначена ціль не є актуально з декількох причин: 1) ціль застаріла та була оновлена положенням Директиви (ЄС) 2018/2001 про сприяння використанню енергії з відновлювальних джерел від 11 грудня 2018 року, якою встановлено ціль не менше 32%. Але ЄК (Європейська Комісія) вже запропонувала підвищення цілі до 40% в рамках перегляду Директиви (ЄС) 2018/2001 (RED II). Варто також зазначити, що згадані цілі – загальноєвропейські, тому не обов'язково передбачають встановлення ідентичних індикаторів на національному рівні в Україні. 2) Україна не </w:t>
            </w:r>
            <w:r w:rsidRPr="003864E7">
              <w:rPr>
                <w:rFonts w:ascii="Times New Roman" w:eastAsia="Times New Roman" w:hAnsi="Times New Roman" w:cs="Times New Roman"/>
              </w:rPr>
              <w:lastRenderedPageBreak/>
              <w:t>зобов'язана впроваджувати положення ані інформаційного повідомлення ЄК, ані ціль для Європейського Союзу, передбачену Директивою (ЄС) 2018/2001. Для України така ціль встановлюватиметься на рівні Енергетичного Співтовариства відповідно до Директиви (ЄС) 2018/2001 адаптованої рішенням Ради Міністрів Енергетичного Співтовариства від 30 листопада 2021 року.</w:t>
            </w:r>
          </w:p>
        </w:tc>
        <w:tc>
          <w:tcPr>
            <w:tcW w:w="3969" w:type="dxa"/>
            <w:tcBorders>
              <w:top w:val="single" w:sz="6" w:space="0" w:color="000000"/>
              <w:left w:val="single" w:sz="6" w:space="0" w:color="000000"/>
              <w:bottom w:val="single" w:sz="6" w:space="0" w:color="000000"/>
              <w:right w:val="single" w:sz="6" w:space="0" w:color="000000"/>
            </w:tcBorders>
          </w:tcPr>
          <w:p w14:paraId="5EAADE3C"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 xml:space="preserve">Перший абзац на ст. 4 Вступу: "В інформаційному повідомленні Європейської Комісії від 22 січня 2014 року під назвою «Рамкова кліматична та енергетична політика на період з 2020 до 2030 року» було встановлено основні положення майбутньої енергетичної та кліматичної політики Союзу та викладено принципи взаєморозуміння щодо розробки таких політик після 2020 року. Комісія </w:t>
            </w:r>
            <w:r w:rsidRPr="003864E7">
              <w:rPr>
                <w:rFonts w:ascii="Times New Roman" w:eastAsia="Times New Roman" w:hAnsi="Times New Roman" w:cs="Times New Roman"/>
                <w:color w:val="000000"/>
              </w:rPr>
              <w:lastRenderedPageBreak/>
              <w:t>запропонувала встановити мету на 2030 рік щодо частки споживання енергії з відновлюваних джерел на рівні не менше 27%. Ця пропозиція була схвалена Європейською радою у її висновках від 23 та 24 жовтня 2014 року".</w:t>
            </w:r>
          </w:p>
        </w:tc>
        <w:tc>
          <w:tcPr>
            <w:tcW w:w="5812" w:type="dxa"/>
            <w:tcBorders>
              <w:top w:val="single" w:sz="6" w:space="0" w:color="000000"/>
              <w:left w:val="single" w:sz="6" w:space="0" w:color="000000"/>
              <w:bottom w:val="single" w:sz="6" w:space="0" w:color="000000"/>
              <w:right w:val="single" w:sz="6" w:space="0" w:color="000000"/>
            </w:tcBorders>
          </w:tcPr>
          <w:p w14:paraId="5C1C862D"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Частково враховано.</w:t>
            </w:r>
          </w:p>
          <w:p w14:paraId="4D54592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Перший абзац на ст. 4 Вступу викладено у такій редакції: </w:t>
            </w:r>
            <w:r w:rsidRPr="003864E7">
              <w:rPr>
                <w:rFonts w:ascii="Times New Roman" w:eastAsia="Times New Roman" w:hAnsi="Times New Roman" w:cs="Times New Roman"/>
              </w:rPr>
              <w:t>«Директивою ЄС від 11.12.2018 2018/2001</w:t>
            </w:r>
            <w:r w:rsidRPr="003864E7">
              <w:rPr>
                <w:rFonts w:ascii="Times New Roman" w:eastAsia="Times New Roman" w:hAnsi="Times New Roman" w:cs="Times New Roman"/>
                <w:color w:val="000000"/>
              </w:rPr>
              <w:t xml:space="preserve">  «Про заохочення використання енергії з відновлюваних джерел» встановлено ціль для Європейського Союзу до 2030 року на рівні 32 % частки енергії з відновлюваних джерел у валовому кінцевому споживанні енергії. Наразі Європейською Комісією зважаючи на наслідки російської агрессії розглядається питання підвищення зазначеної цілі до 45%.»</w:t>
            </w:r>
          </w:p>
          <w:p w14:paraId="37ECB064"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0E37BEE7"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Цілі Проекту НПДВЕ 2030 в розмірі 27% енергії з відновлюваних джерел енергії в кінцевому енергоспоживанні погодженно з Міненерго, а також було узгоджено на засіданнях Робочих груп з розробки НПДВЕ 2030.</w:t>
            </w:r>
          </w:p>
          <w:p w14:paraId="0BA35DD7"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tc>
      </w:tr>
      <w:tr w:rsidR="00B43B9E" w:rsidRPr="003864E7" w14:paraId="4D129B27"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499C4EC5"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lastRenderedPageBreak/>
              <w:t>Регулювання видачі гарантій походження електроенергії зараз обговорюється з метою запуску процесу видачі гарантій походження в Україні. Але враховуючи практику країн ЄС, гарантії походження реалізуються на окремих електронних платформах окремо від ринку електричної енергії та вартість гарантій не входить у фактичну вартість або ціну електричної енергії. Крім того, твердження про вплив гарантій походження на вартість електроенергії з ВДЕ може призвести до хибних висновків про високу вартість електроенергії із ВДЕ, що не відповідає дійсності.</w:t>
            </w:r>
          </w:p>
          <w:p w14:paraId="0C86CA04"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Гарантії походження корисні для розвитку нової генерації без системи підтримки та для споживачів, які зацікавленні в отриманні інформації щодо походження електричної енергії. У той же час варто врахувати в системі гарантій походження особливості використання гарантій для виробників за «зеленим» тарифом та гарантій походження для проектів ВДЕ без «зелених» тарифів та аукціонів. Зокрема, гарантії погодження за електричну енергію по «зеленому» тарифу повинні надаватись споживачам за окремою процедурою, щоб не призводити до зниження вартості гарантій походження для виробників ВДЕ без «зеленого» тарифу.</w:t>
            </w:r>
          </w:p>
        </w:tc>
        <w:tc>
          <w:tcPr>
            <w:tcW w:w="3969" w:type="dxa"/>
            <w:tcBorders>
              <w:top w:val="single" w:sz="6" w:space="0" w:color="000000"/>
              <w:left w:val="single" w:sz="6" w:space="0" w:color="000000"/>
              <w:bottom w:val="single" w:sz="6" w:space="0" w:color="000000"/>
              <w:right w:val="single" w:sz="6" w:space="0" w:color="000000"/>
            </w:tcBorders>
          </w:tcPr>
          <w:p w14:paraId="2A00A4E4"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Четвертий абзац на ст. 9 розділу «Використання відновлювальних джерел енергії в електроенергетичному комплексі»: «Крім того, запровадження системи видачі гарантій походження дозволить збільшити вартість електроенергії з альтернативних джерел енергії та відповідно зменшити обсяг витрат гарантованого покупця, необхідних для сплати надбавки виробникам з альтернативних джерел (різниці між «зеленим» тарифом або аукціонною та ринковою ціною). Відповідно це вплине на розміри тарифу на послуги з передачі електроенергії у бік зменшення та позитивно відобразиться на вартості електричної енергії для усіх споживачів».</w:t>
            </w:r>
          </w:p>
        </w:tc>
        <w:tc>
          <w:tcPr>
            <w:tcW w:w="5812" w:type="dxa"/>
            <w:tcBorders>
              <w:top w:val="single" w:sz="6" w:space="0" w:color="000000"/>
              <w:left w:val="single" w:sz="6" w:space="0" w:color="000000"/>
              <w:bottom w:val="single" w:sz="6" w:space="0" w:color="000000"/>
              <w:right w:val="single" w:sz="6" w:space="0" w:color="000000"/>
            </w:tcBorders>
          </w:tcPr>
          <w:p w14:paraId="75C28376"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423A2E64" w14:textId="54C8F824" w:rsidR="00B43B9E" w:rsidRPr="003864E7" w:rsidRDefault="00AF0BE5">
            <w:pPr>
              <w:pBdr>
                <w:top w:val="nil"/>
                <w:left w:val="nil"/>
                <w:bottom w:val="nil"/>
                <w:right w:val="nil"/>
                <w:between w:val="nil"/>
              </w:pBdr>
              <w:spacing w:after="0" w:line="240" w:lineRule="auto"/>
              <w:ind w:right="57" w:firstLine="722"/>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Абзац 4 на ст. 9 розділу «Використання відновлювальних джерел енергії в електроенергетичному комплексі» викладено у  такій редакції: «Крім того, запровадження гарантій походження дозволить збільшити попит на електроенергію з альтернативних джерел енерг</w:t>
            </w:r>
            <w:r w:rsidRPr="003864E7">
              <w:rPr>
                <w:rFonts w:ascii="Times New Roman" w:eastAsia="Times New Roman" w:hAnsi="Times New Roman" w:cs="Times New Roman"/>
              </w:rPr>
              <w:t>ії, дохід виробників енергії з  відновлюваних джерел енергії, які продають електроенергію на ринку, за рахунок реалізації гарантій походження  т</w:t>
            </w:r>
            <w:r w:rsidRPr="003864E7">
              <w:rPr>
                <w:rFonts w:ascii="Times New Roman" w:eastAsia="Times New Roman" w:hAnsi="Times New Roman" w:cs="Times New Roman"/>
                <w:color w:val="000000"/>
              </w:rPr>
              <w:t>а зменшити обсяг витрат гарантованого покупця, необхідних для сплати надбавки виробникам з альтернативних джерел (за рахунок отримання коштів за реалізацію гарантій походження на обсяг електроенергії, яка реалізується за «зеленим» тарифом або аукціонною ціною).»</w:t>
            </w:r>
          </w:p>
        </w:tc>
      </w:tr>
      <w:tr w:rsidR="00B43B9E" w:rsidRPr="003864E7" w14:paraId="76CCBDC6"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5DD7056D"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Пропонуємо деталізувати опис застосування механізму Corporate PPA.</w:t>
            </w:r>
          </w:p>
          <w:p w14:paraId="1CF813C5"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 xml:space="preserve">Зокрема, Corporate PPA в інших країнах поділяються на: - фізичні РРА, як прямий договір між виробником та споживачем та укладаються за умови, </w:t>
            </w:r>
            <w:r w:rsidRPr="003864E7">
              <w:rPr>
                <w:rFonts w:ascii="Times New Roman" w:eastAsia="Times New Roman" w:hAnsi="Times New Roman" w:cs="Times New Roman"/>
              </w:rPr>
              <w:lastRenderedPageBreak/>
              <w:t>що споживач стає учасником ринку електричної енергії, та - віртуальні або фінансові, коли споживач не стає учасником ринку та лише оплачує різницю в ціні та отримує гарантії походження.</w:t>
            </w:r>
          </w:p>
          <w:p w14:paraId="741B38FE"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Тому важливо більш детально визначити різні види таких договорів та подальші можливості щодо їх регулювання в українському законодавство</w:t>
            </w:r>
          </w:p>
        </w:tc>
        <w:tc>
          <w:tcPr>
            <w:tcW w:w="3969" w:type="dxa"/>
            <w:tcBorders>
              <w:top w:val="single" w:sz="6" w:space="0" w:color="000000"/>
              <w:left w:val="single" w:sz="6" w:space="0" w:color="000000"/>
              <w:bottom w:val="single" w:sz="6" w:space="0" w:color="000000"/>
              <w:right w:val="single" w:sz="6" w:space="0" w:color="000000"/>
            </w:tcBorders>
          </w:tcPr>
          <w:p w14:paraId="53664C9A"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 xml:space="preserve">Абзаци на ст. 9-10 розділу «Використання відновлювальних джерел енергії в електроенергетичному комплексі»: «Високий попит на «зелену» </w:t>
            </w:r>
            <w:r w:rsidRPr="003864E7">
              <w:rPr>
                <w:rFonts w:ascii="Times New Roman" w:eastAsia="Times New Roman" w:hAnsi="Times New Roman" w:cs="Times New Roman"/>
                <w:color w:val="000000"/>
              </w:rPr>
              <w:lastRenderedPageBreak/>
              <w:t>електроенергію створює умови для розвитку сегменту прямих договорів (Corporate PPA’s) – договорів купівлі-продажу електричної енергії, відповідно до яких покупцем електричної є приватний споживач, а не держава в особі гарантованого покупця. Світовий ринок Corporate PPA’s за останні декілька років суттєво зріс, лише за 2019 рік було підписано Corporate PPA’s на загальну потужність 19,5 ГВт.</w:t>
            </w:r>
          </w:p>
          <w:p w14:paraId="1695922E"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Застосування Corporate PPA’s дозволить збільшити частку відновлюваних джерел енергії в енергобалансі без додаткового фінансового навантаження на державу та споживачів».</w:t>
            </w:r>
          </w:p>
        </w:tc>
        <w:tc>
          <w:tcPr>
            <w:tcW w:w="5812" w:type="dxa"/>
            <w:tcBorders>
              <w:top w:val="single" w:sz="6" w:space="0" w:color="000000"/>
              <w:left w:val="single" w:sz="6" w:space="0" w:color="000000"/>
              <w:bottom w:val="single" w:sz="6" w:space="0" w:color="000000"/>
              <w:right w:val="single" w:sz="6" w:space="0" w:color="000000"/>
            </w:tcBorders>
          </w:tcPr>
          <w:p w14:paraId="0315A736"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w:t>
            </w:r>
          </w:p>
          <w:p w14:paraId="70BC7471"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Абзаци на ст. 9-10 розділу «Використання відновлювальних джерел енергії в електроенергетичному комплексі» викладено у такій редакції та доповнено новим абзацом: «Високий попит на «зелену» електроенергію </w:t>
            </w:r>
            <w:r w:rsidRPr="003864E7">
              <w:rPr>
                <w:rFonts w:ascii="Times New Roman" w:eastAsia="Times New Roman" w:hAnsi="Times New Roman" w:cs="Times New Roman"/>
                <w:color w:val="000000"/>
              </w:rPr>
              <w:lastRenderedPageBreak/>
              <w:t>створює умови для розвитку сегменту прямих договорів (Corporate PPA’s) різних типів, у тому числі фізичних (physical corporate PPA), «з рукавом» (“sleeved” PPA) та віртуальних (virtual/synthetic PPA).   Покупцем електроенергії відповідно до такіх договорів є приватний споживач, а не держава в особі гарантованого покупця. Світовий ринок Corporate PPA’s за останні декілька років суттєво зріс, лише за 2019 рік було підписано Corporate PPA’s на загальну потужність 19,5 ГВт.</w:t>
            </w:r>
          </w:p>
          <w:p w14:paraId="08CC0B3E" w14:textId="77777777" w:rsidR="00B43B9E" w:rsidRPr="003864E7" w:rsidRDefault="00AF0BE5">
            <w:pP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Українські виробники альтернативної енергії можуть бути зацікавленими у переході від продажу електроенергії за «зеленим» тарифом на її експорт за прямими договорами та з гарантією походження. Тому вимоги щодо регулювання сРРА повинні бути гармонізовані з вимогами щодо сРРА в ЄС та вимогами щодо їх </w:t>
            </w:r>
            <w:r w:rsidRPr="003864E7">
              <w:rPr>
                <w:rFonts w:ascii="Times New Roman" w:eastAsia="Times New Roman" w:hAnsi="Times New Roman" w:cs="Times New Roman"/>
              </w:rPr>
              <w:t>фінансової</w:t>
            </w:r>
            <w:r w:rsidRPr="003864E7">
              <w:rPr>
                <w:rFonts w:ascii="Times New Roman" w:eastAsia="Times New Roman" w:hAnsi="Times New Roman" w:cs="Times New Roman"/>
                <w:color w:val="000000"/>
              </w:rPr>
              <w:t xml:space="preserve"> та банківської привабливості (bankability).</w:t>
            </w:r>
          </w:p>
          <w:p w14:paraId="16D7FB34"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Застосування Corporate PPA’s дозволить збільшити частку відновлюваних джерел енергії в енергобалансі без додаткового фінансового навантаження на державу».</w:t>
            </w:r>
          </w:p>
        </w:tc>
      </w:tr>
      <w:tr w:rsidR="00B43B9E" w:rsidRPr="003864E7" w14:paraId="16A064B1"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27994480"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Використання поняття «зелений» водень не відповідає європейським практикам. В документах стратегічного планування ЄС, зокрема у Водневій стратегії ЄС, застосовується поняття відновлювального водню ('renewable hydrogen'). За Угодою про асоціацію, Україна взяла на себе зобов’язання імплементувати Директиву Європейського Парламенту і Ради 2009/73/ЄС від 13 липня 2009 року щодо спільних правил для внутрішнього ринку природного газу та про скасування Директиви 2003/55/ЄС. Однак на при кінці 2021 року були опубліковані пропозиції Європейської Комісії для перегляду Директиви 2009/73/EC та Регламенту №715/2009 з метою переходу від природного газу до відновлюваних та низьковуглецевих газів, зокрема біометану та водню. В пропозиціях Європейської Комісії для перегляду Директиви 2009/73/EC використовується термін «відновлюваний водень» замість «зеленого» водню. В цілях приведення термінів у Національному плані у </w:t>
            </w:r>
            <w:r w:rsidRPr="003864E7">
              <w:rPr>
                <w:rFonts w:ascii="Times New Roman" w:eastAsia="Times New Roman" w:hAnsi="Times New Roman" w:cs="Times New Roman"/>
              </w:rPr>
              <w:lastRenderedPageBreak/>
              <w:t>відповідність до Директив ЄС пропонується використання терміну «відновлюваний водень».</w:t>
            </w:r>
          </w:p>
        </w:tc>
        <w:tc>
          <w:tcPr>
            <w:tcW w:w="3969" w:type="dxa"/>
            <w:tcBorders>
              <w:top w:val="single" w:sz="6" w:space="0" w:color="000000"/>
              <w:left w:val="single" w:sz="6" w:space="0" w:color="000000"/>
              <w:bottom w:val="single" w:sz="6" w:space="0" w:color="000000"/>
              <w:right w:val="single" w:sz="6" w:space="0" w:color="000000"/>
            </w:tcBorders>
          </w:tcPr>
          <w:p w14:paraId="3DE5A7CF" w14:textId="77777777" w:rsidR="00B43B9E" w:rsidRPr="003864E7" w:rsidRDefault="00AF0BE5">
            <w:pPr>
              <w:spacing w:after="0" w:line="240" w:lineRule="auto"/>
              <w:ind w:left="57" w:right="57" w:firstLine="708"/>
              <w:jc w:val="center"/>
              <w:rPr>
                <w:rFonts w:ascii="Times New Roman" w:eastAsia="Times New Roman" w:hAnsi="Times New Roman" w:cs="Times New Roman"/>
              </w:rPr>
            </w:pPr>
            <w:r w:rsidRPr="003864E7">
              <w:rPr>
                <w:rFonts w:ascii="Times New Roman" w:eastAsia="Times New Roman" w:hAnsi="Times New Roman" w:cs="Times New Roman"/>
              </w:rPr>
              <w:lastRenderedPageBreak/>
              <w:t>підрозділ «Зелений» водень» (ст. 22)</w:t>
            </w:r>
          </w:p>
          <w:p w14:paraId="2E638AB7"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tc>
        <w:tc>
          <w:tcPr>
            <w:tcW w:w="5812" w:type="dxa"/>
            <w:tcBorders>
              <w:top w:val="single" w:sz="6" w:space="0" w:color="000000"/>
              <w:left w:val="single" w:sz="6" w:space="0" w:color="000000"/>
              <w:bottom w:val="single" w:sz="6" w:space="0" w:color="000000"/>
              <w:right w:val="single" w:sz="6" w:space="0" w:color="000000"/>
            </w:tcBorders>
          </w:tcPr>
          <w:p w14:paraId="3BCD5224"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Враховано </w:t>
            </w:r>
          </w:p>
          <w:p w14:paraId="4ED509BE"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Назву підрозділу «Зелений» водень» (ст. 22) викладено у такій редакції «Відновлюваний водень».</w:t>
            </w:r>
          </w:p>
          <w:p w14:paraId="5DE38F9E"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Слова в тексті проекту НПДВЕ 2030 ««зелений» водень» замінено словами  «відновлюваний водень» у відповідних відмінках.</w:t>
            </w:r>
          </w:p>
          <w:p w14:paraId="7E09992E" w14:textId="77777777" w:rsidR="00B43B9E" w:rsidRPr="003864E7" w:rsidRDefault="00B43B9E">
            <w:pPr>
              <w:spacing w:after="0" w:line="240" w:lineRule="auto"/>
              <w:ind w:left="57" w:right="57" w:firstLine="708"/>
              <w:jc w:val="both"/>
              <w:rPr>
                <w:rFonts w:ascii="Times New Roman" w:eastAsia="Times New Roman" w:hAnsi="Times New Roman" w:cs="Times New Roman"/>
              </w:rPr>
            </w:pPr>
          </w:p>
          <w:p w14:paraId="5146726B"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p>
        </w:tc>
      </w:tr>
      <w:tr w:rsidR="00B43B9E" w:rsidRPr="003864E7" w14:paraId="5C4C9772"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22438A68"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Необхідно конкретизувати, що мається під «поточним» зеленим тарифом, а саме навести конкретні тарифи.</w:t>
            </w:r>
          </w:p>
          <w:p w14:paraId="142182CA"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Також, таке формулювання дає розуміння, що потенційно вже встановлений зелений тариф може бути знову змінений і тому негативно впливає на інвестиційний клімат.</w:t>
            </w:r>
          </w:p>
        </w:tc>
        <w:tc>
          <w:tcPr>
            <w:tcW w:w="3969" w:type="dxa"/>
            <w:tcBorders>
              <w:top w:val="single" w:sz="6" w:space="0" w:color="000000"/>
              <w:left w:val="single" w:sz="6" w:space="0" w:color="000000"/>
              <w:bottom w:val="single" w:sz="6" w:space="0" w:color="000000"/>
              <w:right w:val="single" w:sz="6" w:space="0" w:color="000000"/>
            </w:tcBorders>
          </w:tcPr>
          <w:p w14:paraId="64A32C0A" w14:textId="77777777" w:rsidR="00B43B9E" w:rsidRPr="003864E7" w:rsidRDefault="00AF0BE5">
            <w:pPr>
              <w:shd w:val="clear" w:color="auto" w:fill="FFFFFF"/>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Четвертий абзац підрозділу «Виробництво електричної енергії з відновлюваних джерел енергії споживачами (проз’юмерами)» (ст. 15): «Подальше стале збільшення кількості сонячних електростанцій приватних домогосподарств за поточної моделі «зеленого» тарифу вбачається складно реалізувати через обмежені ресурси тарифу на послуги з передачі електричної енергії. Крім того, існуюча модель «зеленого» тарифу не дозволяє досягти ключової цілі стимулювання розвитку відновлюваної  генерації споживачам.»</w:t>
            </w:r>
          </w:p>
        </w:tc>
        <w:tc>
          <w:tcPr>
            <w:tcW w:w="5812" w:type="dxa"/>
            <w:tcBorders>
              <w:top w:val="single" w:sz="6" w:space="0" w:color="000000"/>
              <w:left w:val="single" w:sz="6" w:space="0" w:color="000000"/>
              <w:bottom w:val="single" w:sz="6" w:space="0" w:color="000000"/>
              <w:right w:val="single" w:sz="6" w:space="0" w:color="000000"/>
            </w:tcBorders>
          </w:tcPr>
          <w:p w14:paraId="62DD5F5C"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61A0438E"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b/>
                <w:color w:val="000000"/>
              </w:rPr>
            </w:pPr>
            <w:r w:rsidRPr="003864E7">
              <w:rPr>
                <w:rFonts w:ascii="Times New Roman" w:eastAsia="Times New Roman" w:hAnsi="Times New Roman" w:cs="Times New Roman"/>
                <w:color w:val="000000"/>
              </w:rPr>
              <w:t>Четвертий абзац підрозділу «Виробництво електричної енергії з відновлюваних джерел енергії споживачами (проз’юмерами)» (ст. 15) викладено у такій редакції: «Подальше стале збільшення кількості сонячних електростанцій приватних домогосподарств за моделі «зеленого» тарифу</w:t>
            </w:r>
            <w:r w:rsidRPr="003864E7">
              <w:rPr>
                <w:rFonts w:ascii="Times New Roman" w:eastAsia="Times New Roman" w:hAnsi="Times New Roman" w:cs="Times New Roman"/>
              </w:rPr>
              <w:t>, в</w:t>
            </w:r>
            <w:r w:rsidRPr="003864E7">
              <w:rPr>
                <w:rFonts w:ascii="Times New Roman" w:eastAsia="Times New Roman" w:hAnsi="Times New Roman" w:cs="Times New Roman"/>
                <w:color w:val="000000"/>
              </w:rPr>
              <w:t xml:space="preserve">изначеного </w:t>
            </w:r>
            <w:r w:rsidRPr="003864E7">
              <w:rPr>
                <w:rFonts w:ascii="Times New Roman" w:eastAsia="Times New Roman" w:hAnsi="Times New Roman" w:cs="Times New Roman"/>
              </w:rPr>
              <w:t>Законом України “Про альтернативні джерел енергії”,</w:t>
            </w:r>
            <w:r w:rsidRPr="003864E7">
              <w:rPr>
                <w:rFonts w:ascii="Times New Roman" w:eastAsia="Times New Roman" w:hAnsi="Times New Roman" w:cs="Times New Roman"/>
                <w:color w:val="000000"/>
              </w:rPr>
              <w:t xml:space="preserve"> вбачається складно реалізувати через обмежені ресурси тарифу на послуги з передачі електричної енергії. Крім того, існуюча модель «зеленого» тарифу не дозволяє досягти ключової цілі стимулювання розвитку відновлюваної  генерації споживачам.»</w:t>
            </w:r>
          </w:p>
        </w:tc>
      </w:tr>
      <w:tr w:rsidR="00B43B9E" w:rsidRPr="003864E7" w14:paraId="688B9916"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015AC9BC"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Пропонуємо деталізувати поняття «віртуальні агрегатори».</w:t>
            </w:r>
          </w:p>
        </w:tc>
        <w:tc>
          <w:tcPr>
            <w:tcW w:w="3969" w:type="dxa"/>
            <w:tcBorders>
              <w:top w:val="single" w:sz="6" w:space="0" w:color="000000"/>
              <w:left w:val="single" w:sz="6" w:space="0" w:color="000000"/>
              <w:bottom w:val="single" w:sz="6" w:space="0" w:color="000000"/>
              <w:right w:val="single" w:sz="6" w:space="0" w:color="000000"/>
            </w:tcBorders>
          </w:tcPr>
          <w:p w14:paraId="12F9D232" w14:textId="77777777" w:rsidR="00B43B9E" w:rsidRPr="003864E7" w:rsidRDefault="00AF0BE5">
            <w:pPr>
              <w:shd w:val="clear" w:color="auto" w:fill="FFFFFF"/>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Сьомий абзац підрозділу «Виробництво електричної енергії з відновлюваних джерел енергії споживачами (проз’юмерами) (ст. 15): «Ще одним важливим учасником ринку мають стати віртуальні агрегатори, які є посередниками між малими гравцями та ринком та дозволяють споживачам, які не мають ресурсів, кваліфікації, технічної та адміністративної компетенції  для участі у електроенергетичних ринках продавати свої керовані навантаження та електроенергію, яку вони генерують та/або накопичують у засобах накопичення.»</w:t>
            </w:r>
          </w:p>
        </w:tc>
        <w:tc>
          <w:tcPr>
            <w:tcW w:w="5812" w:type="dxa"/>
            <w:tcBorders>
              <w:top w:val="single" w:sz="6" w:space="0" w:color="000000"/>
              <w:left w:val="single" w:sz="6" w:space="0" w:color="000000"/>
              <w:bottom w:val="single" w:sz="6" w:space="0" w:color="000000"/>
              <w:right w:val="single" w:sz="6" w:space="0" w:color="000000"/>
            </w:tcBorders>
          </w:tcPr>
          <w:p w14:paraId="150171AE"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7372D0F3"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Абзац сьомий підрозділу «Виробництво електричної енергії з відновлюваних джерел енергії споживачами (проз’юмерами) на ст. 15  викладено у новій редакції та доповнено новим абзацом: «Важливим учасником ринку мають стати енергетичні кооперативи, які є об’єднаннями громадян, підприємств та організацій для реалізація різноманітних локальних проектів у сфері відновлювальної енергетики, та інші агрегатори, які  спрямовують свої зусилля на децентралізоване, екологічне і незалежне від компаній та концернів, виробництво енергії. </w:t>
            </w:r>
          </w:p>
          <w:p w14:paraId="16C6ED5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Ще одним важливим учасником ринку мають стати віртуальні агрегатори, які на договірній основі обєднуватимуть малих виробників відновлюваної енергії в великі вертуальні об’єкти відновлюваної енергетики без їх фізичного об’єднання та стануть   посередниками між малими гравцями та ринком, що дозволить споживачам, які не мають ресурсів, кваліфікації, технічної та адміністративної компетенції  для участі у </w:t>
            </w:r>
            <w:r w:rsidRPr="003864E7">
              <w:rPr>
                <w:rFonts w:ascii="Times New Roman" w:eastAsia="Times New Roman" w:hAnsi="Times New Roman" w:cs="Times New Roman"/>
                <w:color w:val="000000"/>
              </w:rPr>
              <w:lastRenderedPageBreak/>
              <w:t>електроенергетичних ринках продавати свої керовані навантаження та електроенергію, яку вони генерують та/або накопичують у засобах накопичення.»</w:t>
            </w:r>
          </w:p>
        </w:tc>
      </w:tr>
      <w:tr w:rsidR="00B43B9E" w:rsidRPr="003864E7" w14:paraId="1A8B93D7"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4E7CDE92"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lastRenderedPageBreak/>
              <w:t>Пропонується уточнити, що відновлювана енергетика має негативний імідж саме в інвестиційному полі.</w:t>
            </w:r>
          </w:p>
          <w:p w14:paraId="2773715D"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Не зрозуміло, що саме пов’язано зі структурою власності, вважаємо потрібним деталізувати.</w:t>
            </w:r>
          </w:p>
          <w:p w14:paraId="12D0CCF6"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Також, пропонується додати, що навпаки в Україні в громадському середовищі досить високий рівень еко-свідомості, тому за умови ефективної інвестиційної політики, відновлювана енергетика має передумови для швидкого зростання.</w:t>
            </w:r>
          </w:p>
        </w:tc>
        <w:tc>
          <w:tcPr>
            <w:tcW w:w="3969" w:type="dxa"/>
            <w:tcBorders>
              <w:top w:val="single" w:sz="6" w:space="0" w:color="000000"/>
              <w:left w:val="single" w:sz="6" w:space="0" w:color="000000"/>
              <w:bottom w:val="single" w:sz="6" w:space="0" w:color="000000"/>
              <w:right w:val="single" w:sz="6" w:space="0" w:color="000000"/>
            </w:tcBorders>
          </w:tcPr>
          <w:p w14:paraId="6F53BA7A" w14:textId="77777777" w:rsidR="00B43B9E" w:rsidRPr="003864E7" w:rsidRDefault="00AF0BE5">
            <w:pPr>
              <w:shd w:val="clear" w:color="auto" w:fill="FFFFFF"/>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Перший абзац підрозділу «Популяризація переваг використання відновлюваних джерел енергії»:</w:t>
            </w:r>
          </w:p>
          <w:p w14:paraId="7A25D49A" w14:textId="77777777" w:rsidR="00B43B9E" w:rsidRPr="003864E7" w:rsidRDefault="00AF0BE5">
            <w:pPr>
              <w:shd w:val="clear" w:color="auto" w:fill="FFFFFF"/>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«На сьогодні відновлювана енергетика в Україні має негативний імідж, пов’язаний з її вартістю, структурою власності тощо»</w:t>
            </w:r>
          </w:p>
        </w:tc>
        <w:tc>
          <w:tcPr>
            <w:tcW w:w="5812" w:type="dxa"/>
            <w:tcBorders>
              <w:top w:val="single" w:sz="6" w:space="0" w:color="000000"/>
              <w:left w:val="single" w:sz="6" w:space="0" w:color="000000"/>
              <w:bottom w:val="single" w:sz="6" w:space="0" w:color="000000"/>
              <w:right w:val="single" w:sz="6" w:space="0" w:color="000000"/>
            </w:tcBorders>
          </w:tcPr>
          <w:p w14:paraId="185A0292"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502160CC" w14:textId="77777777" w:rsidR="00B43B9E" w:rsidRPr="003864E7" w:rsidRDefault="00AF0BE5">
            <w:pPr>
              <w:shd w:val="clear" w:color="auto" w:fill="FFFFFF"/>
              <w:spacing w:after="0" w:line="240" w:lineRule="auto"/>
              <w:ind w:left="57" w:right="57" w:firstLine="523"/>
              <w:jc w:val="both"/>
              <w:rPr>
                <w:rFonts w:ascii="Times New Roman" w:eastAsia="Times New Roman" w:hAnsi="Times New Roman" w:cs="Times New Roman"/>
              </w:rPr>
            </w:pPr>
            <w:r w:rsidRPr="003864E7">
              <w:rPr>
                <w:rFonts w:ascii="Times New Roman" w:eastAsia="Times New Roman" w:hAnsi="Times New Roman" w:cs="Times New Roman"/>
              </w:rPr>
              <w:t>Перший абзац підрозділу «Популяризація переваг використання відновлюваних джерел енергії» викладено у такій:</w:t>
            </w:r>
          </w:p>
          <w:p w14:paraId="2B8B5012"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«На сьогодні відновлювана енергетика в Україні має негативний імідж в інвестиційному колі, пов’язаний з її вартістю, структурою власності тощо».</w:t>
            </w:r>
          </w:p>
        </w:tc>
      </w:tr>
      <w:tr w:rsidR="00B43B9E" w:rsidRPr="003864E7" w14:paraId="131D955D"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77B355A6"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Пропонується привести дані встановленої потужності до актуальних, згідно даних НЕК «Укренерго» https://ua.energy/vstanovlena-potuzhnist- energosystemy-ukrayiny</w:t>
            </w:r>
          </w:p>
        </w:tc>
        <w:tc>
          <w:tcPr>
            <w:tcW w:w="3969" w:type="dxa"/>
            <w:tcBorders>
              <w:top w:val="single" w:sz="6" w:space="0" w:color="000000"/>
              <w:left w:val="single" w:sz="6" w:space="0" w:color="000000"/>
              <w:bottom w:val="single" w:sz="6" w:space="0" w:color="000000"/>
              <w:right w:val="single" w:sz="6" w:space="0" w:color="000000"/>
            </w:tcBorders>
          </w:tcPr>
          <w:p w14:paraId="35E9CA80" w14:textId="77777777" w:rsidR="00B43B9E" w:rsidRPr="003864E7" w:rsidRDefault="00AF0BE5">
            <w:pPr>
              <w:shd w:val="clear" w:color="auto" w:fill="FFFFFF"/>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rPr>
              <w:t>Показники встановленої потужності станом на 2021 рік додатку № 5 проекту НПДВЕ 2030.</w:t>
            </w:r>
          </w:p>
        </w:tc>
        <w:tc>
          <w:tcPr>
            <w:tcW w:w="5812" w:type="dxa"/>
            <w:tcBorders>
              <w:top w:val="single" w:sz="6" w:space="0" w:color="000000"/>
              <w:left w:val="single" w:sz="6" w:space="0" w:color="000000"/>
              <w:bottom w:val="single" w:sz="6" w:space="0" w:color="000000"/>
              <w:right w:val="single" w:sz="6" w:space="0" w:color="000000"/>
            </w:tcBorders>
          </w:tcPr>
          <w:p w14:paraId="650A5A74"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593CF8B1"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Показники додатку 5 проекту НПДВЕ 2030 оновлено відповідно до офіційних даних НКРЕКП щодо потужностей об’єктів відновлюваної енергетики, які працюють за «зеленим» тарифом, а також інформації операторів системи розподілу щодо роботи сонячних електростанцій приватних домогосподарств.</w:t>
            </w:r>
          </w:p>
        </w:tc>
      </w:tr>
      <w:tr w:rsidR="00B43B9E" w:rsidRPr="003864E7" w14:paraId="13F67796" w14:textId="77777777" w:rsidTr="00943A0E">
        <w:trPr>
          <w:trHeight w:val="3557"/>
        </w:trPr>
        <w:tc>
          <w:tcPr>
            <w:tcW w:w="5543" w:type="dxa"/>
            <w:tcBorders>
              <w:top w:val="single" w:sz="6" w:space="0" w:color="000000"/>
              <w:left w:val="single" w:sz="6" w:space="0" w:color="000000"/>
              <w:bottom w:val="single" w:sz="4" w:space="0" w:color="000000"/>
              <w:right w:val="single" w:sz="6" w:space="0" w:color="000000"/>
            </w:tcBorders>
          </w:tcPr>
          <w:p w14:paraId="70F7DC4F"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Переглянути таблицю «Ціль 4. Нормативно-правове та організаційне забезпечення розвитку відновлюваної енергетики», а саме: </w:t>
            </w:r>
          </w:p>
          <w:p w14:paraId="6FCBC67F"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1) привести запропоновані у таблиці заходи у відповідність до вимог законодавства, або виключити (наприклад, таблиця містить захід «1. Подання Кабінетові Міністрів України проекту розпорядження Кабінету Міністрів 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 Однак він не в повні мірі відповідає ч. 5 ст. 93 Закону України «Про альтернативні джерела енергії», згідно з якою Кабінет Міністрів України за поданням центрального органу виконавчої влади, що забезпечує формування та реалізує державну політику в електроенергетичному комплексі, щороку, не пізніше </w:t>
            </w:r>
            <w:r w:rsidRPr="003864E7">
              <w:rPr>
                <w:rFonts w:ascii="Times New Roman" w:eastAsia="Times New Roman" w:hAnsi="Times New Roman" w:cs="Times New Roman"/>
              </w:rPr>
              <w:lastRenderedPageBreak/>
              <w:t>1 грудня, встановлює річну квоту підтримки та графік проведення аукціонів на наступний рік, а також індикативні прогнозні показники річних квот підтримки на чотири роки, що йдуть за роком, на який встановлюється річна квота підтримки. Пропозиції щодо розміру річних квот підтримки готуються центральним органом виконавчої влади, що реалізує державну політику у сфері ефективного використання паливно-енергетичних ресурсів, енергозбереження, відновлюваних джерел енергії та альтернативних видів палива, та оператором системи передачі з урахуванням міжнародних зобов’язань України щодо розвитку відновлюваної енергетики, Енергетичної стратегії України, звіту з оцінки відповідності (достатності) генеруючих потужностей та плану розвитку системи передачі, стану реалізації проектів будівництва об’єктів відновлюваної енергетики.);</w:t>
            </w:r>
          </w:p>
          <w:p w14:paraId="778AE374"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 2) доповнити заходи що стосуються розробки нормативно-правових актів основними положеннями, що мають містити такі акти. </w:t>
            </w:r>
          </w:p>
          <w:p w14:paraId="2644D9F2"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3) переглянути передбачені в таблиці заходи на предмет їх чіткості та ефективності для розвитку відновлюваної енергетики. </w:t>
            </w:r>
          </w:p>
          <w:p w14:paraId="3A69D5AE"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4) зафіксувати чіткі завдання за відповідальними органами. </w:t>
            </w:r>
          </w:p>
          <w:p w14:paraId="093759F8" w14:textId="77777777" w:rsidR="00B43B9E" w:rsidRPr="003864E7" w:rsidRDefault="00B43B9E">
            <w:pPr>
              <w:spacing w:after="0" w:line="240" w:lineRule="auto"/>
              <w:ind w:right="57"/>
              <w:jc w:val="both"/>
              <w:rPr>
                <w:rFonts w:ascii="Times New Roman" w:eastAsia="Times New Roman" w:hAnsi="Times New Roman" w:cs="Times New Roman"/>
              </w:rPr>
            </w:pPr>
          </w:p>
        </w:tc>
        <w:tc>
          <w:tcPr>
            <w:tcW w:w="3969" w:type="dxa"/>
            <w:tcBorders>
              <w:top w:val="single" w:sz="6" w:space="0" w:color="000000"/>
              <w:left w:val="single" w:sz="6" w:space="0" w:color="000000"/>
              <w:bottom w:val="single" w:sz="4" w:space="0" w:color="000000"/>
              <w:right w:val="single" w:sz="6" w:space="0" w:color="000000"/>
            </w:tcBorders>
          </w:tcPr>
          <w:p w14:paraId="2B8325D5"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Пункт 1. Плану заходів Цілі 4 Нормативно-правове та організаційне забезпечення розвитку відновлюваної енергетики</w:t>
            </w:r>
          </w:p>
          <w:p w14:paraId="614F32B2"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 «Подання Кабінетові Міністрів України проекту розпорядження Кабінету Міністрів 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w:t>
            </w:r>
          </w:p>
          <w:p w14:paraId="3658BA18"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04E805FC"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Відповідальні за виконання</w:t>
            </w:r>
            <w:r w:rsidRPr="003864E7">
              <w:rPr>
                <w:rFonts w:ascii="Times New Roman" w:eastAsia="Times New Roman" w:hAnsi="Times New Roman" w:cs="Times New Roman"/>
                <w:color w:val="000000"/>
              </w:rPr>
              <w:tab/>
            </w:r>
          </w:p>
          <w:p w14:paraId="543A512A"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Міненерго</w:t>
            </w:r>
          </w:p>
          <w:p w14:paraId="5C489013"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Держенергоефективності</w:t>
            </w:r>
          </w:p>
          <w:p w14:paraId="66CBFE3E"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ПрАТ «НЕК» Укренерго» (за згодою)</w:t>
            </w:r>
            <w:r w:rsidRPr="003864E7">
              <w:rPr>
                <w:rFonts w:ascii="Times New Roman" w:eastAsia="Times New Roman" w:hAnsi="Times New Roman" w:cs="Times New Roman"/>
                <w:color w:val="000000"/>
              </w:rPr>
              <w:tab/>
              <w:t>Строк виконання:</w:t>
            </w:r>
          </w:p>
          <w:p w14:paraId="3AE58C75"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 щороку до 1 листопада»</w:t>
            </w:r>
          </w:p>
          <w:p w14:paraId="134A289E"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1F04ED26"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p>
          <w:p w14:paraId="1B0A83AE"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7D6A5883"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73D2A388"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72D881AD"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76F3D1FD"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02CBD8C4"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6147826F"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0F63D51D"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03F37C86"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2EFCE2FE"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369CFA99"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3F468EA2"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10DAA888"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2F802E6B"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63817D82"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79B8DEBB"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72E28546"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771FD41A"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1B18DC2A"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23C2EE55"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083DF9C4" w14:textId="77777777" w:rsidR="00B43B9E" w:rsidRPr="003864E7" w:rsidRDefault="00B43B9E">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p>
        </w:tc>
        <w:tc>
          <w:tcPr>
            <w:tcW w:w="5812" w:type="dxa"/>
            <w:tcBorders>
              <w:top w:val="single" w:sz="6" w:space="0" w:color="000000"/>
              <w:left w:val="single" w:sz="6" w:space="0" w:color="000000"/>
              <w:bottom w:val="single" w:sz="4" w:space="0" w:color="000000"/>
              <w:right w:val="single" w:sz="6" w:space="0" w:color="000000"/>
            </w:tcBorders>
          </w:tcPr>
          <w:p w14:paraId="4CA3813C"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 частково.</w:t>
            </w:r>
          </w:p>
          <w:p w14:paraId="37A1BB01"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Відповідно до пункту 6 Порядку проведення аукціонів з розподілу квоти підтримки, затвердженого постановою Кабінету Міністрів України від 27 грудня 2019 р. № 1175,  проект рішення щодо встановлення річних квот підтримки суб’єктів господарювання, які виробляють електричну енергію з альтернативних джерел енергії подається Кабінетові Міністрів України щороку до 31 жовтня.</w:t>
            </w:r>
          </w:p>
          <w:p w14:paraId="528FF7E5"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Пункт 1 Цілі 4 викладено у такій редакції: «Подання Кабінетові Міністрів України проекту розпорядження Кабінету Міністрів 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w:t>
            </w:r>
          </w:p>
          <w:p w14:paraId="7825E08F"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 Відповідальні за виконання: </w:t>
            </w:r>
          </w:p>
          <w:p w14:paraId="6024BC04"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Міненерго </w:t>
            </w:r>
          </w:p>
          <w:p w14:paraId="7C4DDF35"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Держенергоефективності </w:t>
            </w:r>
          </w:p>
          <w:p w14:paraId="5278FAD3"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ПрАТ «НЕК» Укренерго» </w:t>
            </w:r>
          </w:p>
          <w:p w14:paraId="063B5330"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Строк виконання: </w:t>
            </w:r>
          </w:p>
          <w:p w14:paraId="2CF30672" w14:textId="77777777" w:rsidR="00B43B9E" w:rsidRPr="003864E7" w:rsidRDefault="00AF0BE5">
            <w:pPr>
              <w:pBdr>
                <w:top w:val="nil"/>
                <w:left w:val="nil"/>
                <w:bottom w:val="nil"/>
                <w:right w:val="nil"/>
                <w:between w:val="nil"/>
              </w:pBdr>
              <w:spacing w:after="0" w:line="240" w:lineRule="auto"/>
              <w:ind w:left="57" w:right="57" w:firstLine="558"/>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щороку до 31 жовтня</w:t>
            </w:r>
          </w:p>
          <w:p w14:paraId="024B0B20"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1E4778B1"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7156685E"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реалізація пункту 23 Цілі 4. Нормативно-правове та організаційне забезпечення розвитку відновлюваної енергетики потребує залучення Міністерства освіти та науки України.</w:t>
            </w:r>
          </w:p>
        </w:tc>
        <w:tc>
          <w:tcPr>
            <w:tcW w:w="3969" w:type="dxa"/>
            <w:tcBorders>
              <w:top w:val="single" w:sz="6" w:space="0" w:color="000000"/>
              <w:left w:val="single" w:sz="6" w:space="0" w:color="000000"/>
              <w:bottom w:val="single" w:sz="6" w:space="0" w:color="000000"/>
              <w:right w:val="single" w:sz="6" w:space="0" w:color="000000"/>
            </w:tcBorders>
          </w:tcPr>
          <w:p w14:paraId="1AEEDBCE"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пункт 23 Цілі 4 Плану заходів проекту НПДВЕ 2030 </w:t>
            </w:r>
          </w:p>
          <w:p w14:paraId="587338D7"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 «Популяризація, в першу чергу серед широких верств населення, переваг розвитку сфери виробництва енергоносіїв з відновлюваних джерел енергії та альтернативних видів палива в Україні»</w:t>
            </w:r>
          </w:p>
          <w:p w14:paraId="57586320"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Відповідальні за виконання: Держенергоефективності</w:t>
            </w:r>
          </w:p>
          <w:p w14:paraId="74DFA65A"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Міненерго</w:t>
            </w:r>
          </w:p>
          <w:p w14:paraId="42FDC1D5"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Мінрегіон</w:t>
            </w:r>
          </w:p>
          <w:p w14:paraId="1C01DB07"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Облдержадміністрації</w:t>
            </w:r>
          </w:p>
          <w:p w14:paraId="0E3C5C6F"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Органи місцевого самоврядування (за згодою)</w:t>
            </w:r>
          </w:p>
          <w:p w14:paraId="3CB2CD57"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tc>
        <w:tc>
          <w:tcPr>
            <w:tcW w:w="5812" w:type="dxa"/>
            <w:tcBorders>
              <w:top w:val="single" w:sz="6" w:space="0" w:color="000000"/>
              <w:left w:val="single" w:sz="6" w:space="0" w:color="000000"/>
              <w:bottom w:val="single" w:sz="6" w:space="0" w:color="000000"/>
              <w:right w:val="single" w:sz="6" w:space="0" w:color="000000"/>
            </w:tcBorders>
          </w:tcPr>
          <w:p w14:paraId="327C533B"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 xml:space="preserve">Враховано </w:t>
            </w:r>
          </w:p>
          <w:p w14:paraId="6691C2FE"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Пункт 23 Цілі 4 викладено у такій редакції: «Популяризація, в першу чергу серед широких верств населення, переваг розвитку сфери виробництва енергоносіїв з відновлюваних джерел енергії та альтернативних видів палива в Україні»</w:t>
            </w:r>
          </w:p>
          <w:p w14:paraId="00F26BD6"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Відповідальні за виконання: Держенергоефективності</w:t>
            </w:r>
          </w:p>
          <w:p w14:paraId="6F1F90E2"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Міненерго</w:t>
            </w:r>
          </w:p>
          <w:p w14:paraId="29062B62"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Мінрегіон</w:t>
            </w:r>
          </w:p>
          <w:p w14:paraId="6CBB2897"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МОН</w:t>
            </w:r>
          </w:p>
          <w:p w14:paraId="63110876"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Облдержадміністрації</w:t>
            </w:r>
          </w:p>
          <w:p w14:paraId="1F7E8E61" w14:textId="77777777" w:rsidR="00B43B9E" w:rsidRPr="003864E7" w:rsidRDefault="00AF0BE5">
            <w:pPr>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Органи місцевого самоврядування (за згодою)</w:t>
            </w:r>
          </w:p>
          <w:p w14:paraId="5528EE36"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bl>
    <w:tbl>
      <w:tblPr>
        <w:tblStyle w:val="affffffe"/>
        <w:tblW w:w="15294" w:type="dxa"/>
        <w:tblInd w:w="-27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13"/>
        <w:gridCol w:w="3969"/>
        <w:gridCol w:w="5812"/>
      </w:tblGrid>
      <w:tr w:rsidR="00B43B9E" w:rsidRPr="003864E7" w14:paraId="314ADD85"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5FD44B97"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lastRenderedPageBreak/>
              <w:t>Зазначена ціль не є актуально з декількох причин: 1) ціль застаріла та була оновлена положенням Директиви (ЄС) 2018/2001 про сприяння використанню енергії з відновлювальних джерел від 11 грудня 2018 року, якою встановлено ціль не менше 32%. Але ЄК (Європейська Комісія) вже запропонувала підвищення цілі до 40% в рамках перегляду Директиви (ЄС) 2018/2001 (RED II). Варто також зазначити, що згадані цілі – загальноєвропейські, тому не обов'язково передбачають встановлення ідентичних індикаторів на національному рівні в Україні. 2) Україна не зобов'язана впроваджувати положення ані інформаційного повідомлення ЄК, ані ціль для Європейського Союзу, передбачену Директивою (ЄС) 2018/2001. Для України така ціль встановлюватиметься на рівні Енергетичного Співтовариства відповідно до Директиви (ЄС) 2018/2001 адаптованої рішенням Ради Міністрів Енергетичного Співтовариства від 30 листопада 2021 року.</w:t>
            </w:r>
          </w:p>
        </w:tc>
        <w:tc>
          <w:tcPr>
            <w:tcW w:w="3969" w:type="dxa"/>
            <w:tcBorders>
              <w:top w:val="single" w:sz="6" w:space="0" w:color="000000"/>
              <w:left w:val="single" w:sz="6" w:space="0" w:color="000000"/>
              <w:bottom w:val="single" w:sz="6" w:space="0" w:color="000000"/>
              <w:right w:val="single" w:sz="6" w:space="0" w:color="000000"/>
            </w:tcBorders>
          </w:tcPr>
          <w:p w14:paraId="6E64B785"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Перший абзац на ст. 4 Вступу: "В інформаційному повідомленні Європейської Комісії від 22 січня 2014 року під назвою «Рамкова кліматична та енергетична політика на період з 2020 до 2030 року» було встановлено основні положення майбутньої енергетичної та кліматичної політики Союзу та викладено принципи взаєморозуміння щодо розробки таких політик після 2020 року. Комісія запропонувала встановити мету на 2030 рік щодо частки споживання енергії з відновлюваних джерел на рівні не менше 27%. Ця пропозиція була схвалена Європейською радою у її висновках від 23 та 24 жовтня 2014 року".</w:t>
            </w:r>
          </w:p>
        </w:tc>
        <w:tc>
          <w:tcPr>
            <w:tcW w:w="5812" w:type="dxa"/>
            <w:tcBorders>
              <w:top w:val="single" w:sz="6" w:space="0" w:color="000000"/>
              <w:left w:val="single" w:sz="6" w:space="0" w:color="000000"/>
              <w:bottom w:val="single" w:sz="6" w:space="0" w:color="000000"/>
              <w:right w:val="single" w:sz="6" w:space="0" w:color="000000"/>
            </w:tcBorders>
          </w:tcPr>
          <w:p w14:paraId="28E15717"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Частково враховано.</w:t>
            </w:r>
          </w:p>
          <w:p w14:paraId="67D6C4E0"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Перший абзац на ст. 4 Вступу викладено у такій редакції: «Директивою ЄС від 11.12.2018 2018/2001  «Про заохочення використання енергії з відновлюваних джерел» встановлено ціль для Європейського Союзу до 2030 року на рівні 32 % частки енергії з відновлюваних джерел у валовому кінцевому споживанні енергії. Наразі Європейською Комісією зважаючи на наслідки російської агрессії розглядається питання підвищення зазначеної цілі до 45 %.»</w:t>
            </w:r>
          </w:p>
          <w:p w14:paraId="354BB611"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34948B35"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Цілі Проекту НПДВЕ 2030 в розмірі 27% енергії з відновлюваних джерел енергії в кінцевому енергоспоживанні погодженно з Міненерго, а також було узгоджено на засіданнях Робочих груп з розробки НПДВЕ 2030.</w:t>
            </w:r>
          </w:p>
          <w:p w14:paraId="41AD52B6"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tc>
      </w:tr>
      <w:tr w:rsidR="00B43B9E" w:rsidRPr="003864E7" w14:paraId="04F8616A"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20210325"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Плани збільшення потужності сонячної генерації мають враховувати плани розвитку потенціалу відновлювального водню в Україні. У документі згадується 10 ГВт виробничих потужностей до 2030 року для виробництва відновлювального водню, але не враховується наявний та прогнозований обсяги сонячної та вітрової генерації.  Так, лише  для виробництва 738 тис. тонн відновлювального водню (відповідає 8 ГВт потужностей електролізу) потребуватиме близько 17 ГВт  СЕС. Пропонуємо переглянути цілі щодо СЕС з урахуванням виробництва відновлюваного водню.</w:t>
            </w:r>
          </w:p>
          <w:p w14:paraId="2D827563" w14:textId="77777777" w:rsidR="00B43B9E" w:rsidRPr="003864E7" w:rsidRDefault="00B43B9E">
            <w:pPr>
              <w:spacing w:after="0" w:line="240" w:lineRule="auto"/>
              <w:ind w:left="57" w:right="57" w:firstLine="567"/>
              <w:jc w:val="both"/>
              <w:rPr>
                <w:rFonts w:ascii="Times New Roman" w:eastAsia="Times New Roman" w:hAnsi="Times New Roman" w:cs="Times New Roman"/>
              </w:rPr>
            </w:pPr>
          </w:p>
        </w:tc>
        <w:tc>
          <w:tcPr>
            <w:tcW w:w="3969" w:type="dxa"/>
            <w:tcBorders>
              <w:top w:val="single" w:sz="6" w:space="0" w:color="000000"/>
              <w:left w:val="single" w:sz="6" w:space="0" w:color="000000"/>
              <w:bottom w:val="single" w:sz="6" w:space="0" w:color="000000"/>
              <w:right w:val="single" w:sz="6" w:space="0" w:color="000000"/>
            </w:tcBorders>
          </w:tcPr>
          <w:p w14:paraId="00DE33BB"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Останній абзац підрозділу «Сонячна енергетика» (ст. 11): «Планується, що виробництво електричної енергії з енергії сонячного випромінювання може бути збільшено до 10,5 ТВт*год у 2030 році (загальною потужністю близько 10 ГВт, з яких 7 ГВт промислових виробників та 3 ГВт споживачів)».</w:t>
            </w:r>
          </w:p>
        </w:tc>
        <w:tc>
          <w:tcPr>
            <w:tcW w:w="5812" w:type="dxa"/>
            <w:tcBorders>
              <w:top w:val="single" w:sz="6" w:space="0" w:color="000000"/>
              <w:left w:val="single" w:sz="6" w:space="0" w:color="000000"/>
              <w:bottom w:val="single" w:sz="6" w:space="0" w:color="000000"/>
              <w:right w:val="single" w:sz="6" w:space="0" w:color="000000"/>
            </w:tcBorders>
          </w:tcPr>
          <w:p w14:paraId="67733B76"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4ABD165A"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З метою розвитку водневої енергетики передбачається розробка Міненерго проекту </w:t>
            </w:r>
            <w:r w:rsidRPr="003864E7">
              <w:rPr>
                <w:rFonts w:ascii="Times New Roman" w:eastAsia="Times New Roman" w:hAnsi="Times New Roman" w:cs="Times New Roman"/>
                <w:color w:val="202124"/>
              </w:rPr>
              <w:t>Водневої стратегії</w:t>
            </w:r>
            <w:r w:rsidRPr="003864E7">
              <w:rPr>
                <w:rFonts w:ascii="Times New Roman" w:eastAsia="Times New Roman" w:hAnsi="Times New Roman" w:cs="Times New Roman"/>
              </w:rPr>
              <w:t>, яким буде визначено цілі, показники, плани розвитку водневої енергетики до 2030 року, а також окреслено орієнтири до 2050 року, а також необхідні заходи для реалізації.</w:t>
            </w:r>
          </w:p>
          <w:p w14:paraId="530F62FF"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p w14:paraId="1055A47C"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Показники проекту НПДВЕ 2030 погоджено з Міненерго, а також були узгоджені на засіданнях Робочої групи з розробки НПДВЕ 2030.</w:t>
            </w:r>
          </w:p>
          <w:p w14:paraId="4093E657"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tc>
      </w:tr>
      <w:tr w:rsidR="00B43B9E" w:rsidRPr="003864E7" w14:paraId="6AB8E57E"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47BDCFC3" w14:textId="77777777" w:rsidR="00B43B9E" w:rsidRPr="003864E7" w:rsidRDefault="00AF0BE5" w:rsidP="00D74D54">
            <w:pPr>
              <w:widowControl w:val="0"/>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 xml:space="preserve">Плани збільшення потужності вітрової генерації </w:t>
            </w:r>
            <w:r w:rsidRPr="003864E7">
              <w:rPr>
                <w:rFonts w:ascii="Times New Roman" w:eastAsia="Times New Roman" w:hAnsi="Times New Roman" w:cs="Times New Roman"/>
              </w:rPr>
              <w:lastRenderedPageBreak/>
              <w:t>мають враховувати плани розвитку потенціалу відновлювального водню в Україні. У документі згадується 10 ГВт виробничих потужностей до 2030 року для виробництва відновлювального водню, але не враховується наявний та прогнозований обсяги сонячної та вітрової генерації.  Так, лише  для виробництва 738 тис. тонн відновлювального водню (відповідає 8 ГВт потужностей електролізу) потребуватиме близько 8,324 ГВт ВЕС. Пропонуємо переглянути цілі щодо ВЕС з урахуванням виробництва відновлюваного водню.</w:t>
            </w:r>
          </w:p>
        </w:tc>
        <w:tc>
          <w:tcPr>
            <w:tcW w:w="3969" w:type="dxa"/>
            <w:tcBorders>
              <w:top w:val="single" w:sz="6" w:space="0" w:color="000000"/>
              <w:left w:val="single" w:sz="6" w:space="0" w:color="000000"/>
              <w:bottom w:val="single" w:sz="6" w:space="0" w:color="000000"/>
              <w:right w:val="single" w:sz="6" w:space="0" w:color="000000"/>
            </w:tcBorders>
          </w:tcPr>
          <w:p w14:paraId="57D844C7" w14:textId="77777777" w:rsidR="00B43B9E" w:rsidRPr="003864E7" w:rsidRDefault="00AF0BE5" w:rsidP="00D74D54">
            <w:pPr>
              <w:widowControl w:val="0"/>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 xml:space="preserve">Останній абзац підрозділу </w:t>
            </w:r>
            <w:r w:rsidRPr="003864E7">
              <w:rPr>
                <w:rFonts w:ascii="Times New Roman" w:eastAsia="Times New Roman" w:hAnsi="Times New Roman" w:cs="Times New Roman"/>
                <w:color w:val="000000"/>
              </w:rPr>
              <w:lastRenderedPageBreak/>
              <w:t>«Вітроенергетика» (на ст.12): «На основі досвіду більшості європейських країн з впровадження вітроелектростанцій в Україні може бути збільшено виробництво електроенергії шляхом використання більш потужних вітрогенераторів та введення в експлуатацію нових потужностей наземних вітрових електростанцій до 15,3 ТВт*год у 2030 році (загальною потужністю 4,7 ГВт).</w:t>
            </w:r>
          </w:p>
          <w:p w14:paraId="1ED37770" w14:textId="77777777" w:rsidR="00B43B9E" w:rsidRPr="003864E7" w:rsidRDefault="00AF0BE5"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Виробництво електроенергії офшорними вітровими електростанціями прогнозується на рівні до 1 ТВт*год у 2030 році (загальна потужність 300 МВт)».</w:t>
            </w:r>
          </w:p>
        </w:tc>
        <w:tc>
          <w:tcPr>
            <w:tcW w:w="5812" w:type="dxa"/>
            <w:tcBorders>
              <w:top w:val="single" w:sz="6" w:space="0" w:color="000000"/>
              <w:left w:val="single" w:sz="6" w:space="0" w:color="000000"/>
              <w:bottom w:val="single" w:sz="6" w:space="0" w:color="000000"/>
              <w:right w:val="single" w:sz="6" w:space="0" w:color="000000"/>
            </w:tcBorders>
          </w:tcPr>
          <w:p w14:paraId="3199C1CE" w14:textId="77777777" w:rsidR="00B43B9E" w:rsidRPr="003864E7" w:rsidRDefault="00AF0BE5" w:rsidP="00D74D54">
            <w:pPr>
              <w:widowControl w:val="0"/>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Не враховано.</w:t>
            </w:r>
          </w:p>
          <w:p w14:paraId="72ACC590" w14:textId="77777777" w:rsidR="00B43B9E" w:rsidRPr="003864E7" w:rsidRDefault="00AF0BE5" w:rsidP="00D74D54">
            <w:pPr>
              <w:widowControl w:val="0"/>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З метою розвитку водневої енергетики передбачається розробка Міненерго проекту </w:t>
            </w:r>
            <w:r w:rsidRPr="003864E7">
              <w:rPr>
                <w:rFonts w:ascii="Times New Roman" w:eastAsia="Times New Roman" w:hAnsi="Times New Roman" w:cs="Times New Roman"/>
                <w:color w:val="202124"/>
              </w:rPr>
              <w:t>Водневої стратегії</w:t>
            </w:r>
            <w:r w:rsidRPr="003864E7">
              <w:rPr>
                <w:rFonts w:ascii="Times New Roman" w:eastAsia="Times New Roman" w:hAnsi="Times New Roman" w:cs="Times New Roman"/>
              </w:rPr>
              <w:t>, яким буде визначено цілі, показники, плани розвитку водневої енергетики до 2030 року, а також окреслено орієнтири до 2050 року а також необхідні заходи для реалізації.</w:t>
            </w:r>
          </w:p>
          <w:p w14:paraId="69241B53" w14:textId="77777777" w:rsidR="00B43B9E" w:rsidRPr="003864E7" w:rsidRDefault="00B43B9E" w:rsidP="00D74D54">
            <w:pPr>
              <w:widowControl w:val="0"/>
              <w:pBdr>
                <w:top w:val="nil"/>
                <w:left w:val="nil"/>
                <w:bottom w:val="nil"/>
                <w:right w:val="nil"/>
                <w:between w:val="nil"/>
              </w:pBdr>
              <w:spacing w:after="0" w:line="240" w:lineRule="auto"/>
              <w:ind w:left="57" w:right="57"/>
              <w:jc w:val="both"/>
              <w:rPr>
                <w:rFonts w:ascii="Times New Roman" w:eastAsia="Times New Roman" w:hAnsi="Times New Roman" w:cs="Times New Roman"/>
              </w:rPr>
            </w:pPr>
          </w:p>
          <w:p w14:paraId="29391C4A" w14:textId="77777777" w:rsidR="00B43B9E" w:rsidRPr="003864E7" w:rsidRDefault="00AF0BE5" w:rsidP="00D74D54">
            <w:pPr>
              <w:widowControl w:val="0"/>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Показники проекту НПДВЕ 2030 погоджено з Міненерго, а також були узгоджені на засіданнях Робочої групи з розробки НПДВЕ 2030.</w:t>
            </w:r>
          </w:p>
          <w:p w14:paraId="0EFF1442" w14:textId="77777777" w:rsidR="00B43B9E" w:rsidRPr="003864E7" w:rsidRDefault="00B43B9E" w:rsidP="00D74D54">
            <w:pPr>
              <w:widowControl w:val="0"/>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7D1CAAAA" w14:textId="77777777" w:rsidTr="00943A0E">
        <w:trPr>
          <w:trHeight w:val="6972"/>
        </w:trPr>
        <w:tc>
          <w:tcPr>
            <w:tcW w:w="5513" w:type="dxa"/>
            <w:tcBorders>
              <w:top w:val="single" w:sz="6" w:space="0" w:color="000000"/>
              <w:left w:val="single" w:sz="6" w:space="0" w:color="000000"/>
              <w:bottom w:val="single" w:sz="4" w:space="0" w:color="000000"/>
              <w:right w:val="single" w:sz="6" w:space="0" w:color="000000"/>
            </w:tcBorders>
          </w:tcPr>
          <w:p w14:paraId="5248F17B" w14:textId="77777777" w:rsidR="00B43B9E" w:rsidRPr="003864E7" w:rsidRDefault="00AF0BE5" w:rsidP="00D74D54">
            <w:pPr>
              <w:widowControl w:val="0"/>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Переглянути таблицю «Ціль 4. Нормативно-правове та організаційне забезпечення розвитку відновлюваної енергетики», а саме: </w:t>
            </w:r>
          </w:p>
          <w:p w14:paraId="5364EC4D" w14:textId="77777777" w:rsidR="00B43B9E" w:rsidRPr="003864E7" w:rsidRDefault="00AF0BE5" w:rsidP="00D74D54">
            <w:pPr>
              <w:widowControl w:val="0"/>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1) привести запропоновані у таблиці заходи у відповідність до вимог законодавства, або виключити (наприклад, таблиця містить захід «1. Подання Кабінетові Міністрів України проекту розпорядження Кабінету Міністрів 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 Однак він не в повні мірі відповідає ч. 5 ст. 93 Закону України «Про альтернативні джерела енергії», згідно з якою Кабінет Міністрів України за поданням центрального органу виконавчої влади, що забезпечує формування та реалізує державну політику в електроенергетичному комплексі, щороку, не пізніше 1 грудня, встановлює річну квоту підтримки та графік проведення аукціонів на наступний рік, а також індикативні прогнозні показники річних квот підтримки на чотири роки, що йдуть за роком, на який встановлюється річна квота підтримки. Пропозиції щодо розміру річних квот підтримки готуються центральним органом виконавчої влади, що реалізує державну політику у сфері ефективного використання паливно-енергетичних ресурсів, енергозбереження, відновлюваних джерел енергії та альтернативних видів палива, та оператором системи передачі з урахуванням міжнародних зобов’язань України щодо розвитку відновлюваної енергетики, Енергетичної стратегії України, звіту з оцінки відповідності (достатності) генеруючих потужностей та плану розвитку системи передачі, стану реалізації проектів будівництва об’єктів відновлюваної енергетики.);</w:t>
            </w:r>
          </w:p>
          <w:p w14:paraId="61CA2009" w14:textId="77777777" w:rsidR="00B43B9E" w:rsidRPr="003864E7" w:rsidRDefault="00AF0BE5" w:rsidP="00D74D54">
            <w:pPr>
              <w:widowControl w:val="0"/>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 2) доповнити заходи що стосуються розробки нормативно-правових актів основними положеннями, що мають містити такі акти. </w:t>
            </w:r>
          </w:p>
          <w:p w14:paraId="223BDFD9" w14:textId="77777777" w:rsidR="00B43B9E" w:rsidRPr="003864E7" w:rsidRDefault="00AF0BE5" w:rsidP="00D74D54">
            <w:pPr>
              <w:widowControl w:val="0"/>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3) переглянути передбачені в таблиці заходи на предмет їх чіткості та ефективності для розвитку відновлюваної енергетики. </w:t>
            </w:r>
          </w:p>
          <w:p w14:paraId="6E0754DB" w14:textId="77777777" w:rsidR="00B43B9E" w:rsidRPr="003864E7" w:rsidRDefault="00AF0BE5" w:rsidP="00D74D54">
            <w:pPr>
              <w:widowControl w:val="0"/>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4) зафіксувати чіткі завдання за відповідальними органами. </w:t>
            </w:r>
          </w:p>
          <w:p w14:paraId="2A4F4B46" w14:textId="77777777" w:rsidR="00B43B9E" w:rsidRPr="003864E7" w:rsidRDefault="00B43B9E" w:rsidP="00D74D54">
            <w:pPr>
              <w:widowControl w:val="0"/>
              <w:spacing w:after="0" w:line="240" w:lineRule="auto"/>
              <w:ind w:left="57" w:right="57"/>
              <w:jc w:val="both"/>
              <w:rPr>
                <w:rFonts w:ascii="Times New Roman" w:eastAsia="Times New Roman" w:hAnsi="Times New Roman" w:cs="Times New Roman"/>
              </w:rPr>
            </w:pPr>
          </w:p>
        </w:tc>
        <w:tc>
          <w:tcPr>
            <w:tcW w:w="3969" w:type="dxa"/>
            <w:tcBorders>
              <w:top w:val="single" w:sz="6" w:space="0" w:color="000000"/>
              <w:left w:val="single" w:sz="6" w:space="0" w:color="000000"/>
              <w:bottom w:val="single" w:sz="4" w:space="0" w:color="000000"/>
              <w:right w:val="single" w:sz="6" w:space="0" w:color="000000"/>
            </w:tcBorders>
          </w:tcPr>
          <w:p w14:paraId="3F077DB1" w14:textId="77777777" w:rsidR="00B43B9E" w:rsidRPr="003864E7" w:rsidRDefault="00AF0BE5"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Пункт 1. Плану заходів Цілі 4 Нормативно-правове та організаційне забезпечення розвитку відновлюваної енергетики</w:t>
            </w:r>
          </w:p>
          <w:p w14:paraId="1D6DD129" w14:textId="77777777" w:rsidR="00B43B9E" w:rsidRPr="003864E7" w:rsidRDefault="00AF0BE5"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 «Подання Кабінетові Міністрів України проекту розпорядження Кабінету Міністрів 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w:t>
            </w:r>
          </w:p>
          <w:p w14:paraId="18FDCDEA"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5BD15070" w14:textId="77777777" w:rsidR="00B43B9E" w:rsidRPr="003864E7" w:rsidRDefault="00AF0BE5" w:rsidP="00D74D54">
            <w:pPr>
              <w:widowControl w:val="0"/>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Відповідальні за виконання</w:t>
            </w:r>
            <w:r w:rsidRPr="003864E7">
              <w:rPr>
                <w:rFonts w:ascii="Times New Roman" w:eastAsia="Times New Roman" w:hAnsi="Times New Roman" w:cs="Times New Roman"/>
                <w:color w:val="000000"/>
              </w:rPr>
              <w:tab/>
            </w:r>
          </w:p>
          <w:p w14:paraId="0807CF01" w14:textId="77777777" w:rsidR="00B43B9E" w:rsidRPr="003864E7" w:rsidRDefault="00AF0BE5" w:rsidP="00D74D54">
            <w:pPr>
              <w:widowControl w:val="0"/>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Міненерго</w:t>
            </w:r>
          </w:p>
          <w:p w14:paraId="2E9D0593" w14:textId="77777777" w:rsidR="00B43B9E" w:rsidRPr="003864E7" w:rsidRDefault="00AF0BE5" w:rsidP="00D74D54">
            <w:pPr>
              <w:widowControl w:val="0"/>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Держенергоефективності</w:t>
            </w:r>
          </w:p>
          <w:p w14:paraId="58EB9252" w14:textId="77777777" w:rsidR="00B43B9E" w:rsidRPr="003864E7" w:rsidRDefault="00AF0BE5" w:rsidP="00D74D54">
            <w:pPr>
              <w:widowControl w:val="0"/>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ПрАТ «НЕК» Укренерго» (за згодою)</w:t>
            </w:r>
            <w:r w:rsidRPr="003864E7">
              <w:rPr>
                <w:rFonts w:ascii="Times New Roman" w:eastAsia="Times New Roman" w:hAnsi="Times New Roman" w:cs="Times New Roman"/>
                <w:color w:val="000000"/>
              </w:rPr>
              <w:tab/>
              <w:t>Строк виконання:</w:t>
            </w:r>
          </w:p>
          <w:p w14:paraId="60593D49" w14:textId="77777777" w:rsidR="00B43B9E" w:rsidRPr="003864E7" w:rsidRDefault="00AF0BE5" w:rsidP="00D74D54">
            <w:pPr>
              <w:widowControl w:val="0"/>
              <w:pBdr>
                <w:top w:val="nil"/>
                <w:left w:val="nil"/>
                <w:bottom w:val="nil"/>
                <w:right w:val="nil"/>
                <w:between w:val="nil"/>
              </w:pBdr>
              <w:spacing w:after="0" w:line="240" w:lineRule="auto"/>
              <w:ind w:left="57" w:right="57" w:firstLine="575"/>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 щороку до 1 листопада»</w:t>
            </w:r>
          </w:p>
          <w:p w14:paraId="5A911021"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0A24B070" w14:textId="77777777" w:rsidR="00B43B9E" w:rsidRPr="003864E7" w:rsidRDefault="00B43B9E" w:rsidP="00D74D54">
            <w:pPr>
              <w:widowControl w:val="0"/>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p>
          <w:p w14:paraId="3C916220"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306E2A43"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0D580E81"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06312D41"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27A1C78B"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0470EA6E"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7ADE23A6"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370A7F28"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28BCF215"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739FCD38"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5490C305"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50968363"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393B4E5F"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333A7172"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641F0192"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148C321B"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616AF725"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5F982F44"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6C5A21F6"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58D5C789"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1C54C5A3"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7B2EC325"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4C0166D7"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6CD31E72"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7A43DB2B"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183C0639"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51C76716"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p w14:paraId="69CAA18A" w14:textId="77777777" w:rsidR="00B43B9E" w:rsidRPr="003864E7" w:rsidRDefault="00B43B9E" w:rsidP="00D74D54">
            <w:pPr>
              <w:widowControl w:val="0"/>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tc>
        <w:tc>
          <w:tcPr>
            <w:tcW w:w="5812" w:type="dxa"/>
            <w:tcBorders>
              <w:top w:val="single" w:sz="6" w:space="0" w:color="000000"/>
              <w:left w:val="single" w:sz="6" w:space="0" w:color="000000"/>
              <w:bottom w:val="single" w:sz="4" w:space="0" w:color="000000"/>
              <w:right w:val="single" w:sz="6" w:space="0" w:color="000000"/>
            </w:tcBorders>
          </w:tcPr>
          <w:p w14:paraId="1DA41037" w14:textId="77777777" w:rsidR="00B43B9E" w:rsidRPr="003864E7" w:rsidRDefault="00AF0BE5" w:rsidP="00D74D54">
            <w:pPr>
              <w:widowControl w:val="0"/>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 частково.</w:t>
            </w:r>
          </w:p>
          <w:p w14:paraId="3A0EC2BB" w14:textId="77777777" w:rsidR="00B43B9E" w:rsidRPr="003864E7" w:rsidRDefault="00AF0BE5" w:rsidP="00D74D54">
            <w:pPr>
              <w:widowControl w:val="0"/>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Відповідно до пункту 6 Порядку проведення аукціонів з розподілу квоти підтримки, затвердженого постановою Кабінету Міністрів України від 27 грудня 2019 р. № 1175,  проект рішення щодо встановлення річних квот підтримки суб’єктів господарювання, які виробляють електричну енергію з альтернативних джерел енергії подається Кабінетові Міністрів України щороку до 31 жовтня.</w:t>
            </w:r>
          </w:p>
          <w:p w14:paraId="635154FA" w14:textId="77777777" w:rsidR="00B43B9E" w:rsidRPr="003864E7" w:rsidRDefault="00AF0BE5" w:rsidP="00D74D54">
            <w:pPr>
              <w:widowControl w:val="0"/>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Пункт 1 Цілі 4 викладено у такій редакції: «Подання Кабінетові Міністрів України проекту розпорядження Кабінету Міністрів 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w:t>
            </w:r>
          </w:p>
          <w:p w14:paraId="4235DAE1" w14:textId="77777777" w:rsidR="00B43B9E" w:rsidRPr="003864E7" w:rsidRDefault="00AF0BE5" w:rsidP="00D74D54">
            <w:pPr>
              <w:widowControl w:val="0"/>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 Відповідальні за виконання: </w:t>
            </w:r>
          </w:p>
          <w:p w14:paraId="271ABE56" w14:textId="77777777" w:rsidR="00B43B9E" w:rsidRPr="003864E7" w:rsidRDefault="00AF0BE5" w:rsidP="00D74D54">
            <w:pPr>
              <w:widowControl w:val="0"/>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Міненерго </w:t>
            </w:r>
          </w:p>
          <w:p w14:paraId="48049F7D" w14:textId="77777777" w:rsidR="00B43B9E" w:rsidRPr="003864E7" w:rsidRDefault="00AF0BE5" w:rsidP="00D74D54">
            <w:pPr>
              <w:widowControl w:val="0"/>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Держенергоефективності </w:t>
            </w:r>
          </w:p>
          <w:p w14:paraId="74676BBA" w14:textId="77777777" w:rsidR="00B43B9E" w:rsidRPr="003864E7" w:rsidRDefault="00AF0BE5" w:rsidP="00D74D54">
            <w:pPr>
              <w:widowControl w:val="0"/>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ПрАТ «НЕК» Укренерго» ()</w:t>
            </w:r>
          </w:p>
          <w:p w14:paraId="3E9CBF4C" w14:textId="77777777" w:rsidR="00B43B9E" w:rsidRPr="003864E7" w:rsidRDefault="00AF0BE5" w:rsidP="00D74D54">
            <w:pPr>
              <w:widowControl w:val="0"/>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Строк виконання: </w:t>
            </w:r>
          </w:p>
          <w:p w14:paraId="1E63A2D9" w14:textId="77777777" w:rsidR="00B43B9E" w:rsidRPr="003864E7" w:rsidRDefault="00AF0BE5" w:rsidP="00D74D54">
            <w:pPr>
              <w:widowControl w:val="0"/>
              <w:pBdr>
                <w:top w:val="nil"/>
                <w:left w:val="nil"/>
                <w:bottom w:val="nil"/>
                <w:right w:val="nil"/>
                <w:between w:val="nil"/>
              </w:pBdr>
              <w:spacing w:after="0" w:line="240" w:lineRule="auto"/>
              <w:ind w:left="57" w:right="57" w:firstLine="558"/>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щороку до 31 жовтня</w:t>
            </w:r>
          </w:p>
          <w:p w14:paraId="6F6B294F" w14:textId="77777777" w:rsidR="00B43B9E" w:rsidRPr="003864E7" w:rsidRDefault="00B43B9E" w:rsidP="00D74D54">
            <w:pPr>
              <w:widowControl w:val="0"/>
              <w:spacing w:after="0" w:line="240" w:lineRule="auto"/>
              <w:ind w:left="57" w:right="57"/>
              <w:jc w:val="both"/>
              <w:rPr>
                <w:rFonts w:ascii="Times New Roman" w:eastAsia="Times New Roman" w:hAnsi="Times New Roman" w:cs="Times New Roman"/>
                <w:color w:val="000000"/>
              </w:rPr>
            </w:pPr>
          </w:p>
        </w:tc>
      </w:tr>
      <w:tr w:rsidR="00B43B9E" w:rsidRPr="003864E7" w14:paraId="6282C386" w14:textId="77777777" w:rsidTr="00943A0E">
        <w:trPr>
          <w:trHeight w:val="1573"/>
        </w:trPr>
        <w:tc>
          <w:tcPr>
            <w:tcW w:w="5513" w:type="dxa"/>
            <w:tcBorders>
              <w:top w:val="single" w:sz="6" w:space="0" w:color="000000"/>
              <w:left w:val="single" w:sz="6" w:space="0" w:color="000000"/>
              <w:bottom w:val="single" w:sz="4" w:space="0" w:color="000000"/>
              <w:right w:val="single" w:sz="6" w:space="0" w:color="000000"/>
            </w:tcBorders>
          </w:tcPr>
          <w:p w14:paraId="4FCC3C69"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Україна повинна імплементувати Директиву (ЄС) 2018/2001 адаптовану рішенням Ради Міністрів Енергетичного Співтовариства від 30 листопада 2021 року до 31 грудня 2022 року.</w:t>
            </w:r>
          </w:p>
          <w:p w14:paraId="69365D56"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Пропонуємо врахувати вимоги нової директиви у розробці заходів з розвитку генерації з ВДЕ, зокрема:</w:t>
            </w:r>
          </w:p>
          <w:p w14:paraId="65A79A3C"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 – інтегрувати загальні вимоги до схем підтримки для ВДЕ, які слугуватимуть принципами при подальшому нормопроектуванні (статті 4, 5 Директиви (ЄС) 2018/2001);</w:t>
            </w:r>
          </w:p>
          <w:p w14:paraId="69D4E283"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w:t>
            </w:r>
            <w:r w:rsidRPr="003864E7">
              <w:rPr>
                <w:rFonts w:ascii="Times New Roman" w:eastAsia="Times New Roman" w:hAnsi="Times New Roman" w:cs="Times New Roman"/>
              </w:rPr>
              <w:tab/>
              <w:t>Національний план може використовуватись для публікації та оновлення довгострокового графіку з очікуваним розподілом державної підтримки генерації з ВДЕ, включаючи орієнтовний термін і частоту тендерних процедур, очікувану потужність і бюджет, а також очікувані прийнятні технології. Такий графік має оновлюватися на щорічній основі або, за необхідності, відображати останні зміни на ринку або очікуваний розподіл підтримки державної (пункт 3 статті 6 Директиви (ЄС) 2018/2001);</w:t>
            </w:r>
          </w:p>
          <w:p w14:paraId="270298F4" w14:textId="77777777" w:rsidR="00B43B9E" w:rsidRPr="003864E7" w:rsidRDefault="00B43B9E">
            <w:pPr>
              <w:spacing w:after="0" w:line="240" w:lineRule="auto"/>
              <w:ind w:left="57" w:right="57"/>
              <w:jc w:val="both"/>
              <w:rPr>
                <w:rFonts w:ascii="Times New Roman" w:eastAsia="Times New Roman" w:hAnsi="Times New Roman" w:cs="Times New Roman"/>
              </w:rPr>
            </w:pPr>
          </w:p>
          <w:p w14:paraId="29B2888E"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Визначити чіткий перелік дій, необхідних для розвитку кожного із сегментів відновлюваної енергетики, що передбачені в такому Національному плані дій.</w:t>
            </w:r>
          </w:p>
          <w:p w14:paraId="412D871A"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1. Пропонується уникати в Національному плані дій декларативних формулювань, що не встановлюють чітких вимог до таких дій, наприклад,</w:t>
            </w:r>
          </w:p>
          <w:p w14:paraId="0AA4D048"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«створення сприятливих умов», «розширення міжнародного співробітництва», «популяризація», оскільки це значно знижує ефективність</w:t>
            </w:r>
          </w:p>
          <w:p w14:paraId="6FD719D8"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документу.</w:t>
            </w:r>
          </w:p>
          <w:p w14:paraId="2A075C72"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2. Пропонується зазначити чіткі кроки по досягненню встановлених короткострокових цілей.</w:t>
            </w:r>
          </w:p>
          <w:p w14:paraId="77724752"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3. Згідно Енергетичної стратегії «Частка прямих інвестицій з державного бюджету України у розвиток енергетичної інфраструктури не має перевищувати 5-10%, водночас прямі інвестиції з однієї країни не повинні сягати критичного рівня, що зумовлює потребу диверсифікації інвестицій.» У зв’язку з цим пропонується приділити більше уваги ринковим стимулам для залучення інвестицій.</w:t>
            </w:r>
          </w:p>
        </w:tc>
        <w:tc>
          <w:tcPr>
            <w:tcW w:w="3969" w:type="dxa"/>
            <w:tcBorders>
              <w:top w:val="single" w:sz="6" w:space="0" w:color="000000"/>
              <w:left w:val="single" w:sz="6" w:space="0" w:color="000000"/>
              <w:bottom w:val="single" w:sz="4" w:space="0" w:color="000000"/>
              <w:right w:val="single" w:sz="6" w:space="0" w:color="000000"/>
            </w:tcBorders>
          </w:tcPr>
          <w:p w14:paraId="762700AF"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Пропозиції до Плану заходів Цілі 4 Нормативно-правове та організаційне забезпечення розвитку відновлюваної енергетики</w:t>
            </w:r>
          </w:p>
        </w:tc>
        <w:tc>
          <w:tcPr>
            <w:tcW w:w="5812" w:type="dxa"/>
            <w:tcBorders>
              <w:top w:val="single" w:sz="6" w:space="0" w:color="000000"/>
              <w:left w:val="single" w:sz="6" w:space="0" w:color="000000"/>
              <w:bottom w:val="single" w:sz="4" w:space="0" w:color="000000"/>
              <w:right w:val="single" w:sz="6" w:space="0" w:color="000000"/>
            </w:tcBorders>
          </w:tcPr>
          <w:p w14:paraId="515228FE" w14:textId="77777777" w:rsidR="00B43B9E" w:rsidRPr="003864E7" w:rsidRDefault="00AF0BE5">
            <w:pP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57FB7602" w14:textId="77777777" w:rsidR="00B43B9E" w:rsidRPr="003864E7" w:rsidRDefault="00AF0BE5">
            <w:pP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План заходів містить пункти щодо розробки нових схем підтримки сфери відновлюваної енергетики, які грунтуються на принципах, зазначених у Директиві (ЄС) 2018/2001, адаптованих рішенням Ради Міністрів Енергетичного Співтовариства від 30 листопада 2021 року, зокрема:</w:t>
            </w:r>
          </w:p>
          <w:p w14:paraId="64EB0D7B" w14:textId="77777777" w:rsidR="00B43B9E" w:rsidRPr="003864E7" w:rsidRDefault="00AF0BE5">
            <w:pPr>
              <w:numPr>
                <w:ilvl w:val="0"/>
                <w:numId w:val="6"/>
              </w:numPr>
              <w:pBdr>
                <w:top w:val="nil"/>
                <w:left w:val="nil"/>
                <w:bottom w:val="nil"/>
                <w:right w:val="nil"/>
                <w:between w:val="nil"/>
              </w:pBdr>
              <w:spacing w:after="0" w:line="240" w:lineRule="auto"/>
              <w:ind w:right="57"/>
              <w:jc w:val="both"/>
              <w:rPr>
                <w:rFonts w:ascii="Times New Roman" w:hAnsi="Times New Roman" w:cs="Times New Roman"/>
                <w:color w:val="000000"/>
              </w:rPr>
            </w:pPr>
            <w:r w:rsidRPr="003864E7">
              <w:rPr>
                <w:rFonts w:ascii="Times New Roman" w:eastAsia="Times New Roman" w:hAnsi="Times New Roman" w:cs="Times New Roman"/>
                <w:color w:val="000000"/>
              </w:rPr>
              <w:t xml:space="preserve">супроводження у Верховній Раді України проекту Закону України «Про внесення змін до деяких законів України щодо стимулювання виробництва </w:t>
            </w:r>
            <w:r w:rsidRPr="003864E7">
              <w:rPr>
                <w:rFonts w:ascii="Times New Roman" w:eastAsia="Times New Roman" w:hAnsi="Times New Roman" w:cs="Times New Roman"/>
                <w:color w:val="000000"/>
              </w:rPr>
              <w:lastRenderedPageBreak/>
              <w:t>електричної енергії з альтернативних джерел енергії на ринкових засадах;</w:t>
            </w:r>
          </w:p>
          <w:p w14:paraId="287110F6" w14:textId="77777777" w:rsidR="00B43B9E" w:rsidRPr="003864E7" w:rsidRDefault="00AF0BE5">
            <w:pPr>
              <w:numPr>
                <w:ilvl w:val="0"/>
                <w:numId w:val="6"/>
              </w:numPr>
              <w:pBdr>
                <w:top w:val="nil"/>
                <w:left w:val="nil"/>
                <w:bottom w:val="nil"/>
                <w:right w:val="nil"/>
                <w:between w:val="nil"/>
              </w:pBdr>
              <w:spacing w:after="0" w:line="240" w:lineRule="auto"/>
              <w:ind w:right="57"/>
              <w:jc w:val="both"/>
              <w:rPr>
                <w:rFonts w:ascii="Times New Roman" w:hAnsi="Times New Roman" w:cs="Times New Roman"/>
                <w:color w:val="000000"/>
              </w:rPr>
            </w:pPr>
            <w:r w:rsidRPr="003864E7">
              <w:rPr>
                <w:rFonts w:ascii="Times New Roman" w:eastAsia="Times New Roman" w:hAnsi="Times New Roman" w:cs="Times New Roman"/>
                <w:color w:val="000000"/>
              </w:rPr>
              <w:t>розроблення та подання Кабінетові Міністрів України проекту Закону України щодо удосконалення умов підтримки виробництва електричної енергії з альтернативних джерел енергії генеруючими установками споживачів, у тому числі енергетичних кооперативів та приватних домогосподарств;</w:t>
            </w:r>
          </w:p>
          <w:p w14:paraId="14A468B7" w14:textId="77777777" w:rsidR="00B43B9E" w:rsidRPr="003864E7" w:rsidRDefault="00AF0BE5">
            <w:pPr>
              <w:numPr>
                <w:ilvl w:val="0"/>
                <w:numId w:val="6"/>
              </w:numPr>
              <w:pBdr>
                <w:top w:val="nil"/>
                <w:left w:val="nil"/>
                <w:bottom w:val="nil"/>
                <w:right w:val="nil"/>
                <w:between w:val="nil"/>
              </w:pBdr>
              <w:spacing w:after="0" w:line="240" w:lineRule="auto"/>
              <w:ind w:right="57"/>
              <w:jc w:val="both"/>
              <w:rPr>
                <w:rFonts w:ascii="Times New Roman" w:hAnsi="Times New Roman" w:cs="Times New Roman"/>
                <w:color w:val="000000"/>
              </w:rPr>
            </w:pPr>
            <w:r w:rsidRPr="003864E7">
              <w:rPr>
                <w:rFonts w:ascii="Times New Roman" w:eastAsia="Times New Roman" w:hAnsi="Times New Roman" w:cs="Times New Roman"/>
                <w:color w:val="000000"/>
              </w:rPr>
              <w:t>розроблення та подання Кабінетові Міністрів України законопроекту щодо розвитку виробництва електричної енергії з альтернативних джерел енергії на ринкових засадах без державної підтримки (Corporate PPA’s);</w:t>
            </w:r>
          </w:p>
          <w:p w14:paraId="0251E291" w14:textId="77777777" w:rsidR="00B43B9E" w:rsidRPr="003864E7" w:rsidRDefault="00AF0BE5">
            <w:pPr>
              <w:numPr>
                <w:ilvl w:val="0"/>
                <w:numId w:val="6"/>
              </w:numPr>
              <w:pBdr>
                <w:top w:val="nil"/>
                <w:left w:val="nil"/>
                <w:bottom w:val="nil"/>
                <w:right w:val="nil"/>
                <w:between w:val="nil"/>
              </w:pBdr>
              <w:spacing w:after="0" w:line="240" w:lineRule="auto"/>
              <w:ind w:right="57"/>
              <w:jc w:val="both"/>
              <w:rPr>
                <w:rFonts w:ascii="Times New Roman" w:hAnsi="Times New Roman" w:cs="Times New Roman"/>
                <w:color w:val="000000"/>
              </w:rPr>
            </w:pPr>
            <w:r w:rsidRPr="003864E7">
              <w:rPr>
                <w:rFonts w:ascii="Times New Roman" w:eastAsia="Times New Roman" w:hAnsi="Times New Roman" w:cs="Times New Roman"/>
                <w:color w:val="000000"/>
              </w:rPr>
              <w:t>розроблення та подання Кабінетові Міністрів України проекту Закону України «Про внесення змін до Закону України «Про теплопостачання» та інших законодавчих актів щодо впровадження конкуренції в системах централізованого теплопостачання;</w:t>
            </w:r>
          </w:p>
          <w:p w14:paraId="1A6D7CFD" w14:textId="77777777" w:rsidR="00B43B9E" w:rsidRPr="003864E7" w:rsidRDefault="00AF0BE5">
            <w:pPr>
              <w:numPr>
                <w:ilvl w:val="0"/>
                <w:numId w:val="6"/>
              </w:numPr>
              <w:pBdr>
                <w:top w:val="nil"/>
                <w:left w:val="nil"/>
                <w:bottom w:val="nil"/>
                <w:right w:val="nil"/>
                <w:between w:val="nil"/>
              </w:pBdr>
              <w:spacing w:after="0" w:line="240" w:lineRule="auto"/>
              <w:ind w:right="57"/>
              <w:jc w:val="both"/>
              <w:rPr>
                <w:rFonts w:ascii="Times New Roman" w:hAnsi="Times New Roman" w:cs="Times New Roman"/>
                <w:color w:val="000000"/>
              </w:rPr>
            </w:pPr>
            <w:r w:rsidRPr="003864E7">
              <w:rPr>
                <w:rFonts w:ascii="Times New Roman" w:eastAsia="Times New Roman" w:hAnsi="Times New Roman" w:cs="Times New Roman"/>
                <w:color w:val="000000"/>
              </w:rPr>
              <w:t>супроводження у Верховній Раді України проекту Закону України «Про внесення змін до деяких законодавчих актів України щодо обов'язковості використання рідкого біопалива (біокомпонентів) у галузі транспорту» (реєстр. № 3356-д від 05.11.2020)</w:t>
            </w:r>
          </w:p>
          <w:p w14:paraId="7560C51C" w14:textId="77777777" w:rsidR="00B43B9E" w:rsidRPr="003864E7" w:rsidRDefault="00AF0BE5">
            <w:pPr>
              <w:numPr>
                <w:ilvl w:val="0"/>
                <w:numId w:val="6"/>
              </w:numPr>
              <w:pBdr>
                <w:top w:val="nil"/>
                <w:left w:val="nil"/>
                <w:bottom w:val="nil"/>
                <w:right w:val="nil"/>
                <w:between w:val="nil"/>
              </w:pBdr>
              <w:spacing w:after="0" w:line="240" w:lineRule="auto"/>
              <w:ind w:right="57"/>
              <w:jc w:val="both"/>
              <w:rPr>
                <w:rFonts w:ascii="Times New Roman" w:hAnsi="Times New Roman" w:cs="Times New Roman"/>
                <w:color w:val="000000"/>
              </w:rPr>
            </w:pPr>
            <w:r w:rsidRPr="003864E7">
              <w:rPr>
                <w:rFonts w:ascii="Times New Roman" w:eastAsia="Times New Roman" w:hAnsi="Times New Roman" w:cs="Times New Roman"/>
                <w:color w:val="000000"/>
              </w:rPr>
              <w:t>розроблення та подання Кабінетові Міністрів України проекту Закону України щодо використання біометану як моторного палива, в т.ч. для громадського транспорту та сільськогосподарської техніки.</w:t>
            </w:r>
          </w:p>
          <w:p w14:paraId="1C76B3CB" w14:textId="77777777" w:rsidR="00B43B9E" w:rsidRPr="003864E7" w:rsidRDefault="00AF0BE5">
            <w:pP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Кожний пункт плану заходів має чіткі строки виконання та відповідальних виконавців.</w:t>
            </w:r>
          </w:p>
          <w:p w14:paraId="68BEA9DC" w14:textId="77777777" w:rsidR="00B43B9E" w:rsidRPr="003864E7" w:rsidRDefault="00B43B9E">
            <w:pPr>
              <w:spacing w:after="0" w:line="240" w:lineRule="auto"/>
              <w:ind w:left="57" w:right="57"/>
              <w:jc w:val="both"/>
              <w:rPr>
                <w:rFonts w:ascii="Times New Roman" w:eastAsia="Times New Roman" w:hAnsi="Times New Roman" w:cs="Times New Roman"/>
                <w:color w:val="000000"/>
              </w:rPr>
            </w:pPr>
          </w:p>
          <w:p w14:paraId="75874C30" w14:textId="77777777" w:rsidR="00B43B9E" w:rsidRPr="003864E7" w:rsidRDefault="00B43B9E">
            <w:pPr>
              <w:spacing w:after="0" w:line="240" w:lineRule="auto"/>
              <w:ind w:left="57" w:right="57"/>
              <w:jc w:val="both"/>
              <w:rPr>
                <w:rFonts w:ascii="Times New Roman" w:eastAsia="Times New Roman" w:hAnsi="Times New Roman" w:cs="Times New Roman"/>
                <w:color w:val="000000"/>
              </w:rPr>
            </w:pPr>
          </w:p>
        </w:tc>
      </w:tr>
      <w:tr w:rsidR="00B43B9E" w:rsidRPr="003864E7" w14:paraId="3A943F67" w14:textId="77777777">
        <w:trPr>
          <w:trHeight w:val="382"/>
        </w:trPr>
        <w:tc>
          <w:tcPr>
            <w:tcW w:w="15294" w:type="dxa"/>
            <w:gridSpan w:val="3"/>
            <w:tcBorders>
              <w:top w:val="single" w:sz="6" w:space="0" w:color="000000"/>
              <w:left w:val="single" w:sz="6" w:space="0" w:color="000000"/>
              <w:bottom w:val="single" w:sz="4" w:space="0" w:color="000000"/>
              <w:right w:val="single" w:sz="6" w:space="0" w:color="000000"/>
            </w:tcBorders>
          </w:tcPr>
          <w:p w14:paraId="4D93CFB5" w14:textId="77777777" w:rsidR="00B43B9E" w:rsidRPr="003864E7" w:rsidRDefault="00AF0BE5">
            <w:pPr>
              <w:pBdr>
                <w:top w:val="nil"/>
                <w:left w:val="nil"/>
                <w:bottom w:val="nil"/>
                <w:right w:val="nil"/>
                <w:between w:val="nil"/>
              </w:pBdr>
              <w:spacing w:after="0" w:line="240" w:lineRule="auto"/>
              <w:ind w:left="57" w:right="57"/>
              <w:jc w:val="center"/>
              <w:rPr>
                <w:rFonts w:ascii="Times New Roman" w:eastAsia="Times New Roman" w:hAnsi="Times New Roman" w:cs="Times New Roman"/>
                <w:color w:val="000000"/>
              </w:rPr>
            </w:pPr>
            <w:r w:rsidRPr="003864E7">
              <w:rPr>
                <w:rFonts w:ascii="Times New Roman" w:eastAsia="Times New Roman" w:hAnsi="Times New Roman" w:cs="Times New Roman"/>
                <w:b/>
                <w:color w:val="000000"/>
              </w:rPr>
              <w:t>ПрАТ «НЕК» Укренерго»</w:t>
            </w:r>
          </w:p>
        </w:tc>
      </w:tr>
    </w:tbl>
    <w:tbl>
      <w:tblPr>
        <w:tblStyle w:val="afffffff"/>
        <w:tblW w:w="15324" w:type="dxa"/>
        <w:tblInd w:w="-30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43"/>
        <w:gridCol w:w="3969"/>
        <w:gridCol w:w="5812"/>
      </w:tblGrid>
      <w:tr w:rsidR="00B43B9E" w:rsidRPr="003864E7" w14:paraId="29647C00"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15899AC7"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 xml:space="preserve">У Плані (Ціль 1. Розвиток електроенергетичної сфери) орієнтовний обсяг фінансування повинен враховувати балансуючі потужності, необхідні для інтеграції об'єктів відновлюваної елеюроенергетики в енергосистему, а саме високоманеврену потужність з </w:t>
            </w:r>
            <w:r w:rsidRPr="003864E7">
              <w:rPr>
                <w:rFonts w:ascii="Times New Roman" w:eastAsia="Times New Roman" w:hAnsi="Times New Roman" w:cs="Times New Roman"/>
              </w:rPr>
              <w:lastRenderedPageBreak/>
              <w:t>можливістю швидкого запуску і системи накопичення енергії та складати 279 009 500 тис. грн.</w:t>
            </w:r>
          </w:p>
        </w:tc>
        <w:tc>
          <w:tcPr>
            <w:tcW w:w="3969" w:type="dxa"/>
            <w:tcBorders>
              <w:top w:val="single" w:sz="6" w:space="0" w:color="000000"/>
              <w:left w:val="single" w:sz="6" w:space="0" w:color="000000"/>
              <w:bottom w:val="single" w:sz="6" w:space="0" w:color="000000"/>
              <w:right w:val="single" w:sz="6" w:space="0" w:color="000000"/>
            </w:tcBorders>
          </w:tcPr>
          <w:p w14:paraId="5B037D76" w14:textId="77777777" w:rsidR="00B43B9E" w:rsidRPr="003864E7" w:rsidRDefault="00AF0BE5">
            <w:pPr>
              <w:shd w:val="clear" w:color="auto" w:fill="FFFFFF"/>
              <w:spacing w:after="0" w:line="240" w:lineRule="auto"/>
              <w:ind w:left="57" w:right="57"/>
              <w:jc w:val="center"/>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ПЛАН ЗАХОДІВ</w:t>
            </w:r>
            <w:r w:rsidRPr="003864E7">
              <w:rPr>
                <w:rFonts w:ascii="Times New Roman" w:eastAsia="Times New Roman" w:hAnsi="Times New Roman" w:cs="Times New Roman"/>
                <w:color w:val="000000"/>
              </w:rPr>
              <w:br/>
              <w:t>з реалізації Національного плану дій з розвитку відновлюваної енергетики на період до 2030 року</w:t>
            </w:r>
          </w:p>
          <w:p w14:paraId="2FF10869" w14:textId="77777777" w:rsidR="00B43B9E" w:rsidRPr="003864E7" w:rsidRDefault="00B43B9E">
            <w:pPr>
              <w:shd w:val="clear" w:color="auto" w:fill="FFFFFF"/>
              <w:spacing w:after="0" w:line="240" w:lineRule="auto"/>
              <w:ind w:left="57" w:right="57"/>
              <w:jc w:val="center"/>
              <w:rPr>
                <w:rFonts w:ascii="Times New Roman" w:eastAsia="Times New Roman" w:hAnsi="Times New Roman" w:cs="Times New Roman"/>
                <w:color w:val="000000"/>
              </w:rPr>
            </w:pPr>
          </w:p>
          <w:p w14:paraId="4CDC773D" w14:textId="77777777" w:rsidR="00B43B9E" w:rsidRPr="003864E7" w:rsidRDefault="00AF0BE5">
            <w:pPr>
              <w:shd w:val="clear" w:color="auto" w:fill="FFFFFF"/>
              <w:spacing w:after="0" w:line="240" w:lineRule="auto"/>
              <w:ind w:left="57" w:right="57"/>
              <w:jc w:val="center"/>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Ціль 1. Розвиток електроенергетичної сфери</w:t>
            </w:r>
          </w:p>
          <w:p w14:paraId="40D749DC"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Розвиток електрогенеруючих потужностей.</w:t>
            </w:r>
          </w:p>
          <w:p w14:paraId="1E394993"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Орієнтовний обсяг фінансування - 234 965 500 тис. гривень</w:t>
            </w:r>
          </w:p>
        </w:tc>
        <w:tc>
          <w:tcPr>
            <w:tcW w:w="5812" w:type="dxa"/>
            <w:tcBorders>
              <w:top w:val="single" w:sz="6" w:space="0" w:color="000000"/>
              <w:left w:val="single" w:sz="6" w:space="0" w:color="000000"/>
              <w:bottom w:val="single" w:sz="6" w:space="0" w:color="000000"/>
              <w:right w:val="single" w:sz="6" w:space="0" w:color="000000"/>
            </w:tcBorders>
          </w:tcPr>
          <w:p w14:paraId="16C85F47"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 xml:space="preserve">Враховано </w:t>
            </w:r>
          </w:p>
          <w:p w14:paraId="1FFBD63A" w14:textId="77777777" w:rsidR="00B43B9E" w:rsidRPr="003864E7" w:rsidRDefault="00AF0BE5">
            <w:pPr>
              <w:shd w:val="clear" w:color="auto" w:fill="FFFFFF"/>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Ціль 1. Розвиток електроенергетичної сфери</w:t>
            </w:r>
          </w:p>
          <w:p w14:paraId="1B5621B9"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Розвиток електрогенеруючих потужностей.</w:t>
            </w:r>
          </w:p>
          <w:p w14:paraId="525887F4"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Орієнтовний обсяг фінансування - 279 009 500 тис. гривень</w:t>
            </w:r>
          </w:p>
        </w:tc>
      </w:tr>
      <w:tr w:rsidR="00B43B9E" w:rsidRPr="003864E7" w14:paraId="3DAD8731"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0EF5D61B"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по тексту проекту розпорядження терміни «маневровий» та «високоманевровий» у відповідних відмінках замінити на: «маневрений» та «високоманеврений» у відповідних відмінках.</w:t>
            </w:r>
          </w:p>
          <w:p w14:paraId="082395F1"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Термін «маневреність» наведено в ГКД 34.25.503-96 «Маневреність енергоблоків 3 конденсаційними турбінами. Технічні вимоги».</w:t>
            </w:r>
          </w:p>
          <w:p w14:paraId="583BE0A4" w14:textId="77777777" w:rsidR="00B43B9E" w:rsidRPr="003864E7" w:rsidRDefault="00B43B9E">
            <w:pPr>
              <w:spacing w:after="0" w:line="240" w:lineRule="auto"/>
              <w:ind w:left="57" w:right="57" w:firstLine="567"/>
              <w:jc w:val="both"/>
              <w:rPr>
                <w:rFonts w:ascii="Times New Roman" w:eastAsia="Times New Roman" w:hAnsi="Times New Roman" w:cs="Times New Roman"/>
              </w:rPr>
            </w:pPr>
          </w:p>
        </w:tc>
        <w:tc>
          <w:tcPr>
            <w:tcW w:w="3969" w:type="dxa"/>
            <w:tcBorders>
              <w:top w:val="single" w:sz="6" w:space="0" w:color="000000"/>
              <w:left w:val="single" w:sz="6" w:space="0" w:color="000000"/>
              <w:bottom w:val="single" w:sz="6" w:space="0" w:color="000000"/>
              <w:right w:val="single" w:sz="6" w:space="0" w:color="000000"/>
            </w:tcBorders>
          </w:tcPr>
          <w:p w14:paraId="0C25E639"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Загальна пропозиція до проекту НПДВЕ 2030 </w:t>
            </w:r>
          </w:p>
        </w:tc>
        <w:tc>
          <w:tcPr>
            <w:tcW w:w="5812" w:type="dxa"/>
            <w:tcBorders>
              <w:top w:val="single" w:sz="6" w:space="0" w:color="000000"/>
              <w:left w:val="single" w:sz="6" w:space="0" w:color="000000"/>
              <w:bottom w:val="single" w:sz="6" w:space="0" w:color="000000"/>
              <w:right w:val="single" w:sz="6" w:space="0" w:color="000000"/>
            </w:tcBorders>
          </w:tcPr>
          <w:p w14:paraId="24FDC8BD"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Враховано </w:t>
            </w:r>
          </w:p>
          <w:p w14:paraId="370ABEB2" w14:textId="77777777" w:rsidR="00B43B9E" w:rsidRPr="003864E7" w:rsidRDefault="00AF0BE5">
            <w:pP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rPr>
              <w:t xml:space="preserve">По тексту проекту НПДВЕ 2030 слова </w:t>
            </w:r>
            <w:r w:rsidRPr="003864E7">
              <w:rPr>
                <w:rFonts w:ascii="Times New Roman" w:eastAsia="Times New Roman" w:hAnsi="Times New Roman" w:cs="Times New Roman"/>
                <w:color w:val="000000"/>
              </w:rPr>
              <w:t>«маневровий» та «високоманевровий» у відповідних відмінках замінено на: «маневрений» та «високоманеврений» у відповідних відмінках.</w:t>
            </w:r>
          </w:p>
          <w:p w14:paraId="324289CF"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3860CF2D"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45283718"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У Плані заходів таблиці</w:t>
            </w:r>
            <w:r w:rsidRPr="003864E7">
              <w:rPr>
                <w:rFonts w:ascii="Times New Roman" w:eastAsia="Times New Roman" w:hAnsi="Times New Roman" w:cs="Times New Roman"/>
              </w:rPr>
              <w:t xml:space="preserve"> </w:t>
            </w:r>
            <w:r w:rsidRPr="003864E7">
              <w:rPr>
                <w:rFonts w:ascii="Times New Roman" w:eastAsia="Times New Roman" w:hAnsi="Times New Roman" w:cs="Times New Roman"/>
                <w:color w:val="000000"/>
              </w:rPr>
              <w:t>Ціль 1. Розвиток електроенергетичної сфери дві виноски мають однакові позначення - «*»: «Орієнтовний обсяг фінансування*» та «інші джерела*».</w:t>
            </w:r>
          </w:p>
          <w:p w14:paraId="32D67AD2"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Однак, визначення - тільки «інші джерела*».</w:t>
            </w:r>
          </w:p>
          <w:p w14:paraId="6932A1BA"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Пропозиції: - додати визначення виносці - «Орієнтовний обсяг фінансування*» (зазначити яким чином буде забезпечуватись це фінансування) та змінити її позначення;</w:t>
            </w:r>
          </w:p>
          <w:p w14:paraId="56735BCC" w14:textId="77777777" w:rsidR="00B43B9E" w:rsidRPr="003864E7" w:rsidRDefault="00B43B9E">
            <w:pPr>
              <w:spacing w:after="0" w:line="240" w:lineRule="auto"/>
              <w:ind w:left="57" w:right="57" w:firstLine="567"/>
              <w:jc w:val="both"/>
              <w:rPr>
                <w:rFonts w:ascii="Times New Roman" w:eastAsia="Times New Roman" w:hAnsi="Times New Roman" w:cs="Times New Roman"/>
              </w:rPr>
            </w:pPr>
          </w:p>
        </w:tc>
        <w:tc>
          <w:tcPr>
            <w:tcW w:w="3969" w:type="dxa"/>
            <w:tcBorders>
              <w:top w:val="single" w:sz="6" w:space="0" w:color="000000"/>
              <w:left w:val="single" w:sz="6" w:space="0" w:color="000000"/>
              <w:bottom w:val="single" w:sz="6" w:space="0" w:color="000000"/>
              <w:right w:val="single" w:sz="6" w:space="0" w:color="000000"/>
            </w:tcBorders>
          </w:tcPr>
          <w:p w14:paraId="22958B49" w14:textId="77777777" w:rsidR="00B43B9E" w:rsidRPr="003864E7" w:rsidRDefault="00AF0BE5">
            <w:pPr>
              <w:shd w:val="clear" w:color="auto" w:fill="FFFFFF"/>
              <w:spacing w:after="0" w:line="240" w:lineRule="auto"/>
              <w:ind w:left="57" w:right="57"/>
              <w:jc w:val="center"/>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Таблиця Ціль 1. Розвиток електроенергетичної сфери Плау заходів проекту НПДВЕ 2030 </w:t>
            </w:r>
          </w:p>
          <w:p w14:paraId="5E0D31C1"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дві виноски мають однакові позначення - «*»: «Орієнтовний обсяг фінансування*» та «інші джерела*».</w:t>
            </w:r>
          </w:p>
          <w:p w14:paraId="3B3AA8D5" w14:textId="77777777" w:rsidR="00B43B9E" w:rsidRPr="003864E7" w:rsidRDefault="00B43B9E">
            <w:pPr>
              <w:shd w:val="clear" w:color="auto" w:fill="FFFFFF"/>
              <w:spacing w:after="0" w:line="240" w:lineRule="auto"/>
              <w:ind w:left="57" w:right="57"/>
              <w:jc w:val="center"/>
              <w:rPr>
                <w:rFonts w:ascii="Times New Roman" w:eastAsia="Times New Roman" w:hAnsi="Times New Roman" w:cs="Times New Roman"/>
                <w:color w:val="000000"/>
              </w:rPr>
            </w:pPr>
          </w:p>
          <w:p w14:paraId="546BC68C" w14:textId="77777777" w:rsidR="00B43B9E" w:rsidRPr="003864E7" w:rsidRDefault="00B43B9E">
            <w:pPr>
              <w:spacing w:after="0" w:line="240" w:lineRule="auto"/>
              <w:ind w:left="57" w:right="57"/>
              <w:rPr>
                <w:rFonts w:ascii="Times New Roman" w:eastAsia="Times New Roman" w:hAnsi="Times New Roman" w:cs="Times New Roman"/>
                <w:color w:val="000000"/>
              </w:rPr>
            </w:pPr>
          </w:p>
        </w:tc>
        <w:tc>
          <w:tcPr>
            <w:tcW w:w="5812" w:type="dxa"/>
            <w:tcBorders>
              <w:top w:val="single" w:sz="6" w:space="0" w:color="000000"/>
              <w:left w:val="single" w:sz="6" w:space="0" w:color="000000"/>
              <w:bottom w:val="single" w:sz="6" w:space="0" w:color="000000"/>
              <w:right w:val="single" w:sz="6" w:space="0" w:color="000000"/>
            </w:tcBorders>
          </w:tcPr>
          <w:p w14:paraId="45ACDA87"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13483594" w14:textId="77777777" w:rsidR="00B43B9E" w:rsidRPr="003864E7" w:rsidRDefault="00AF0BE5">
            <w:pP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rPr>
              <w:t>В Плані заходів таблиці Ціль 1</w:t>
            </w:r>
            <w:r w:rsidRPr="003864E7">
              <w:rPr>
                <w:rFonts w:ascii="Times New Roman" w:eastAsia="Times New Roman" w:hAnsi="Times New Roman" w:cs="Times New Roman"/>
                <w:color w:val="000000"/>
              </w:rPr>
              <w:t xml:space="preserve"> Розвиток електроенергетичної сфери встановлено лише одну виноску: «інші джерела*»</w:t>
            </w:r>
          </w:p>
          <w:p w14:paraId="543C1BA6" w14:textId="77777777" w:rsidR="00B43B9E" w:rsidRPr="003864E7" w:rsidRDefault="00AF0BE5">
            <w:pP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333333"/>
              </w:rPr>
              <w:t>_________________</w:t>
            </w:r>
          </w:p>
          <w:p w14:paraId="20FD8194"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333333"/>
              </w:rPr>
              <w:t>* Під іншими джерелами розуміються кошти інвесторів або залучені кредитні ресурси.</w:t>
            </w:r>
          </w:p>
        </w:tc>
      </w:tr>
    </w:tbl>
    <w:tbl>
      <w:tblPr>
        <w:tblStyle w:val="afffffff0"/>
        <w:tblW w:w="15273" w:type="dxa"/>
        <w:tblInd w:w="-27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13"/>
        <w:gridCol w:w="3969"/>
        <w:gridCol w:w="5791"/>
      </w:tblGrid>
      <w:tr w:rsidR="00B43B9E" w:rsidRPr="003864E7" w14:paraId="2C0C6A7C"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06A92CD9"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Значні обсяги фінансування ВДЕ за рахунок коштів інвесторів та кредитних коштів - понад 279 млрд грн в розвиток електрогенеруючих потужностей та 362 млрд грн в розвиток теплогенеруючих потужностей може призвести до високих темпів зростання тарифів на теплову та електричну енергію для кінцевого споживача. Наразі проект Національного плану дій з розвитку відновлюваної енергетики на період до 2030 року не містить результатів таких розрахунків, а в п. 5. «Фінансово-економічне обґрунтування» пояснювальної записки до нього лише зазначено, що прийняття проекту розпорядження не потребує </w:t>
            </w:r>
            <w:r w:rsidRPr="003864E7">
              <w:rPr>
                <w:rFonts w:ascii="Times New Roman" w:eastAsia="Times New Roman" w:hAnsi="Times New Roman" w:cs="Times New Roman"/>
                <w:color w:val="000000"/>
              </w:rPr>
              <w:lastRenderedPageBreak/>
              <w:t>додаткових витрат з державного та місцевого бюджетів.</w:t>
            </w:r>
          </w:p>
          <w:p w14:paraId="232A30B7"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color w:val="000000"/>
              </w:rPr>
              <w:t>Пропозиція у проекті розпорядження надати розрахунок темпів зростання тарифів на передачу та для кінцевих споживачів електроенергії і тепла з метою уникнення ризику кризи неплатежів в електроенергетичному секторі.</w:t>
            </w:r>
          </w:p>
        </w:tc>
        <w:tc>
          <w:tcPr>
            <w:tcW w:w="3969" w:type="dxa"/>
            <w:tcBorders>
              <w:top w:val="single" w:sz="6" w:space="0" w:color="000000"/>
              <w:left w:val="single" w:sz="6" w:space="0" w:color="000000"/>
              <w:bottom w:val="single" w:sz="6" w:space="0" w:color="000000"/>
              <w:right w:val="single" w:sz="6" w:space="0" w:color="000000"/>
            </w:tcBorders>
          </w:tcPr>
          <w:p w14:paraId="249B9295"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Загальна пропозиція до проєкту НПД ВЕ2030</w:t>
            </w:r>
          </w:p>
        </w:tc>
        <w:tc>
          <w:tcPr>
            <w:tcW w:w="5791" w:type="dxa"/>
            <w:tcBorders>
              <w:top w:val="single" w:sz="6" w:space="0" w:color="000000"/>
              <w:left w:val="single" w:sz="6" w:space="0" w:color="000000"/>
              <w:bottom w:val="single" w:sz="6" w:space="0" w:color="000000"/>
              <w:right w:val="single" w:sz="6" w:space="0" w:color="000000"/>
            </w:tcBorders>
          </w:tcPr>
          <w:p w14:paraId="7F53172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31ABEF69"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Будівництво об’єктів відновлюваної енергетики передбачено за рахунок коштів інвесторів. Збільшення обсягів потужностей, на які буде розповсюджуватися державна підтримка здійснюватиметься за квотами, які будуть визначатися Кабінетом Міністрів України відповідно до діючого законодавства щодо запровадження аукціонної системи підтримки. Збільшення обсягів потужностей, які продаватимуть електричну енергію за ринковими цінами збільшить конкуренцію та ринку електроенергії та не призведуть до збільшення тарифів для кінцевих споживачів. Крім того, об’єднання з енергетичною системою континентальної </w:t>
            </w:r>
            <w:r w:rsidRPr="003864E7">
              <w:rPr>
                <w:rFonts w:ascii="Times New Roman" w:eastAsia="Times New Roman" w:hAnsi="Times New Roman" w:cs="Times New Roman"/>
                <w:color w:val="000000"/>
              </w:rPr>
              <w:lastRenderedPageBreak/>
              <w:t>Європи,  яка орієнтована на екологізацію та зменшення викидів парникових газів, та набуття ПрАТ «НЕК» Укренерго» статусу спостерігача в ENTSO-E  створило передумови для імпорту «зеленої» електроенергії до країн Євросоюзу.</w:t>
            </w:r>
          </w:p>
        </w:tc>
      </w:tr>
    </w:tbl>
    <w:tbl>
      <w:tblPr>
        <w:tblStyle w:val="afffffff1"/>
        <w:tblW w:w="15324" w:type="dxa"/>
        <w:tblInd w:w="-30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15324"/>
      </w:tblGrid>
      <w:tr w:rsidR="00B43B9E" w:rsidRPr="003864E7" w14:paraId="7E1A6CA6" w14:textId="77777777">
        <w:tc>
          <w:tcPr>
            <w:tcW w:w="15324" w:type="dxa"/>
            <w:tcBorders>
              <w:top w:val="single" w:sz="6" w:space="0" w:color="000000"/>
              <w:left w:val="single" w:sz="6" w:space="0" w:color="000000"/>
              <w:bottom w:val="single" w:sz="6" w:space="0" w:color="000000"/>
              <w:right w:val="single" w:sz="6" w:space="0" w:color="000000"/>
            </w:tcBorders>
          </w:tcPr>
          <w:p w14:paraId="72994C8B" w14:textId="77777777" w:rsidR="00B43B9E" w:rsidRPr="003864E7" w:rsidRDefault="00AF0BE5">
            <w:pPr>
              <w:pBdr>
                <w:top w:val="nil"/>
                <w:left w:val="nil"/>
                <w:bottom w:val="nil"/>
                <w:right w:val="nil"/>
                <w:between w:val="nil"/>
              </w:pBdr>
              <w:spacing w:after="0" w:line="240" w:lineRule="auto"/>
              <w:ind w:left="57" w:right="57" w:firstLine="558"/>
              <w:jc w:val="center"/>
              <w:rPr>
                <w:rFonts w:ascii="Times New Roman" w:eastAsia="Times New Roman" w:hAnsi="Times New Roman" w:cs="Times New Roman"/>
                <w:color w:val="000000"/>
              </w:rPr>
            </w:pPr>
            <w:r w:rsidRPr="003864E7">
              <w:rPr>
                <w:rFonts w:ascii="Times New Roman" w:eastAsia="Times New Roman" w:hAnsi="Times New Roman" w:cs="Times New Roman"/>
                <w:b/>
                <w:color w:val="000000"/>
              </w:rPr>
              <w:t>Громадська Рада Держенергоефективності</w:t>
            </w:r>
          </w:p>
        </w:tc>
      </w:tr>
    </w:tbl>
    <w:tbl>
      <w:tblPr>
        <w:tblStyle w:val="afffffff2"/>
        <w:tblW w:w="15294" w:type="dxa"/>
        <w:tblInd w:w="-27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13"/>
        <w:gridCol w:w="3969"/>
        <w:gridCol w:w="5812"/>
      </w:tblGrid>
      <w:tr w:rsidR="00B43B9E" w:rsidRPr="003864E7" w14:paraId="318DE9F7"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2F80BA45"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30 листопада 2021 року Секретаріатом Енергетичного Співтовариства, Рішенням 2021/14/МС-ЕпС було прийнято та адаптовано Регламент 2018/1999 про врядування.</w:t>
            </w:r>
          </w:p>
          <w:p w14:paraId="7876A5E8"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Регламент встановлює загальні правила планування, звітності та моніторингу щодо енергетичної та кліматичної політики та цілей. Наразі, заплановані показники з розвитку відновлюваних джерел енергії не відповідають цілям заміщення вугільної генерації відновлюваними джерелами енергії. Таким чином, вважаємо за необхідне привести ціль по відновлюваній енергетиці у відповідності до синхронізації з Європейськими цілями та досягнути частки у розмірі не менше 30% для ВДЕ в енергетичному міксі України до 2030 року, за рахунок пропорційного збільшення встановлених потужностей генерації електроенергії з сонця та вітру, що є найдешевшими технологіями виробництва чистої електроенергії.</w:t>
            </w:r>
          </w:p>
        </w:tc>
        <w:tc>
          <w:tcPr>
            <w:tcW w:w="3969" w:type="dxa"/>
            <w:tcBorders>
              <w:top w:val="single" w:sz="6" w:space="0" w:color="000000"/>
              <w:left w:val="single" w:sz="6" w:space="0" w:color="000000"/>
              <w:bottom w:val="single" w:sz="6" w:space="0" w:color="000000"/>
              <w:right w:val="single" w:sz="6" w:space="0" w:color="000000"/>
            </w:tcBorders>
          </w:tcPr>
          <w:p w14:paraId="7AC7A200"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Абзац на ст.3  Вступу</w:t>
            </w:r>
          </w:p>
          <w:p w14:paraId="579EC96B"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 «Цей Національний план дій визначає, що частка енергоносіїв, вироблених з відновлюваних джерел енергії, у структурі загального кінцевого енергоспоживання має становити не менше як 27 % у 2030 році.»</w:t>
            </w:r>
          </w:p>
          <w:p w14:paraId="01A1EB9C"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tc>
        <w:tc>
          <w:tcPr>
            <w:tcW w:w="5812" w:type="dxa"/>
            <w:tcBorders>
              <w:top w:val="single" w:sz="6" w:space="0" w:color="000000"/>
              <w:left w:val="single" w:sz="6" w:space="0" w:color="000000"/>
              <w:bottom w:val="single" w:sz="6" w:space="0" w:color="000000"/>
              <w:right w:val="single" w:sz="6" w:space="0" w:color="000000"/>
            </w:tcBorders>
          </w:tcPr>
          <w:p w14:paraId="3BD87C11"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7B1C5B16"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Цілі Проекту НПДВЕ 2030 в розмірі 27% енергії з відновлюваних джерел енергії в кінцевому енергоспоживанні погоджено з Міненерго, а також було узгоджено на засіданнях Робочих груп з розробки НПДВЕ 2030.</w:t>
            </w:r>
          </w:p>
          <w:p w14:paraId="09DF482B"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Крім того, зазначена Громадською радою пропозиція щодо збільшення цілей НПДВЕ 2030 є декларативною, та не містить будь яких економічних та технічних обґрунтувань щодо можливості її досягнення.</w:t>
            </w:r>
          </w:p>
          <w:p w14:paraId="55E03FC2"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rPr>
            </w:pPr>
          </w:p>
          <w:p w14:paraId="16FAE0C7"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6647D1F0"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2C5580FF"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Визначити довгостроковий характер розвитку водневої енергетики в Україні - після 2030 року. Зважаючи на той факт, що зобов’язання України щодо виплати feed-in-tariff інвесторам у зелену генерацію закінчується у 2030 році, доцільно розглядати активну фазу розвитку генерації зеленого водню після цього періоду. За інших обставин, розвиток нової енергетичної галузі з використанням зеленої електроенергії є економічно неефективним. </w:t>
            </w:r>
          </w:p>
          <w:p w14:paraId="67428F6D"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Прийняти до уваги великі обсяги використання води, необхідної для виробництва зеленого водню шляхом </w:t>
            </w:r>
            <w:r w:rsidRPr="003864E7">
              <w:rPr>
                <w:rFonts w:ascii="Times New Roman" w:eastAsia="Times New Roman" w:hAnsi="Times New Roman" w:cs="Times New Roman"/>
              </w:rPr>
              <w:lastRenderedPageBreak/>
              <w:t>електролізу та, у зв'язку з цим, про статус України, як маловодної країни, що є обмежувальним фактором для налагодження повномасштабного виробництва.</w:t>
            </w:r>
          </w:p>
        </w:tc>
        <w:tc>
          <w:tcPr>
            <w:tcW w:w="3969" w:type="dxa"/>
            <w:tcBorders>
              <w:top w:val="single" w:sz="6" w:space="0" w:color="000000"/>
              <w:left w:val="single" w:sz="6" w:space="0" w:color="000000"/>
              <w:bottom w:val="single" w:sz="6" w:space="0" w:color="000000"/>
              <w:right w:val="single" w:sz="6" w:space="0" w:color="000000"/>
            </w:tcBorders>
          </w:tcPr>
          <w:p w14:paraId="7F852BCD"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 xml:space="preserve">Пропозиції до підрозділу «Зелений» водень </w:t>
            </w:r>
          </w:p>
        </w:tc>
        <w:tc>
          <w:tcPr>
            <w:tcW w:w="5812" w:type="dxa"/>
            <w:tcBorders>
              <w:top w:val="single" w:sz="6" w:space="0" w:color="000000"/>
              <w:left w:val="single" w:sz="6" w:space="0" w:color="000000"/>
              <w:bottom w:val="single" w:sz="6" w:space="0" w:color="000000"/>
              <w:right w:val="single" w:sz="6" w:space="0" w:color="000000"/>
            </w:tcBorders>
          </w:tcPr>
          <w:p w14:paraId="32EE4432"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79BAFB37"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З метою розвитку водневої енергетики передбачається розробка Міненерго проекту </w:t>
            </w:r>
            <w:r w:rsidRPr="003864E7">
              <w:rPr>
                <w:rFonts w:ascii="Times New Roman" w:eastAsia="Times New Roman" w:hAnsi="Times New Roman" w:cs="Times New Roman"/>
                <w:color w:val="202124"/>
              </w:rPr>
              <w:t>Водневої стратегії</w:t>
            </w:r>
            <w:r w:rsidRPr="003864E7">
              <w:rPr>
                <w:rFonts w:ascii="Times New Roman" w:eastAsia="Times New Roman" w:hAnsi="Times New Roman" w:cs="Times New Roman"/>
              </w:rPr>
              <w:t>, яким буде визначено цілі, показники, плани розвитку водневої енергетики до 2030 року, а також окреслено орієнтири до 2050 року, а також необхідні заходи для реалізації.</w:t>
            </w:r>
          </w:p>
          <w:p w14:paraId="15447102"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p w14:paraId="7DB00F4C"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Показники проекту НПДВЕ 2030 погоджено з Міненерго, а також були узгоджені на засіданнях Робочої групи з розробки НПДВЕ 2030. </w:t>
            </w:r>
          </w:p>
        </w:tc>
      </w:tr>
      <w:tr w:rsidR="00B43B9E" w:rsidRPr="003864E7" w14:paraId="6CA45F85"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6C4DE3CA"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Критерієм сталості є пріоритет розвитку енергетичних технологій. Відповідно, Державна підтримка біоенергетики, в першу чергу, повинна стимулювати утилізацію агровідходів та побутових органічних відходів (для біогазу), а також створення сприятливих умов використання біоенергетичних потужностей в першу чергу для балансування інших відновлюваних джерел енергії.</w:t>
            </w:r>
          </w:p>
          <w:p w14:paraId="0328A30A"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У жовтні минулого року Європейське екологічне бюро презентувало настанови екологічних стандартів до енергетичних технологій. Згідно із настановами, очікується, що біоенергетика з посівами енергетичних культур має найбільшу величину навантаження на землекористування, вищий тільки у деяких дамб гідроелектростанцій. Вважаємо, що даний напрямок не може бути пріоритетним у розвитку біоенергетики, адже вибір лісових відходів та відходів деревообробної промисловості значно знизить тиск на орні землі, викликаний вирощуванням біомаси.</w:t>
            </w:r>
          </w:p>
          <w:p w14:paraId="4903646A"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Окрім того, за викидами SOx тверда біомаса входить до числа брудних технологій виробництва енергії, демонструючи навіть вищі викиди твердих частинок РМ, ніж вугілля, що вказує на важливість визначення критеріїв сталості для розвитку цього виду енергії.</w:t>
            </w:r>
          </w:p>
        </w:tc>
        <w:tc>
          <w:tcPr>
            <w:tcW w:w="3969" w:type="dxa"/>
            <w:tcBorders>
              <w:top w:val="single" w:sz="6" w:space="0" w:color="000000"/>
              <w:left w:val="single" w:sz="6" w:space="0" w:color="000000"/>
              <w:bottom w:val="single" w:sz="6" w:space="0" w:color="000000"/>
              <w:right w:val="single" w:sz="6" w:space="0" w:color="000000"/>
            </w:tcBorders>
          </w:tcPr>
          <w:p w14:paraId="22300FAD"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Пропозиції до проекту НПДВЕ 2030</w:t>
            </w:r>
          </w:p>
        </w:tc>
        <w:tc>
          <w:tcPr>
            <w:tcW w:w="5812" w:type="dxa"/>
            <w:tcBorders>
              <w:top w:val="single" w:sz="6" w:space="0" w:color="000000"/>
              <w:left w:val="single" w:sz="6" w:space="0" w:color="000000"/>
              <w:bottom w:val="single" w:sz="6" w:space="0" w:color="000000"/>
              <w:right w:val="single" w:sz="6" w:space="0" w:color="000000"/>
            </w:tcBorders>
          </w:tcPr>
          <w:p w14:paraId="28D6302C"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3C02D709" w14:textId="77777777" w:rsidR="00B43B9E" w:rsidRPr="003864E7" w:rsidRDefault="00AF0BE5">
            <w:pPr>
              <w:shd w:val="clear" w:color="auto" w:fill="FFFFFF"/>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Проект НПДВЕ 2030 містить підрозділ «Біоенергетика» в якому зазначається,  що одним із шляхів розвитку біогазових технологій є виробництво біогазу з твердих побутових відходів, яких щорічно в Україні утворюється близько 10 млн тонн.</w:t>
            </w:r>
          </w:p>
          <w:p w14:paraId="54003FF2" w14:textId="77777777" w:rsidR="00B43B9E" w:rsidRPr="003864E7" w:rsidRDefault="00AF0BE5">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Також, в розділі «Використання відновлюваних газів» відмічено, що Україна має значний потенціал агровідходів для його виробництва.</w:t>
            </w:r>
          </w:p>
          <w:p w14:paraId="28A2124A" w14:textId="77777777" w:rsidR="00B43B9E" w:rsidRPr="003864E7" w:rsidRDefault="00AF0BE5">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В Плані заходів визначені завдання щодо розвитку біоенергетики, зокрема, «</w:t>
            </w:r>
            <w:r w:rsidRPr="003864E7">
              <w:rPr>
                <w:rFonts w:ascii="Times New Roman" w:eastAsia="Times New Roman" w:hAnsi="Times New Roman" w:cs="Times New Roman"/>
                <w:color w:val="000000"/>
              </w:rPr>
              <w:t>Супроводження у Верховній Раді України проекту Закону України «Про внесення змін до Податкового кодексу України та інших законодавчих актів України щодо справляння єдиного внеску та обліку спирту етилового денатурованого та продукції хімічного і технічного призначення (№ 7233 від 30.03.2022 )»</w:t>
            </w:r>
            <w:r w:rsidRPr="003864E7">
              <w:rPr>
                <w:rFonts w:ascii="Times New Roman" w:eastAsia="Times New Roman" w:hAnsi="Times New Roman" w:cs="Times New Roman"/>
              </w:rPr>
              <w:t xml:space="preserve"> </w:t>
            </w:r>
            <w:r w:rsidRPr="003864E7">
              <w:rPr>
                <w:rFonts w:ascii="Times New Roman" w:eastAsia="Times New Roman" w:hAnsi="Times New Roman" w:cs="Times New Roman"/>
                <w:color w:val="000000"/>
              </w:rPr>
              <w:t>який включає вимоги Директив ЄС щодо впровадження критеріїв сталості.</w:t>
            </w:r>
          </w:p>
        </w:tc>
      </w:tr>
      <w:tr w:rsidR="00B43B9E" w:rsidRPr="003864E7" w14:paraId="521A3538"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78F16BD2"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Не підтримується пріоритизація розвитку технології спалювання побутових твердих відходів. На відміну від енергії вітру, сонця або хвиль, відходи не надходять від нескінченних природних процесів, а навпаки, отримуються з вичерпних ресурсів, таких як корисні копалини, викопне паливо та ліси, що вирубуються нестійкими темпами. Спалювання відходів (зокрема з використанням найновітніших технологій), призводить до викиду токсичних речовин, таких як </w:t>
            </w:r>
            <w:r w:rsidRPr="003864E7">
              <w:rPr>
                <w:rFonts w:ascii="Times New Roman" w:eastAsia="Times New Roman" w:hAnsi="Times New Roman" w:cs="Times New Roman"/>
              </w:rPr>
              <w:lastRenderedPageBreak/>
              <w:t>свинець, ртуть, діоксини, фурани, та ін. у повітря, воду та ґрунти.</w:t>
            </w:r>
          </w:p>
          <w:p w14:paraId="60C256E4" w14:textId="77777777" w:rsidR="00B43B9E" w:rsidRPr="003864E7" w:rsidRDefault="00AF0BE5">
            <w:pPr>
              <w:spacing w:after="0" w:line="240" w:lineRule="auto"/>
              <w:ind w:left="57" w:right="57" w:firstLine="567"/>
              <w:jc w:val="both"/>
              <w:rPr>
                <w:rFonts w:ascii="Times New Roman" w:eastAsia="Times New Roman" w:hAnsi="Times New Roman" w:cs="Times New Roman"/>
              </w:rPr>
            </w:pPr>
            <w:r w:rsidRPr="003864E7">
              <w:rPr>
                <w:rFonts w:ascii="Times New Roman" w:eastAsia="Times New Roman" w:hAnsi="Times New Roman" w:cs="Times New Roman"/>
              </w:rPr>
              <w:t>Відповідно до Ієрархії управління відходами, впровадженої Директивою 2008/98/ЄС Європейського парламенту і Ради Європи від 19 листопада 2008 р.,сміттєспалювальні заводи витрачають велику кількість матеріалів багаторазового використання, щоб виробляти лише невелику кількість енергії. Вважаємо кращим вкласти інвестиції в екологічно безпечні та енергозберігаючі практики, зокрема запобігання, повторне використання, переробка та компостування.</w:t>
            </w:r>
          </w:p>
        </w:tc>
        <w:tc>
          <w:tcPr>
            <w:tcW w:w="3969" w:type="dxa"/>
            <w:tcBorders>
              <w:top w:val="single" w:sz="6" w:space="0" w:color="000000"/>
              <w:left w:val="single" w:sz="6" w:space="0" w:color="000000"/>
              <w:bottom w:val="single" w:sz="6" w:space="0" w:color="000000"/>
              <w:right w:val="single" w:sz="6" w:space="0" w:color="000000"/>
            </w:tcBorders>
          </w:tcPr>
          <w:p w14:paraId="1A8C4F8F"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Пропозиції до проєкту НПДВЕ 2030</w:t>
            </w:r>
          </w:p>
        </w:tc>
        <w:tc>
          <w:tcPr>
            <w:tcW w:w="5812" w:type="dxa"/>
            <w:tcBorders>
              <w:top w:val="single" w:sz="6" w:space="0" w:color="000000"/>
              <w:left w:val="single" w:sz="6" w:space="0" w:color="000000"/>
              <w:bottom w:val="single" w:sz="6" w:space="0" w:color="000000"/>
              <w:right w:val="single" w:sz="6" w:space="0" w:color="000000"/>
            </w:tcBorders>
          </w:tcPr>
          <w:p w14:paraId="13D4D58D"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67114954" w14:textId="77777777" w:rsidR="00B43B9E" w:rsidRPr="003864E7" w:rsidRDefault="00AF0BE5">
            <w:pPr>
              <w:shd w:val="clear" w:color="auto" w:fill="FFFFFF"/>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Проект НПДВЕ 2030 містить підрозділ «Біоенергетика» в якому зазначається,  що одним із шляхів розвитку біогазових технологій є виробництво біогазу з твердих побутових відходів, яких щорічно в Україні утворюється близько 10 млн тонн.</w:t>
            </w:r>
          </w:p>
          <w:p w14:paraId="1D3703D1" w14:textId="77777777" w:rsidR="00B43B9E" w:rsidRPr="003864E7" w:rsidRDefault="00AF0BE5">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Також, в розділі «Використання відновлюваних газів» відмічено, що Україна має значний потенціал агровідходів для його виробництва.</w:t>
            </w:r>
          </w:p>
          <w:p w14:paraId="629A3CC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 xml:space="preserve">В Плані заходів визначені завдання щодо розвитку біоенергетики, зокрема, </w:t>
            </w:r>
            <w:r w:rsidRPr="003864E7">
              <w:rPr>
                <w:rFonts w:ascii="Times New Roman" w:eastAsia="Times New Roman" w:hAnsi="Times New Roman" w:cs="Times New Roman"/>
              </w:rPr>
              <w:t>«</w:t>
            </w:r>
            <w:r w:rsidRPr="003864E7">
              <w:rPr>
                <w:rFonts w:ascii="Times New Roman" w:eastAsia="Times New Roman" w:hAnsi="Times New Roman" w:cs="Times New Roman"/>
                <w:color w:val="000000"/>
              </w:rPr>
              <w:t>Супроводження у Верховній Раді України проекту Закону України «Про внесення змін до Податкового кодексу України та інших законодавчих актів України щодо справляння єдиного внеску та обліку спирту етилового денатурованого та продукції хімічного і технічного призначення (№ 7233 від 30.03.2022 )», який включає вимоги Директив ЄС щодо впровадження критеріїв сталості.</w:t>
            </w:r>
          </w:p>
        </w:tc>
      </w:tr>
      <w:tr w:rsidR="00B43B9E" w:rsidRPr="003864E7" w14:paraId="4A9283AD"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52789583"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Для забезпечення сталості та безпеки навколишнього середовища необхідна відмова від будівництва нових та завершення будівництва великих ГЕС та ГАЕС, а натомість використання механізмів керування попитом. МГЕС за потреби повинні будуватися тільки за відповідності критеріям сталості об’єктів енергетики: не передбачено значного впливу на існуючу екосистему; запланований термін використання МГЕС має бути не менше 30 років; розроблено програму екологічного моніторингу для МГЕС.</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14:paraId="770C9934" w14:textId="77777777" w:rsidR="00B43B9E" w:rsidRPr="003864E7" w:rsidRDefault="00AF0BE5">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Пропозиції до проєкту НПДВЕ 2030</w:t>
            </w:r>
          </w:p>
        </w:tc>
        <w:tc>
          <w:tcPr>
            <w:tcW w:w="5812" w:type="dxa"/>
            <w:tcBorders>
              <w:top w:val="single" w:sz="6" w:space="0" w:color="000000"/>
              <w:left w:val="single" w:sz="6" w:space="0" w:color="000000"/>
              <w:bottom w:val="single" w:sz="6" w:space="0" w:color="000000"/>
              <w:right w:val="single" w:sz="6" w:space="0" w:color="000000"/>
            </w:tcBorders>
            <w:shd w:val="clear" w:color="auto" w:fill="auto"/>
          </w:tcPr>
          <w:p w14:paraId="395E5F32"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7476CC04"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При будівництво об’єктів  відновлюваної енергетики, зокрема гідроелектростанцій, має безумовно враховуватись діюче екологічне законодавство України. Визначені законодавством об’єкти </w:t>
            </w:r>
            <w:r w:rsidRPr="003864E7">
              <w:rPr>
                <w:rFonts w:ascii="Times New Roman" w:eastAsia="Times New Roman" w:hAnsi="Times New Roman" w:cs="Times New Roman"/>
              </w:rPr>
              <w:t xml:space="preserve">будівництва </w:t>
            </w:r>
            <w:r w:rsidRPr="003864E7">
              <w:rPr>
                <w:rFonts w:ascii="Times New Roman" w:eastAsia="Times New Roman" w:hAnsi="Times New Roman" w:cs="Times New Roman"/>
                <w:color w:val="000000"/>
              </w:rPr>
              <w:t>мають проходити оцінку впливу на навколишне середовище перед початком будівництва.</w:t>
            </w:r>
          </w:p>
          <w:p w14:paraId="0C7DA0E7"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7187A4CE"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71D261CE"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Запропоновані цілі для розвитку СЕС в Україні (+3 ГВт до 2030 року), в порівнянні з розвитком СЕС в інших країнах та регіонах виглядають занадто скромними і виглядають як бар’єри для розвитку відновлюваних джерел, а не як стимул для їх розвитку. А зазначена статистика підтверджує, що попри поширені міфи і пересуди, цілком технічно можливим на сьогодні стає інтеграція великих обсягів ВДЕ в будь яку енергомережу. </w:t>
            </w:r>
          </w:p>
          <w:p w14:paraId="2EFF137F"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Тож, вбачаємо економічно та технологічно обґрунтовано в контексті відмови від використання вугілля в електроенергетиці до 2030-2035 років та розвитку виробництва зеленого водню, ціль по досягненню загальної встановленої потужності СЕС на рівні не менше 18 ГВт до 2030 року (замість передбачених НПД 10 ГВт), які будуть </w:t>
            </w:r>
            <w:r w:rsidRPr="003864E7">
              <w:rPr>
                <w:rFonts w:ascii="Times New Roman" w:eastAsia="Times New Roman" w:hAnsi="Times New Roman" w:cs="Times New Roman"/>
                <w:color w:val="000000"/>
              </w:rPr>
              <w:lastRenderedPageBreak/>
              <w:t>експлуатуватися на конкурентних умовах та постачати екологічно чисту, кліматично нейтральну, декарбонізовану, відновлювану електроенергію в мережу без ризиків забруднень повітря викидами і техногенних катастроф, на кшталт Чорнобильської аварії, яка призвела до різних захворювань і смертей не менш як 600 000 людей.</w:t>
            </w:r>
          </w:p>
          <w:p w14:paraId="0A9BCC20"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Варто наголосити, що саме 18 ГВт СЕС передбачено до 2030 року за сценарієм енергетичного переходу, що у Звіті з оцінки достатності генеруючих потужностей підготовленим ОСП Укренерго.</w:t>
            </w:r>
          </w:p>
        </w:tc>
        <w:tc>
          <w:tcPr>
            <w:tcW w:w="3969" w:type="dxa"/>
            <w:tcBorders>
              <w:top w:val="single" w:sz="6" w:space="0" w:color="000000"/>
              <w:left w:val="single" w:sz="6" w:space="0" w:color="000000"/>
              <w:bottom w:val="single" w:sz="6" w:space="0" w:color="000000"/>
              <w:right w:val="single" w:sz="6" w:space="0" w:color="000000"/>
            </w:tcBorders>
          </w:tcPr>
          <w:p w14:paraId="15F2AB10" w14:textId="77777777" w:rsidR="00B43B9E" w:rsidRPr="003864E7" w:rsidRDefault="00AF0BE5">
            <w:pPr>
              <w:spacing w:after="0" w:line="240" w:lineRule="auto"/>
              <w:ind w:left="57" w:right="57" w:firstLine="709"/>
              <w:jc w:val="both"/>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Останній абзац підрозділу «Сонячна енергетика»: </w:t>
            </w:r>
          </w:p>
          <w:p w14:paraId="19994A93" w14:textId="77777777" w:rsidR="00B43B9E" w:rsidRPr="003864E7" w:rsidRDefault="00AF0BE5">
            <w:pPr>
              <w:spacing w:after="0" w:line="240" w:lineRule="auto"/>
              <w:ind w:left="57" w:right="57" w:firstLine="709"/>
              <w:jc w:val="both"/>
              <w:rPr>
                <w:rFonts w:ascii="Times New Roman" w:eastAsia="Times New Roman" w:hAnsi="Times New Roman" w:cs="Times New Roman"/>
              </w:rPr>
            </w:pPr>
            <w:r w:rsidRPr="003864E7">
              <w:rPr>
                <w:rFonts w:ascii="Times New Roman" w:eastAsia="Times New Roman" w:hAnsi="Times New Roman" w:cs="Times New Roman"/>
              </w:rPr>
              <w:t>«Планується, що виробництво електричної енергії з енергії сонячного випромінювання може бути збільшено до 10,5 ТВт</w:t>
            </w:r>
            <w:r w:rsidRPr="003864E7">
              <w:rPr>
                <w:rFonts w:ascii="Cambria Math" w:eastAsia="Cambria Math" w:hAnsi="Cambria Math" w:cs="Cambria Math"/>
              </w:rPr>
              <w:t>⋅</w:t>
            </w:r>
            <w:r w:rsidRPr="003864E7">
              <w:rPr>
                <w:rFonts w:ascii="Times New Roman" w:eastAsia="Times New Roman" w:hAnsi="Times New Roman" w:cs="Times New Roman"/>
              </w:rPr>
              <w:t>год у 2030 році (загальною потужністю близько 10 ГВт, з яких 7 ГВт промислових виробників та 3ГВт споживачів).»</w:t>
            </w:r>
          </w:p>
          <w:p w14:paraId="28CEA100"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tc>
        <w:tc>
          <w:tcPr>
            <w:tcW w:w="5812" w:type="dxa"/>
            <w:tcBorders>
              <w:top w:val="single" w:sz="6" w:space="0" w:color="000000"/>
              <w:left w:val="single" w:sz="6" w:space="0" w:color="000000"/>
              <w:bottom w:val="single" w:sz="6" w:space="0" w:color="000000"/>
              <w:right w:val="single" w:sz="6" w:space="0" w:color="000000"/>
            </w:tcBorders>
          </w:tcPr>
          <w:p w14:paraId="1A034E4D"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0BDF9686"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Проект акта погодженно Міненерго відповідального за формування та затвердження прогнозного балансу електричної енергії об’єднаної енергетичної системи України. </w:t>
            </w:r>
          </w:p>
          <w:p w14:paraId="1B9E4F26"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Показники проекту НПДВЕ 2030 також узгоджувались з ПрАТ «НЕК «Укренерго» на засіданнях Робочої групи з розробки НПДВЕ 2030.</w:t>
            </w:r>
          </w:p>
          <w:p w14:paraId="234F2EB0"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Зауважень від ПрАТ «НЕК «Укренерго» щодо невідповідності показників НПДВЕ 2030 не надійшло.</w:t>
            </w:r>
          </w:p>
          <w:p w14:paraId="2FBECD29"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При цьому в проекті акта передбачено перегляд показників розвитку відновлюваної енергетики після закінчення воєнних дій та інвентаризації стану енергетичної системи.</w:t>
            </w:r>
          </w:p>
          <w:p w14:paraId="45D172B7"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p>
          <w:p w14:paraId="0F2AA1A3"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p>
        </w:tc>
      </w:tr>
      <w:tr w:rsidR="00B43B9E" w:rsidRPr="003864E7" w14:paraId="4971BD4F"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7BCA74AF"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Плани збільшення потужності відновлюваної генерації повинні враховувати розвиток потенціалу відновлюваного водню в Україні. У документі згадується 10 ГВт виробничих потужностей до 2030 року для виробництва відновлюваного водню, проте не враховується наявний та прогнозований обсяги сонячної та вітрової генерації. Так, лише для виробництва 738 тис. тонн відновлюваного водню (відповідає 8 ГВт потужностей електролізу) потребуватиметься близько 7 000 МВт наземних ВЕС і 300 МВт офшорних ВЕС. Відповідно, пропонуємо встановити мету з потужності ВЕС на рівні 7,3 ГВт до 2030 року.</w:t>
            </w:r>
          </w:p>
        </w:tc>
        <w:tc>
          <w:tcPr>
            <w:tcW w:w="3969" w:type="dxa"/>
            <w:tcBorders>
              <w:top w:val="single" w:sz="6" w:space="0" w:color="000000"/>
              <w:left w:val="single" w:sz="6" w:space="0" w:color="000000"/>
              <w:bottom w:val="single" w:sz="6" w:space="0" w:color="000000"/>
              <w:right w:val="single" w:sz="6" w:space="0" w:color="000000"/>
            </w:tcBorders>
          </w:tcPr>
          <w:p w14:paraId="20EB5589"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 xml:space="preserve">Останній абзац підрозідлу «Вітрова енергетика»: </w:t>
            </w:r>
          </w:p>
          <w:p w14:paraId="7F3D3B43"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«На основі досвіду більшості європейських країн з впровадження вітроелектростанцій в Україні може бути збільшено виробництво електроенергії шляхом використання більш потужних вітрогенераторів та введення в експлуатацію нових потужностей наземних вітрових електростанцій до 15,3 ТВт*год у 2030 році (загальною потужністю 4,7 ГВт). Виробництво електроенергії офшорними вітровими електростанціями прогнозується на рівні до 1 ТВт*год у 2030 році (загальна потужність 300 МВт).»</w:t>
            </w:r>
          </w:p>
          <w:p w14:paraId="6B177904" w14:textId="77777777" w:rsidR="00B43B9E" w:rsidRPr="003864E7" w:rsidRDefault="00B43B9E">
            <w:pPr>
              <w:pBdr>
                <w:top w:val="nil"/>
                <w:left w:val="nil"/>
                <w:bottom w:val="nil"/>
                <w:right w:val="nil"/>
                <w:between w:val="nil"/>
              </w:pBdr>
              <w:spacing w:after="0" w:line="240" w:lineRule="auto"/>
              <w:ind w:left="57" w:right="57" w:firstLine="575"/>
              <w:jc w:val="both"/>
              <w:rPr>
                <w:rFonts w:ascii="Times New Roman" w:eastAsia="Times New Roman" w:hAnsi="Times New Roman" w:cs="Times New Roman"/>
                <w:color w:val="000000"/>
              </w:rPr>
            </w:pPr>
          </w:p>
        </w:tc>
        <w:tc>
          <w:tcPr>
            <w:tcW w:w="5812" w:type="dxa"/>
            <w:tcBorders>
              <w:top w:val="single" w:sz="6" w:space="0" w:color="000000"/>
              <w:left w:val="single" w:sz="6" w:space="0" w:color="000000"/>
              <w:bottom w:val="single" w:sz="6" w:space="0" w:color="000000"/>
              <w:right w:val="single" w:sz="6" w:space="0" w:color="000000"/>
            </w:tcBorders>
          </w:tcPr>
          <w:p w14:paraId="7E8A7C12"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21C6B4DA"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З метою розвитку водневої енергетики передбачається розробка Міненерго проекту </w:t>
            </w:r>
            <w:r w:rsidRPr="003864E7">
              <w:rPr>
                <w:rFonts w:ascii="Times New Roman" w:eastAsia="Times New Roman" w:hAnsi="Times New Roman" w:cs="Times New Roman"/>
                <w:color w:val="202124"/>
              </w:rPr>
              <w:t>Водневої стратегії</w:t>
            </w:r>
            <w:r w:rsidRPr="003864E7">
              <w:rPr>
                <w:rFonts w:ascii="Times New Roman" w:eastAsia="Times New Roman" w:hAnsi="Times New Roman" w:cs="Times New Roman"/>
              </w:rPr>
              <w:t>, яким буде визначено цілі, показники, плани розвитку водневої енергетики до 2030 року, а також окреслено орієнтири до 2050 року а також необхідні заходи для реалізації.</w:t>
            </w:r>
          </w:p>
          <w:p w14:paraId="5F14E1D7"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p w14:paraId="3F28DC5B"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Показники проекту НПДВЕ 2030 погодженно з Міненерго, а також були узгоджені на засіданнях Робочої групи з розробки НПДВЕ 2030.</w:t>
            </w:r>
          </w:p>
          <w:p w14:paraId="1D9A7470"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4E8109F0"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2B786AA0"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Національний план має визначати конкретні заходи для стимулювання розвитку відновлюваної енергетики, а саме: дату початку проведення аукціонів підтримки для ВДЕ, спиратись на затверджені квоти підтримки на наступні роки, а також передбачити, починаючи з 2024 року, перегляд Національного плану кожні 2 роки з урахуванням попередньо досягнутих результатів та фактичної вартості технологій на основі бездискримінаційного принципу.</w:t>
            </w:r>
          </w:p>
        </w:tc>
        <w:tc>
          <w:tcPr>
            <w:tcW w:w="3969" w:type="dxa"/>
            <w:tcBorders>
              <w:top w:val="single" w:sz="6" w:space="0" w:color="000000"/>
              <w:left w:val="single" w:sz="6" w:space="0" w:color="000000"/>
              <w:bottom w:val="single" w:sz="6" w:space="0" w:color="000000"/>
              <w:right w:val="single" w:sz="6" w:space="0" w:color="000000"/>
            </w:tcBorders>
          </w:tcPr>
          <w:p w14:paraId="459F3751"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Пропозиції до </w:t>
            </w:r>
            <w:r w:rsidRPr="003864E7">
              <w:rPr>
                <w:rFonts w:ascii="Times New Roman" w:eastAsia="Times New Roman" w:hAnsi="Times New Roman" w:cs="Times New Roman"/>
                <w:color w:val="000000"/>
              </w:rPr>
              <w:t xml:space="preserve">Цілі 4 Плану заходів проекту НПДВЕ 2030 </w:t>
            </w:r>
          </w:p>
        </w:tc>
        <w:tc>
          <w:tcPr>
            <w:tcW w:w="5812" w:type="dxa"/>
            <w:tcBorders>
              <w:top w:val="single" w:sz="6" w:space="0" w:color="000000"/>
              <w:left w:val="single" w:sz="6" w:space="0" w:color="000000"/>
              <w:bottom w:val="single" w:sz="6" w:space="0" w:color="000000"/>
              <w:right w:val="single" w:sz="6" w:space="0" w:color="000000"/>
            </w:tcBorders>
          </w:tcPr>
          <w:p w14:paraId="081A0B4D"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6A303986"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Строки проведення аукціонів підтримки визначаються відповідно до первинного законодавства, а саме Закону України «Про </w:t>
            </w:r>
            <w:r w:rsidRPr="003864E7">
              <w:rPr>
                <w:rFonts w:ascii="Times New Roman" w:eastAsia="Times New Roman" w:hAnsi="Times New Roman" w:cs="Times New Roman"/>
              </w:rPr>
              <w:t>альтернативні</w:t>
            </w:r>
            <w:r w:rsidRPr="003864E7">
              <w:rPr>
                <w:rFonts w:ascii="Times New Roman" w:eastAsia="Times New Roman" w:hAnsi="Times New Roman" w:cs="Times New Roman"/>
                <w:color w:val="000000"/>
              </w:rPr>
              <w:t xml:space="preserve"> джерела енергії».</w:t>
            </w:r>
          </w:p>
          <w:p w14:paraId="571BBE7E"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Щодо перегляду НПДВЕ 2030.</w:t>
            </w:r>
          </w:p>
          <w:p w14:paraId="5E67C86E"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color w:val="000000"/>
              </w:rPr>
              <w:t xml:space="preserve">Зважаючи на рішення Робочої групи з розробки проекту НПДВЕ 2030 від 05 квітня 2022 року в проекті НПДВЕ 2030 додатково зазначено норму щодо необхідності </w:t>
            </w:r>
            <w:r w:rsidRPr="003864E7">
              <w:rPr>
                <w:rFonts w:ascii="Times New Roman" w:eastAsia="Times New Roman" w:hAnsi="Times New Roman" w:cs="Times New Roman"/>
                <w:color w:val="000000"/>
              </w:rPr>
              <w:lastRenderedPageBreak/>
              <w:t>перегляду показників після закінчення воєнних дій та інвентаризації стану енергетичної системи.</w:t>
            </w:r>
          </w:p>
        </w:tc>
      </w:tr>
      <w:tr w:rsidR="00B43B9E" w:rsidRPr="003864E7" w14:paraId="3F44FA4A"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47671E32"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Зважаючи на те, що Україна взяла на себе зобов’язання імплементувати Директиву (ЄС) 2018/2001 (далі - Директива), адаптовану рішенням Ради Міністрів Енергетичного Співтовариства від 30 листопада 2021 року до 31 грудня 2022 року, рекомендуємо при розробці прогнозів та заходів з розвитку ВДЕ застосувати норми Директиви, а не Директиви 2009/28/ЄС, що є застарілою.</w:t>
            </w:r>
          </w:p>
        </w:tc>
        <w:tc>
          <w:tcPr>
            <w:tcW w:w="3969" w:type="dxa"/>
            <w:tcBorders>
              <w:top w:val="single" w:sz="6" w:space="0" w:color="000000"/>
              <w:left w:val="single" w:sz="6" w:space="0" w:color="000000"/>
              <w:bottom w:val="single" w:sz="6" w:space="0" w:color="000000"/>
              <w:right w:val="single" w:sz="6" w:space="0" w:color="000000"/>
            </w:tcBorders>
          </w:tcPr>
          <w:p w14:paraId="59FE2E1E"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color w:val="000000"/>
              </w:rPr>
              <w:t>Пропозиції до прогнозів та плану заходів з реалізації НПДВЕ 2030</w:t>
            </w:r>
          </w:p>
        </w:tc>
        <w:tc>
          <w:tcPr>
            <w:tcW w:w="5812" w:type="dxa"/>
            <w:tcBorders>
              <w:top w:val="single" w:sz="6" w:space="0" w:color="000000"/>
              <w:left w:val="single" w:sz="6" w:space="0" w:color="000000"/>
              <w:bottom w:val="single" w:sz="6" w:space="0" w:color="000000"/>
              <w:right w:val="single" w:sz="6" w:space="0" w:color="000000"/>
            </w:tcBorders>
          </w:tcPr>
          <w:p w14:paraId="073C197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27A947D7"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Планом заходів проекту НПДВЕ 2030 передбачено розробку нормативно-правових актів, які будуть включати відповідні положення Директиви ЄС від 11.12.2018 2018/2001 «Про заохочення використання енергії з відновлюваних джерел».</w:t>
            </w:r>
          </w:p>
          <w:p w14:paraId="2435CEA3"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bl>
    <w:tbl>
      <w:tblPr>
        <w:tblStyle w:val="afffffff3"/>
        <w:tblW w:w="15324" w:type="dxa"/>
        <w:tblInd w:w="-30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43"/>
        <w:gridCol w:w="3969"/>
        <w:gridCol w:w="5812"/>
      </w:tblGrid>
      <w:tr w:rsidR="00B43B9E" w:rsidRPr="003864E7" w14:paraId="31725ECB" w14:textId="77777777">
        <w:tc>
          <w:tcPr>
            <w:tcW w:w="15324" w:type="dxa"/>
            <w:gridSpan w:val="3"/>
            <w:tcBorders>
              <w:top w:val="single" w:sz="6" w:space="0" w:color="000000"/>
              <w:left w:val="single" w:sz="6" w:space="0" w:color="000000"/>
              <w:bottom w:val="single" w:sz="6" w:space="0" w:color="000000"/>
              <w:right w:val="single" w:sz="6" w:space="0" w:color="000000"/>
            </w:tcBorders>
          </w:tcPr>
          <w:p w14:paraId="1D5DC59A" w14:textId="77777777" w:rsidR="00B43B9E" w:rsidRPr="003864E7" w:rsidRDefault="00AF0BE5">
            <w:pPr>
              <w:pBdr>
                <w:top w:val="nil"/>
                <w:left w:val="nil"/>
                <w:bottom w:val="nil"/>
                <w:right w:val="nil"/>
                <w:between w:val="nil"/>
              </w:pBdr>
              <w:spacing w:after="0" w:line="240" w:lineRule="auto"/>
              <w:ind w:left="57" w:right="57"/>
              <w:jc w:val="center"/>
              <w:rPr>
                <w:rFonts w:ascii="Times New Roman" w:eastAsia="Times New Roman" w:hAnsi="Times New Roman" w:cs="Times New Roman"/>
                <w:color w:val="000000"/>
              </w:rPr>
            </w:pPr>
            <w:r w:rsidRPr="003864E7">
              <w:rPr>
                <w:rFonts w:ascii="Times New Roman" w:eastAsia="Times New Roman" w:hAnsi="Times New Roman" w:cs="Times New Roman"/>
                <w:b/>
                <w:color w:val="000000"/>
              </w:rPr>
              <w:t>АСОЦІАЦІЯ "ЄВРОПЕЙСЬКО-УКРАЇНСЬКЕ ЕНЕРГЕТИЧНЕ АГЕНТСТВО"</w:t>
            </w:r>
          </w:p>
        </w:tc>
      </w:tr>
      <w:tr w:rsidR="00B43B9E" w:rsidRPr="003864E7" w14:paraId="0A32DC8F"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0BAB4DEB"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Пункт посилається на комунікацію, в той час як у ЄС актуальна ціль визначається статтею 3 директиви ( Article 3 Binding overall Union target for 2030 1. Member States shall collectively ensure that the share of energy from renewable sources in the Union's gross final consumption of energy in 2030 is at least 32 %.</w:t>
            </w:r>
          </w:p>
          <w:p w14:paraId="45D8DE61"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Наразі в ЄС обговорюється підняття цілі - 38-40%.</w:t>
            </w:r>
          </w:p>
          <w:p w14:paraId="2BD7F6F2"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згадано про бажання ЄС співпрацювати в нових напрямках.</w:t>
            </w:r>
          </w:p>
          <w:p w14:paraId="1729753D"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Пропозиція викласти у такій редакції: «Європейський Союз планує досягнути частки споживання енергії з ВДЕ на рівні не менше 32% до 2030 року згідно Директиви ЄС №2018/2001 від 18 грудня 2018 року; уже зараз ця частка критикується як недостатньо амбітна та ЄС розглядає її підняття до 38-40%».</w:t>
            </w:r>
          </w:p>
        </w:tc>
        <w:tc>
          <w:tcPr>
            <w:tcW w:w="3969" w:type="dxa"/>
            <w:tcBorders>
              <w:top w:val="single" w:sz="6" w:space="0" w:color="000000"/>
              <w:left w:val="single" w:sz="6" w:space="0" w:color="000000"/>
              <w:bottom w:val="single" w:sz="6" w:space="0" w:color="000000"/>
              <w:right w:val="single" w:sz="6" w:space="0" w:color="000000"/>
            </w:tcBorders>
          </w:tcPr>
          <w:p w14:paraId="2C83580A"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 xml:space="preserve">Абзац на ст.4 Вступу </w:t>
            </w:r>
          </w:p>
          <w:p w14:paraId="45D537EC"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«В інформаційному повідомленні Європейської Комісії від 22 січня 2014 року під назвою «Рамкова кліматична та енергетична політика на період з 2020 до 2030 року» було встановлено основні положення майбутньої енергетичної та кліматичної політики Союзу та викладено принципи взаєморозуміння щодо розробки таких політик після 2020 року. Комісія запропонувала встановити мету на 2030 рік щодо частки споживання енергії з відновлюваних джерел на рівні не менше 27%»</w:t>
            </w:r>
          </w:p>
          <w:p w14:paraId="1FCF2CBB" w14:textId="77777777" w:rsidR="00B43B9E" w:rsidRPr="003864E7" w:rsidRDefault="00B43B9E">
            <w:pPr>
              <w:spacing w:after="0" w:line="240" w:lineRule="auto"/>
              <w:ind w:left="57" w:right="57" w:firstLine="708"/>
              <w:jc w:val="both"/>
              <w:rPr>
                <w:rFonts w:ascii="Times New Roman" w:eastAsia="Times New Roman" w:hAnsi="Times New Roman" w:cs="Times New Roman"/>
              </w:rPr>
            </w:pPr>
          </w:p>
        </w:tc>
        <w:tc>
          <w:tcPr>
            <w:tcW w:w="5812" w:type="dxa"/>
            <w:tcBorders>
              <w:top w:val="single" w:sz="6" w:space="0" w:color="000000"/>
              <w:left w:val="single" w:sz="6" w:space="0" w:color="000000"/>
              <w:bottom w:val="single" w:sz="6" w:space="0" w:color="000000"/>
              <w:right w:val="single" w:sz="6" w:space="0" w:color="000000"/>
            </w:tcBorders>
          </w:tcPr>
          <w:p w14:paraId="69F3CD29"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491285D2"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color w:val="000000"/>
              </w:rPr>
              <w:t>Перший абзац на ст. 4 Вступу викладено у такій редакції: «Директивою ЄС від 11.12.2018 2018/2001  «Про заохочення використання енергії з відновлюваних джерел» встановлено ціль для Європейського Союзу до 2030 року на рівні 32 % частки енергії з відновлюваних джерел у валовому кінцевому споживанні енергії.</w:t>
            </w:r>
            <w:r w:rsidRPr="003864E7">
              <w:rPr>
                <w:rFonts w:ascii="Times New Roman" w:eastAsia="Times New Roman" w:hAnsi="Times New Roman" w:cs="Times New Roman"/>
              </w:rPr>
              <w:t>Наразі Європейською Комісією зважаючи на наслідки російської агресії розглядається питання підвищення зазначеної цілі до 45 %.»</w:t>
            </w:r>
          </w:p>
          <w:p w14:paraId="66A4A0A7"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w:t>
            </w:r>
          </w:p>
          <w:p w14:paraId="54B41EED"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1D135865"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tc>
      </w:tr>
      <w:tr w:rsidR="00B43B9E" w:rsidRPr="003864E7" w14:paraId="6BEE1A1F"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5C440076"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Гармонійна диверсифікація джерел ВДЕ спільно з розвитком високоманеврової генерації та систем накопичення сприятиме зміцненню енергетичної безпеки; крім цього, впровадження CBAM створить внутрішній попит на низьковуглецеву енергію.</w:t>
            </w:r>
          </w:p>
          <w:p w14:paraId="37D296A5"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Пропонується викласти у такій редакції: «Використання відновлюваних джерел енергії є одним із найбільш важливих напрямів енергетичної політики України, спрямованої на заощадження традиційних паливно-енергетичних ресурсів, поліпшення стану </w:t>
            </w:r>
            <w:r w:rsidRPr="003864E7">
              <w:rPr>
                <w:rFonts w:ascii="Times New Roman" w:eastAsia="Times New Roman" w:hAnsi="Times New Roman" w:cs="Times New Roman"/>
              </w:rPr>
              <w:lastRenderedPageBreak/>
              <w:t>оточуючого природного середовища, запобігання зміні клімату, більшої диверсифікації джерел енергії в інтересах енергетичної безпеки. Збільшення частки відновлюваних джерел в енергетичному балансі України сприятиме процесу декарбонізації економіки, необхідному для виконання міжнародних зобов’язань країни щодо скорочення викидів парникових газів. Крім цього, насиченість ринку пропозицією щодо купівлі відновлювальної енергії підготує Україну до запровадження найбільшим торговим партнером України Механізму вуглецевого коригування на кордоні (Carbon Border Adjustment Mechanism; CBAM) після 2025 року. »</w:t>
            </w:r>
          </w:p>
        </w:tc>
        <w:tc>
          <w:tcPr>
            <w:tcW w:w="3969" w:type="dxa"/>
            <w:tcBorders>
              <w:top w:val="single" w:sz="6" w:space="0" w:color="000000"/>
              <w:left w:val="single" w:sz="6" w:space="0" w:color="000000"/>
              <w:bottom w:val="single" w:sz="6" w:space="0" w:color="000000"/>
              <w:right w:val="single" w:sz="6" w:space="0" w:color="000000"/>
            </w:tcBorders>
          </w:tcPr>
          <w:p w14:paraId="24EA0160" w14:textId="77777777" w:rsidR="00B43B9E" w:rsidRPr="003864E7" w:rsidRDefault="00B43B9E">
            <w:pPr>
              <w:spacing w:after="0" w:line="240" w:lineRule="auto"/>
              <w:ind w:left="57" w:right="57" w:firstLine="708"/>
              <w:jc w:val="both"/>
              <w:rPr>
                <w:rFonts w:ascii="Times New Roman" w:eastAsia="Times New Roman" w:hAnsi="Times New Roman" w:cs="Times New Roman"/>
              </w:rPr>
            </w:pPr>
          </w:p>
          <w:p w14:paraId="404373A7"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Абзац на ст. 1 Вступу.</w:t>
            </w:r>
          </w:p>
          <w:p w14:paraId="76B894D9" w14:textId="77777777" w:rsidR="00B43B9E" w:rsidRPr="003864E7" w:rsidRDefault="00B43B9E">
            <w:pPr>
              <w:spacing w:after="0" w:line="240" w:lineRule="auto"/>
              <w:ind w:left="57" w:right="57" w:firstLine="708"/>
              <w:jc w:val="both"/>
              <w:rPr>
                <w:rFonts w:ascii="Times New Roman" w:eastAsia="Times New Roman" w:hAnsi="Times New Roman" w:cs="Times New Roman"/>
              </w:rPr>
            </w:pPr>
          </w:p>
          <w:p w14:paraId="2233381A"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 xml:space="preserve">«Використання відновлюваних джерел енергії є одним із найбільш важливих напрямів енергетичної політики України, спрямованої на заощадження традиційних паливно-енергетичних ресурсів, поліпшення стану </w:t>
            </w:r>
            <w:r w:rsidRPr="003864E7">
              <w:rPr>
                <w:rFonts w:ascii="Times New Roman" w:eastAsia="Times New Roman" w:hAnsi="Times New Roman" w:cs="Times New Roman"/>
              </w:rPr>
              <w:lastRenderedPageBreak/>
              <w:t>оточуючого природного середовища, запобігання зміні клімату. Збільшення частки відновлюваних джерел в енергетичному балансі України сприятиме процесу декарбонізації економіки, необхідному для виконання міжнародних зобов’язань країни щодо скорочення викидів парникових газів.»</w:t>
            </w:r>
          </w:p>
          <w:p w14:paraId="21FC0D3F" w14:textId="77777777" w:rsidR="00B43B9E" w:rsidRPr="003864E7" w:rsidRDefault="00B43B9E">
            <w:pPr>
              <w:spacing w:after="0" w:line="240" w:lineRule="auto"/>
              <w:ind w:left="57" w:right="57" w:firstLine="708"/>
              <w:jc w:val="both"/>
              <w:rPr>
                <w:rFonts w:ascii="Times New Roman" w:eastAsia="Times New Roman" w:hAnsi="Times New Roman" w:cs="Times New Roman"/>
              </w:rPr>
            </w:pPr>
          </w:p>
        </w:tc>
        <w:tc>
          <w:tcPr>
            <w:tcW w:w="5812" w:type="dxa"/>
            <w:tcBorders>
              <w:top w:val="single" w:sz="6" w:space="0" w:color="000000"/>
              <w:left w:val="single" w:sz="6" w:space="0" w:color="000000"/>
              <w:bottom w:val="single" w:sz="6" w:space="0" w:color="000000"/>
              <w:right w:val="single" w:sz="6" w:space="0" w:color="000000"/>
            </w:tcBorders>
          </w:tcPr>
          <w:p w14:paraId="5D94EE8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 частково</w:t>
            </w:r>
          </w:p>
          <w:p w14:paraId="358F4CD8" w14:textId="77777777" w:rsidR="00B43B9E" w:rsidRPr="003864E7" w:rsidRDefault="00AF0BE5">
            <w:pPr>
              <w:spacing w:after="0" w:line="240" w:lineRule="auto"/>
              <w:ind w:left="57" w:right="57" w:firstLine="708"/>
              <w:jc w:val="both"/>
              <w:rPr>
                <w:rFonts w:ascii="Times New Roman" w:eastAsia="Times New Roman" w:hAnsi="Times New Roman" w:cs="Times New Roman"/>
                <w:color w:val="000000"/>
              </w:rPr>
            </w:pPr>
            <w:r w:rsidRPr="003864E7">
              <w:rPr>
                <w:rFonts w:ascii="Times New Roman" w:eastAsia="Times New Roman" w:hAnsi="Times New Roman" w:cs="Times New Roman"/>
              </w:rPr>
              <w:t>Абзац на ст. 1 Вступу викладено у такій редакції:</w:t>
            </w:r>
          </w:p>
          <w:p w14:paraId="5583BCDB"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 xml:space="preserve">«Використання відновлюваних джерел енергії є одним із найбільш важливих напрямів енергетичної політики України, спрямованої на заощадження традиційних паливно-енергетичних ресурсів, поліпшення стану навколишнього природного середовища, запобігання зміні клімату. Збільшення частки відновлюваних джерел в енергетичному балансі України сприятиме процесу декарбонізації економіки, </w:t>
            </w:r>
            <w:r w:rsidRPr="003864E7">
              <w:rPr>
                <w:rFonts w:ascii="Times New Roman" w:eastAsia="Times New Roman" w:hAnsi="Times New Roman" w:cs="Times New Roman"/>
              </w:rPr>
              <w:lastRenderedPageBreak/>
              <w:t>необхідному для виконання міжнародних зобов’язань країни щодо скорочення викидів парникових газів та сприятиме зменшенню наслідків запровадження Євросоюзом прикордонного вуглецевого податку (Carbon Border Adjustment Mechanism; CBAM) .»</w:t>
            </w:r>
          </w:p>
          <w:p w14:paraId="39F0F4DA"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1439E06A"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286D09AE"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ВДЕ не відповідає за створення технічних ризиків натомість, ці ризики можуть бути істотно зменшені.</w:t>
            </w:r>
          </w:p>
          <w:p w14:paraId="7A1919C5"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Пропонується доповнити наступним реченням: «В той же час, встановлення гнучких (маневрових) генеруючих потужностей та систем накопичення вирішить чи принаймні суттєво мінімізує цю проблему.»</w:t>
            </w:r>
          </w:p>
        </w:tc>
        <w:tc>
          <w:tcPr>
            <w:tcW w:w="3969" w:type="dxa"/>
            <w:tcBorders>
              <w:top w:val="single" w:sz="6" w:space="0" w:color="000000"/>
              <w:left w:val="single" w:sz="6" w:space="0" w:color="000000"/>
              <w:bottom w:val="single" w:sz="6" w:space="0" w:color="000000"/>
              <w:right w:val="single" w:sz="6" w:space="0" w:color="000000"/>
            </w:tcBorders>
          </w:tcPr>
          <w:p w14:paraId="2FFE984C"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джерел енергії в електроенергетичному комплексі»</w:t>
            </w:r>
          </w:p>
          <w:p w14:paraId="55256DA8"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Абзац на ст. 6 розділу:</w:t>
            </w:r>
          </w:p>
          <w:p w14:paraId="17EC9BE7"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 xml:space="preserve">«Окрім фінансових викликів мають місце ризики технічного характеру, пов’язані складністю забезпечення операційної безпеки об’єднаної енергетичної системи України в умовах суттєвої частки відновлюваних джерел енергії. Наразі в ОЕС України бракує гнучких (маневрових) генеруючих потужностей, які необхідні для забезпечення інтеграції об’єктів відновлюваної енергетики, особливо з непрогнозованим графіком виробництва електричної енергії, що залежить від погодних умов. У підсумку, це призводить до неекономічних режимів функціонування енергосистеми, в тому числі – обмежень за командою оператора системи передачі відпуску </w:t>
            </w:r>
            <w:r w:rsidRPr="003864E7">
              <w:rPr>
                <w:rFonts w:ascii="Times New Roman" w:eastAsia="Times New Roman" w:hAnsi="Times New Roman" w:cs="Times New Roman"/>
              </w:rPr>
              <w:lastRenderedPageBreak/>
              <w:t>електричної енергії об’єктами відновлюваної енергетики, які мають бути в повному обсязі компенсовані за «зеленим» тарифом.</w:t>
            </w:r>
          </w:p>
        </w:tc>
        <w:tc>
          <w:tcPr>
            <w:tcW w:w="5812" w:type="dxa"/>
            <w:tcBorders>
              <w:top w:val="single" w:sz="6" w:space="0" w:color="000000"/>
              <w:left w:val="single" w:sz="6" w:space="0" w:color="000000"/>
              <w:bottom w:val="single" w:sz="6" w:space="0" w:color="000000"/>
              <w:right w:val="single" w:sz="6" w:space="0" w:color="000000"/>
            </w:tcBorders>
          </w:tcPr>
          <w:p w14:paraId="6B25A689"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w:t>
            </w:r>
          </w:p>
          <w:p w14:paraId="1E72C9C3"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Абзац на ст. 6 розділу «Використання відновлюваних джерел енергії в електроенергетичному комплексі» доповнено таким реченням:</w:t>
            </w:r>
          </w:p>
          <w:p w14:paraId="34B2F836"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«В той же час, встановлення гнучких (маневрених) генеруючих потужностей та систем накопичення вирішить чи принаймні суттєво мінімізує цю проблему.»</w:t>
            </w:r>
          </w:p>
          <w:p w14:paraId="50E8F633"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p>
        </w:tc>
      </w:tr>
      <w:tr w:rsidR="00B43B9E" w:rsidRPr="003864E7" w14:paraId="602E48A1"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0B630CD7"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Незрозуміло, чому цілепокладальний документ стільки уваги приділяє висвітленню кризи неплатежів.</w:t>
            </w:r>
          </w:p>
          <w:p w14:paraId="71F04EC6"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Пропонуємо коротко прорезюмувати:</w:t>
            </w:r>
          </w:p>
          <w:p w14:paraId="2B0AE463"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«Після запуску нового ринку електроенергії виробники за «зеленим» тарифом почали отримувати плату за відпущену електроенергію з затримками, почасти через низький тариф на передачу електроенергії. Затримки з оплатами кульмінувалися у кризі неплатежів та зверненні до Центру вирішення спорів та переговорів Секретаріату Енергетичного Співтовариства для медіації перемовин. У підсумку, «зелений» тариф було ретроспективно змінено, для виробників ВДЕ посилилася відповідальність за небаланси, а державні органи зобов’язалися забезпечити достатність фінансування.»</w:t>
            </w:r>
          </w:p>
        </w:tc>
        <w:tc>
          <w:tcPr>
            <w:tcW w:w="3969" w:type="dxa"/>
            <w:tcBorders>
              <w:top w:val="single" w:sz="6" w:space="0" w:color="000000"/>
              <w:left w:val="single" w:sz="6" w:space="0" w:color="000000"/>
              <w:bottom w:val="single" w:sz="6" w:space="0" w:color="000000"/>
              <w:right w:val="single" w:sz="6" w:space="0" w:color="000000"/>
            </w:tcBorders>
          </w:tcPr>
          <w:p w14:paraId="5BE87784"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джерел енергії в електроенергетичному комплексі»</w:t>
            </w:r>
          </w:p>
          <w:p w14:paraId="003DDCB9"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Абзаци на ст. 6 розділу:</w:t>
            </w:r>
          </w:p>
          <w:p w14:paraId="6049498C"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 метою врегулювання проблемних питань в сфері відновлюваної енергетики тодішнє Міністерство енергетики та захисту довкілля України в ініціативному порядку в жовтні 2019 року розпочало публічні дискусії, залучивши до обговорення та пошуку взаємоприйнятних рішень широке коло представників заінтересованих органів державної влади, їх установ, інвесторів, профільних асоціацій та фінансових інституцій, експертів і фахівців галузі. Також, за ініціативою профільних асоціацій до обговорень було залучено Центр вирішення спорів та переговорів Секретаріату Енергетичного Співтовариства у статусі медіатора переговорів.</w:t>
            </w:r>
          </w:p>
          <w:p w14:paraId="76975D5E"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Шляхом довготривалих дискусій та складних переговорів Уряду та Міненерго вдалося досягти компромісних домовленостей з інвесторами в галузь відновлюваної енергетики, що враховують інтереси різних груп виробників, держави і споживачів, та які були викладені в Меморандумі про взаєморозуміння щодо врегулювання проблемних питань у сфері відновлюваної </w:t>
            </w:r>
            <w:r w:rsidRPr="003864E7">
              <w:rPr>
                <w:rFonts w:ascii="Times New Roman" w:eastAsia="Times New Roman" w:hAnsi="Times New Roman" w:cs="Times New Roman"/>
              </w:rPr>
              <w:lastRenderedPageBreak/>
              <w:t>енергетики в Україні (далі – Меморандум).</w:t>
            </w:r>
          </w:p>
          <w:p w14:paraId="27E5E1C0"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Умови Меморандуму 10 червня 2020 року було підтримано Урядом України, і в той же день відбулось його підписання Прем’єр-міністром України, в.о. Міністра енергетики України, а також, головами Європейсько-українського енергетичного агентства та Української вітроенергетичної асоціації, які представляють інтереси інвесторів у галузь відновлюваної енергетики і були ініціаторами та активними учасниками процесу переговорів. На засіданні Національної комісії, що здійснює державне регулювання у сферах енергетики та комунальних послуг, яке відбулось у формі відкритого слухання, прийнято постанову від 17 червня 2020 року № 1141 згідно з якою Меморандум підписано Головою НКРЕКП. Також, Меморандум було підписано Головою центру вирішення спорів та переговорів Секретаріату енергетичного співтовариства.</w:t>
            </w:r>
          </w:p>
          <w:p w14:paraId="39124D4E"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Умови Меморандуму імплементовані у Законі України від 21 липня 2020 року № 810-ІХ «Про внесення змін до деяких законів України щодо удосконалення умов підтримки виробництва електричної енергії з альтернативних джерел енергії» (далі – Закон № 810-ІХ). Ключовими з них є: з боку інвесторів добровільна згода на зниження «зелених» тарифів, посилення відповідальності за </w:t>
            </w:r>
            <w:r w:rsidRPr="003864E7">
              <w:rPr>
                <w:rFonts w:ascii="Times New Roman" w:eastAsia="Times New Roman" w:hAnsi="Times New Roman" w:cs="Times New Roman"/>
              </w:rPr>
              <w:lastRenderedPageBreak/>
              <w:t>небаланси, обмеження строків введення в експлуатацію сонячних електростанцій за моделлю «зеленого» тарифу; з боку держави забезпечення стабільної поточної оплати за вироблену електричну енергію, погашення накопиченої заборгованості та сприяння подальшому розвитку галузі на конкурентних засадах.</w:t>
            </w:r>
          </w:p>
          <w:p w14:paraId="0E2C78EA"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Враховуючи складну ситуацію в галузі, Україна не пішла на одностороннє зниження «зелених» тарифів, а досягла врегулювання цього питання шляхом тривалих переговорів з інвесторами, пошуку компромісів та укладання Меморандуму, який став основою відповідного закону.»</w:t>
            </w:r>
          </w:p>
        </w:tc>
        <w:tc>
          <w:tcPr>
            <w:tcW w:w="5812" w:type="dxa"/>
            <w:tcBorders>
              <w:top w:val="single" w:sz="6" w:space="0" w:color="000000"/>
              <w:left w:val="single" w:sz="6" w:space="0" w:color="000000"/>
              <w:bottom w:val="single" w:sz="6" w:space="0" w:color="000000"/>
              <w:right w:val="single" w:sz="6" w:space="0" w:color="000000"/>
            </w:tcBorders>
          </w:tcPr>
          <w:p w14:paraId="5B2758BC"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w:t>
            </w:r>
          </w:p>
          <w:p w14:paraId="0F841930"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Зазначений зміст скорочено:</w:t>
            </w:r>
          </w:p>
          <w:p w14:paraId="59C707B3" w14:textId="77777777" w:rsidR="00B43B9E" w:rsidRPr="003864E7" w:rsidRDefault="00B43B9E">
            <w:pPr>
              <w:pBdr>
                <w:top w:val="nil"/>
                <w:left w:val="nil"/>
                <w:bottom w:val="nil"/>
                <w:right w:val="nil"/>
                <w:between w:val="nil"/>
              </w:pBdr>
              <w:spacing w:after="0" w:line="240" w:lineRule="auto"/>
              <w:ind w:right="57" w:firstLine="295"/>
              <w:jc w:val="both"/>
              <w:rPr>
                <w:rFonts w:ascii="Times New Roman" w:eastAsia="Times New Roman" w:hAnsi="Times New Roman" w:cs="Times New Roman"/>
                <w:color w:val="000000"/>
              </w:rPr>
            </w:pPr>
          </w:p>
          <w:p w14:paraId="437F3FE2"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 метою врегулювання проблемних питань в сфері відновлюваної енергетики тодішнє Міністерство енергетики та захисту довкілля України в жовтні 2019 року розпочало публічні дискусії, з усіма зацікавленими сторонами, залучивши у якості медіатора Центр вирішення спорів та переговорів Секретаріату Енергетичного Співтовариства, за результатами яких досягнуто  компромісних домовленостей, викладених в Меморандумі про взаєморозуміння щодо врегулювання проблемних питань у сфері відновлюваної енергетики в Україні (далі – Меморандум).</w:t>
            </w:r>
          </w:p>
          <w:p w14:paraId="03C2A37D"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 xml:space="preserve">Умови Меморандуму імплементовані у Законі України від 21 липня 2020 року № 810-ІХ «Про внесення змін до деяких законів України щодо удосконалення умов підтримки виробництва електричної енергії з альтернативних джерел енергії» (далі – Закон № 810-ІХ). </w:t>
            </w:r>
          </w:p>
          <w:p w14:paraId="5D06927A" w14:textId="77777777" w:rsidR="00B43B9E" w:rsidRPr="003864E7" w:rsidRDefault="00B43B9E">
            <w:pPr>
              <w:pBdr>
                <w:top w:val="nil"/>
                <w:left w:val="nil"/>
                <w:bottom w:val="nil"/>
                <w:right w:val="nil"/>
                <w:between w:val="nil"/>
              </w:pBdr>
              <w:spacing w:after="0" w:line="240" w:lineRule="auto"/>
              <w:ind w:right="57" w:firstLine="295"/>
              <w:jc w:val="both"/>
              <w:rPr>
                <w:rFonts w:ascii="Times New Roman" w:eastAsia="Times New Roman" w:hAnsi="Times New Roman" w:cs="Times New Roman"/>
                <w:color w:val="000000"/>
              </w:rPr>
            </w:pPr>
          </w:p>
        </w:tc>
      </w:tr>
      <w:tr w:rsidR="00B43B9E" w:rsidRPr="003864E7" w14:paraId="77434357"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6AA5416C"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Пропонується уточнення абзацу: «З моменту прийняття Закону № 810-ІХ, що частково імплементував положення Меморандуму про взаєморозуміння щодо врегулювання проблемних питань у сфері відновлюваної енергетики в Україні між «зеленими» виробниками та іншими учасниками медіації, рівень розрахунків ДП «Гарантований покупець» з виробниками за «зеленим» тарифом суттєво покращився. Також було розпочато погашення заборгованості перед виробниками за «зеленим» тарифом за рахунок залучення ПрАТ «НЕК «Укренерго» кредитних коштів та випуску облігацій під гарантії держави.»</w:t>
            </w:r>
          </w:p>
        </w:tc>
        <w:tc>
          <w:tcPr>
            <w:tcW w:w="3969" w:type="dxa"/>
            <w:tcBorders>
              <w:top w:val="single" w:sz="6" w:space="0" w:color="000000"/>
              <w:left w:val="single" w:sz="6" w:space="0" w:color="000000"/>
              <w:bottom w:val="single" w:sz="6" w:space="0" w:color="000000"/>
              <w:right w:val="single" w:sz="6" w:space="0" w:color="000000"/>
            </w:tcBorders>
          </w:tcPr>
          <w:p w14:paraId="60CBAC84"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джерел енергії в електроенергетичному комплексі»</w:t>
            </w:r>
          </w:p>
          <w:p w14:paraId="00A62D75"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Абзаци на ст. 7 розділу:</w:t>
            </w:r>
          </w:p>
          <w:p w14:paraId="022A8B65"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 моменту прийняття Закону № 810-ІХ рівень розрахунків ДП «Гарантований покупець» з виробниками за «зеленим» тарифом суттєво покращився. Також було розпочато погашення заборгованості перед виробниками за «зеленим» тарифом за рахунок залучення ПрАТ «НЕК «Укренерго» кредитних коштів та випуску облігацій під гарантії держави.»</w:t>
            </w:r>
          </w:p>
        </w:tc>
        <w:tc>
          <w:tcPr>
            <w:tcW w:w="5812" w:type="dxa"/>
            <w:tcBorders>
              <w:top w:val="single" w:sz="6" w:space="0" w:color="000000"/>
              <w:left w:val="single" w:sz="6" w:space="0" w:color="000000"/>
              <w:bottom w:val="single" w:sz="6" w:space="0" w:color="000000"/>
              <w:right w:val="single" w:sz="6" w:space="0" w:color="000000"/>
            </w:tcBorders>
          </w:tcPr>
          <w:p w14:paraId="35324369"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 Враховано</w:t>
            </w:r>
          </w:p>
          <w:p w14:paraId="6450EE71" w14:textId="77777777" w:rsidR="00B43B9E" w:rsidRPr="003864E7" w:rsidRDefault="00AF0BE5">
            <w:pPr>
              <w:spacing w:after="0" w:line="240" w:lineRule="auto"/>
              <w:ind w:left="57" w:right="57" w:firstLine="70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Абзац на ст.7 розділу </w:t>
            </w:r>
            <w:r w:rsidRPr="003864E7">
              <w:rPr>
                <w:rFonts w:ascii="Times New Roman" w:eastAsia="Times New Roman" w:hAnsi="Times New Roman" w:cs="Times New Roman"/>
              </w:rPr>
              <w:t>«Використання відновлюваних джерел енергії в електроенергетичному комплексі» викладено у такій редакції:</w:t>
            </w:r>
          </w:p>
          <w:p w14:paraId="0FD847B2"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rPr>
              <w:t>«З моменту прийняття Закону № 810-ІХ, що частково імплементував положення Меморандуму про взаєморозуміння щодо врегулювання проблемних питань у сфері відновлюваної енергетики в Україні між «зеленими» виробниками та іншими учасниками медіації, рівень розрахунків ДП «Гарантований покупець» з виробниками за «зеленим» тарифом суттєво покращився. Також було розпочато погашення заборгованості перед виробниками за «зеленим» тарифом за рахунок залучення ПрАТ «НЕК «Укренерго» кредитних коштів та випуску облігацій під гарантії держави.»</w:t>
            </w:r>
          </w:p>
        </w:tc>
      </w:tr>
      <w:tr w:rsidR="00B43B9E" w:rsidRPr="003864E7" w14:paraId="2D8E2B2D"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6A7B4BFA"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Пропонуємо виключити цей пункт.</w:t>
            </w:r>
          </w:p>
          <w:p w14:paraId="171E9AE7"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Вважаємо, що наведене формулювання не відображає комплексність проблем, що пов’язані з функціонуванням як балансуючого ринку, так і балансуючої групи Гарантованого покупця, та хибно </w:t>
            </w:r>
            <w:r w:rsidRPr="003864E7">
              <w:rPr>
                <w:rFonts w:ascii="Times New Roman" w:eastAsia="Times New Roman" w:hAnsi="Times New Roman" w:cs="Times New Roman"/>
              </w:rPr>
              <w:lastRenderedPageBreak/>
              <w:t>акцентує увагу саме на системі Feed-in Premium як можливому шляху вирішення проблем. В той же час зовсім не згадуються інші шляхи вирішення поточних проблем, які можуть і повинні впроваджуватися незалежно від запровадження системи Feed-in Premium. Як приклад, ми можемо навести:</w:t>
            </w:r>
          </w:p>
          <w:p w14:paraId="0C2944AC" w14:textId="77777777" w:rsidR="00B43B9E" w:rsidRPr="003864E7" w:rsidRDefault="00AF0BE5">
            <w:pPr>
              <w:numPr>
                <w:ilvl w:val="0"/>
                <w:numId w:val="9"/>
              </w:num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Підвищення ефективності співпраці між ДП «Гарантований покупець», ОСП та виробниками електричної енергії з ВДЕ стосовно обміну даними та прогнозуванню виробництва електричної енергії (що підвищить якість прогнозування та знизить наявні небаланси).</w:t>
            </w:r>
          </w:p>
          <w:p w14:paraId="263C292B" w14:textId="77777777" w:rsidR="00B43B9E" w:rsidRPr="003864E7" w:rsidRDefault="00AF0BE5">
            <w:pPr>
              <w:numPr>
                <w:ilvl w:val="0"/>
                <w:numId w:val="9"/>
              </w:num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Запровадження ефективних торгових стратегій ДП «Гарантований покупець» та НАЕК «Енергоатом» на всіх сегментах ринку (що знизить волатильність цін на РДН та ВДР та стабілізує діяльність ринку).</w:t>
            </w:r>
          </w:p>
          <w:p w14:paraId="6D041050" w14:textId="77777777" w:rsidR="00B43B9E" w:rsidRPr="003864E7" w:rsidRDefault="00AF0BE5">
            <w:pPr>
              <w:numPr>
                <w:ilvl w:val="0"/>
                <w:numId w:val="9"/>
              </w:num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Забезпечення своєчасних розрахунків спеціальних категорій споживачів (державні шахти, «Вода Донбасу» тощо) за спожиту електричну енергію (що дозволить припинити накопичення боргів на балансуючому ринку, розрахунки з учасниками якого відбуваються із затримкою у 12 місяців).</w:t>
            </w:r>
          </w:p>
          <w:p w14:paraId="4FF2C805"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Запровадження системи Feed-in Premium без одночасного виконання визначених заходів не дозволить вирішити існуючі проблеми, а лише перенесе ці проблеми з балансуючої групи Гарантованого покупця на інші балансуючі групи, учасниками яких стануть виробники електричної енергії з ВДЕ.</w:t>
            </w:r>
          </w:p>
        </w:tc>
        <w:tc>
          <w:tcPr>
            <w:tcW w:w="3969" w:type="dxa"/>
            <w:tcBorders>
              <w:top w:val="single" w:sz="6" w:space="0" w:color="000000"/>
              <w:left w:val="single" w:sz="6" w:space="0" w:color="000000"/>
              <w:bottom w:val="single" w:sz="6" w:space="0" w:color="000000"/>
              <w:right w:val="single" w:sz="6" w:space="0" w:color="000000"/>
            </w:tcBorders>
          </w:tcPr>
          <w:p w14:paraId="2FF04481"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Пропозиції до розділу «Використання відновлюваних джерел енергії в електроенергетичному комплексі»</w:t>
            </w:r>
          </w:p>
          <w:p w14:paraId="2F80D6CA"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Абзаци на ст. 8 розділу:</w:t>
            </w:r>
          </w:p>
          <w:p w14:paraId="7CBCD99F"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«Значний обсяг об’єктів відновлюваної енергетики, сконцентрований у межах однієї балансуючої групи, не може оперативно реагувати на режими роботи енергосистеми та цінові сигнали ринку, забезпечуючи взаємну вигоду для оператора системи передачі та виробників електричної енергії з альтернативних джерел щодо балансування енергосистеми. Це призводить до фінансових втрат ДП «Гарантований покупець» та збільшення вартості послуги із забезпечення збільшення частки виробництва електричної енергії з альтернативних джерел, що є невід’ємною складовою тарифу на послугу з передачі електричної енергії, який сплачується усіма споживачами. Також, не залученість виробників електричної енергії з альтернативних джерел енергії до участі в ринку електричної енергії (в тому числі – балансуючому) на конкурентних умовах ускладнює та збільшує вартість балансування режимів роботи енергосистеми.»</w:t>
            </w:r>
          </w:p>
        </w:tc>
        <w:tc>
          <w:tcPr>
            <w:tcW w:w="5812" w:type="dxa"/>
            <w:tcBorders>
              <w:top w:val="single" w:sz="6" w:space="0" w:color="000000"/>
              <w:left w:val="single" w:sz="6" w:space="0" w:color="000000"/>
              <w:bottom w:val="single" w:sz="6" w:space="0" w:color="000000"/>
              <w:right w:val="single" w:sz="6" w:space="0" w:color="000000"/>
            </w:tcBorders>
          </w:tcPr>
          <w:p w14:paraId="73F5AB95"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Не враховано</w:t>
            </w:r>
          </w:p>
          <w:p w14:paraId="32C47907"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Запровадження системи Feed-in-premium є одним із ключових механізмів вирішення зазначених проблем щодо балансування енергосистеми.</w:t>
            </w:r>
          </w:p>
          <w:p w14:paraId="3663CBCC"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p>
        </w:tc>
      </w:tr>
      <w:tr w:rsidR="00B43B9E" w:rsidRPr="003864E7" w14:paraId="0E321FD2"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421B1D90"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Відповідно до статті 9-1 Закону України «Про альтернативні джерела енергії» держава гарантує, що для суб’єктів господарювання, які виробляють електричну енергію з альтернативних джерел енергії на введених в експлуатацію об’єктах електроенергетики, буде застосовуватися порядок стимулювання виробництва електричної енергії з альтернативних джерел енергії, встановлений на дату введення в експлуатацію об’єктів електроенергетики. У разі </w:t>
            </w:r>
            <w:r w:rsidRPr="003864E7">
              <w:rPr>
                <w:rFonts w:ascii="Times New Roman" w:eastAsia="Times New Roman" w:hAnsi="Times New Roman" w:cs="Times New Roman"/>
              </w:rPr>
              <w:lastRenderedPageBreak/>
              <w:t>внесення змін до законодавства, що регулює порядок стимулювання виробництва електричної енергії з альтернативних джерел енергії, суб’єкти господарювання можуть обрати новий порядок стимулювання.</w:t>
            </w:r>
          </w:p>
          <w:p w14:paraId="2549EA57"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Крім цього, відповідно до Меморандуму про взаєморозуміння щодо врегулювання проблемних питань у сфері відновлюваної енергетики в Україні від 10 червня 2020 року та Закону України "Про внесення змін до деяких законів України щодо удосконалення умов підтримки виробництва електричної енергії з альтернативних джерел енергії" від 21.07.2020 № 810-ІХ (далі – Закон № 810-ІХ)держава гарантувала, що для суб’єктів господарювання, яким "зелений" тариф</w:t>
            </w:r>
          </w:p>
          <w:p w14:paraId="1FAFDAF5"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встановлений, буде застосовуватися законодавство України, чинне на день набрання чинності Законом України № 810-ІХ.</w:t>
            </w:r>
          </w:p>
          <w:p w14:paraId="386FAA31"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Таким чином, перехід на нову систему підтримки Feed-in-Premium для таких виробників може відбуватись лише на добровільних засадах.</w:t>
            </w:r>
          </w:p>
          <w:p w14:paraId="2EE0F4B1"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Пропонується викласти у такій редакції: «Одним із шляхів вирішення зазначеної проблеми заохочення виробників електричної енергії з ВДЕ до прямої участі у ринку електричної</w:t>
            </w:r>
          </w:p>
          <w:p w14:paraId="0717EA71"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енергії є запровадження системи Feed-in-Premium або контрактів на різницю для виробників з альтернативних</w:t>
            </w:r>
          </w:p>
          <w:p w14:paraId="3B89B71C"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джерел (як для існуючих договорів купівлі-продажу за "зеленим" тарифом так і за договорами, укладеними майбутніми переможцями аукціонів)</w:t>
            </w:r>
          </w:p>
          <w:p w14:paraId="2D4280A5"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замість фіксованих платежів за «зеленим» тарифом - Feed-in-Tariff.</w:t>
            </w:r>
          </w:p>
          <w:p w14:paraId="6B4DFAC1"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Відповідно до моделі Feed-in-Premium, виробники електричної енергії з альтернативних джерел енергії безпосередньо зможуть виступати як учасники ринку, самостійно продаючи електричну енергію, оптимізуючи свої доходи від виробництва та зменшуючи свої небаланси. Одночасно такі виробники </w:t>
            </w:r>
            <w:r w:rsidRPr="003864E7">
              <w:rPr>
                <w:rFonts w:ascii="Times New Roman" w:eastAsia="Times New Roman" w:hAnsi="Times New Roman" w:cs="Times New Roman"/>
              </w:rPr>
              <w:lastRenderedPageBreak/>
              <w:t>матимуть право на отримання плати від гарантованого покупця надбавки у вигляді різниці між встановленим «зеленим» тарифом або аукціонною ціною та розрахунковою ринковою ціною. Крім того, виробники електричної енергії з альтернативних джерел енергії будуть вмотивовані створювати нові окремі балансуючі групи, що матимуть можливість управляти небалансами власного портфеля об’єктів в режимі реального часу і, задля уникнення небалансів, впроваджувати нові підходи та технології прогнозування, системи накопичення енергії та керування попитом, сприяючи зусиллям оператора системи передачі щодо балансування енергосистеми.</w:t>
            </w:r>
          </w:p>
          <w:p w14:paraId="29999C86"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Нова система Feed-in-Premium або контракти на різницю буде обов’язковою для переможців аукціонів з розподілу квоти підтримки. Перехід на нову систему для виробників, що працюють за чинними договорами купівлі-продажу за "зеленим" тарифом, буде відбуватись із дотриманням встановлених Законом України «Про альтернативні джерела енергії» державних гарантій добровільного обрання виробниками нової системи підтримки.»</w:t>
            </w:r>
          </w:p>
        </w:tc>
        <w:tc>
          <w:tcPr>
            <w:tcW w:w="3969" w:type="dxa"/>
            <w:tcBorders>
              <w:top w:val="single" w:sz="6" w:space="0" w:color="000000"/>
              <w:left w:val="single" w:sz="6" w:space="0" w:color="000000"/>
              <w:bottom w:val="single" w:sz="6" w:space="0" w:color="000000"/>
              <w:right w:val="single" w:sz="6" w:space="0" w:color="000000"/>
            </w:tcBorders>
          </w:tcPr>
          <w:p w14:paraId="0516956D"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Пропозиції до розділу «Використання відновлюваних джерел енергії в електроенергетичному комплексі»</w:t>
            </w:r>
          </w:p>
          <w:p w14:paraId="4E6F3AC8"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Абзаци на ст. 8 розділу:</w:t>
            </w:r>
          </w:p>
          <w:p w14:paraId="1C2EEFBD"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«Одним із шляхів вирішення зазначеної проблеми є запровадження системи Feed-in-Premium або контрактів на різницю для виробників з альтернативних джерел (як для </w:t>
            </w:r>
            <w:r w:rsidRPr="003864E7">
              <w:rPr>
                <w:rFonts w:ascii="Times New Roman" w:eastAsia="Times New Roman" w:hAnsi="Times New Roman" w:cs="Times New Roman"/>
              </w:rPr>
              <w:t>існуючих договорів купівлі-продажу за "зеленим" тарифом  так і за договорами, укладеними майбутніми переможцями аукціонів) замість фіксованих платежів за «зеленим» тарифом - Feed-in-Tariff.</w:t>
            </w:r>
          </w:p>
          <w:p w14:paraId="4FAFDA69"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Відповідно до моделі Feed-in-Premium, виробники електричної енергії з альтернативних джерел енергії безпосередньо зможуть виступати як учасники ринку, самостійно продаючи електричну енергію, оптимізуючи свої доходи від виробництва та зменшуючи свої небаланси. Одночасно такі виробники матимуть право на отримання плати від гарантованого покупця надбавки у вигляді різниці між встановленим «зеленим» тарифом або аукціонною ціною та розрахунковою ринковою ціною. Крім того, виробники електричної енергії з альтернативних джерел енергії будуть вмотивовані створювати нові окремі балансуючі групи, що матимуть можливість управляти небалансами власного портфеля об’єктів в режимі реального часу і, задля уникнення небалансів, впроваджувати нові підходи та технології прогнозування, системи накопичення енергії та керування попитом, сприяючи зусиллям оператора системи передачі щодо балансування енергосистеми.»</w:t>
            </w:r>
          </w:p>
        </w:tc>
        <w:tc>
          <w:tcPr>
            <w:tcW w:w="5812" w:type="dxa"/>
            <w:tcBorders>
              <w:top w:val="single" w:sz="6" w:space="0" w:color="000000"/>
              <w:left w:val="single" w:sz="6" w:space="0" w:color="000000"/>
              <w:bottom w:val="single" w:sz="6" w:space="0" w:color="000000"/>
              <w:right w:val="single" w:sz="6" w:space="0" w:color="000000"/>
            </w:tcBorders>
          </w:tcPr>
          <w:p w14:paraId="285AC331"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w:t>
            </w:r>
          </w:p>
          <w:p w14:paraId="3CFEE87F"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Абзаци на ст. 8 розділу Використання відновлюваних джерел енергії в електроенергетичному комплексі» викладено наступним чином:</w:t>
            </w:r>
          </w:p>
          <w:p w14:paraId="1A2A24BC"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 xml:space="preserve">«Одним із шляхів вирішення зазначеної проблеми є запровадження системи Feed-in-Premium або контрактів на різницю для виробників з альтернативних джерел (як для існуючих договорів купівлі-продажу за "зеленим" тарифом (на добровільних засадах) так і за договорами, </w:t>
            </w:r>
            <w:r w:rsidRPr="003864E7">
              <w:rPr>
                <w:rFonts w:ascii="Times New Roman" w:eastAsia="Times New Roman" w:hAnsi="Times New Roman" w:cs="Times New Roman"/>
              </w:rPr>
              <w:lastRenderedPageBreak/>
              <w:t>укладеними майбутніми переможцями аукціонів) замість фіксованих платежів за «зеленим» тарифом - Feed-in-Tariff.</w:t>
            </w:r>
          </w:p>
          <w:p w14:paraId="5DCFF68B"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rPr>
              <w:t>Відповідно до моделі Feed-in-Premium, виробники електричної енергії з альтернативних джерел енергії безпосередньо зможуть виступати як учасники ринку, самостійно продаючи електричну енергію, оптимізуючи свої доходи від виробництва та зменшуючи свої небаланси. Одночасно такі виробники матимуть право на отримання від гарантованого покупця надбавки у вигляді різниці між встановленим «зеленим» тарифом або аукціонною ціною та розрахунковою ринковою ціною. Крім того, виробники електричної енергії з альтернативних джерел енергії будуть вмотивовані створювати нові окремі балансуючі групи, що матимуть можливість управляти небалансами власного портфеля об’єктів в режимі реального часу і, задля уникнення небалансів, впроваджувати нові підходи та технології прогнозування, системи накопичення енергії та керування попитом, сприяючи зусиллям оператора системи передачі щодо балансування енергосистеми.»</w:t>
            </w:r>
          </w:p>
        </w:tc>
      </w:tr>
      <w:tr w:rsidR="00B43B9E" w:rsidRPr="003864E7" w14:paraId="082C90F4"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33FB6F4A"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Пропонується замінити слово «уникнути» на «знизити».</w:t>
            </w:r>
          </w:p>
        </w:tc>
        <w:tc>
          <w:tcPr>
            <w:tcW w:w="3969" w:type="dxa"/>
            <w:tcBorders>
              <w:top w:val="single" w:sz="6" w:space="0" w:color="000000"/>
              <w:left w:val="single" w:sz="6" w:space="0" w:color="000000"/>
              <w:bottom w:val="single" w:sz="6" w:space="0" w:color="000000"/>
              <w:right w:val="single" w:sz="6" w:space="0" w:color="000000"/>
            </w:tcBorders>
          </w:tcPr>
          <w:p w14:paraId="4FE945F8"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джерел енергії в електроенергетичному комплексі»</w:t>
            </w:r>
          </w:p>
          <w:p w14:paraId="432E1E00"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Абзаци на ст. 9 розділу:</w:t>
            </w:r>
          </w:p>
          <w:p w14:paraId="5B41B6D9"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 xml:space="preserve">«Питання створення системи видачі гарантій походження електричної енергії є актуальним для споживачів, в першу чергу експортерів, з огляду на майбутнє запровадження механізму вуглецевого коригування на кордоні з ЄС (CBAM). Придбавши «зелену» електроенергію разом із гарантією походження, українські експортери матимуть змогу підтвердити, що продукція вироблена </w:t>
            </w:r>
            <w:r w:rsidRPr="003864E7">
              <w:rPr>
                <w:rFonts w:ascii="Times New Roman" w:eastAsia="Times New Roman" w:hAnsi="Times New Roman" w:cs="Times New Roman"/>
              </w:rPr>
              <w:lastRenderedPageBreak/>
              <w:t>з відновлюваних джерел та уникнути оподаткування за викиди вуглецю.»</w:t>
            </w:r>
          </w:p>
        </w:tc>
        <w:tc>
          <w:tcPr>
            <w:tcW w:w="5812" w:type="dxa"/>
            <w:tcBorders>
              <w:top w:val="single" w:sz="6" w:space="0" w:color="000000"/>
              <w:left w:val="single" w:sz="6" w:space="0" w:color="000000"/>
              <w:bottom w:val="single" w:sz="6" w:space="0" w:color="000000"/>
              <w:right w:val="single" w:sz="6" w:space="0" w:color="000000"/>
            </w:tcBorders>
          </w:tcPr>
          <w:p w14:paraId="03107C4D"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w:t>
            </w:r>
          </w:p>
          <w:p w14:paraId="2A7D44CE"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Абзаци на ст. 9 розділу викладено наступним чином:</w:t>
            </w:r>
          </w:p>
          <w:p w14:paraId="22C55A79"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w:t>
            </w:r>
            <w:r w:rsidRPr="003864E7">
              <w:rPr>
                <w:rFonts w:ascii="Times New Roman" w:eastAsia="Times New Roman" w:hAnsi="Times New Roman" w:cs="Times New Roman"/>
              </w:rPr>
              <w:t>Питання створення системи видачі гарантій походження електричної енергії є актуальним для споживачів, в першу чергу експортерів, з огляду на майбутнє запровадження механізму вуглецевого коригування на кордоні з ЄС (CBAM), а також для ефективної реалізації Corporate PPAs. Придбавши «зелену» електроенергію разом із гарантією походження, українські експортери матимуть змогу підтвердити, що продукція вироблена з відновлюваних джерел та знизити  оподаткування за викиди вуглецю</w:t>
            </w:r>
            <w:r w:rsidRPr="003864E7">
              <w:rPr>
                <w:rFonts w:ascii="Times New Roman" w:eastAsia="Times New Roman" w:hAnsi="Times New Roman" w:cs="Times New Roman"/>
                <w:color w:val="000000"/>
              </w:rPr>
              <w:t>.»</w:t>
            </w:r>
          </w:p>
        </w:tc>
      </w:tr>
      <w:tr w:rsidR="00B43B9E" w:rsidRPr="003864E7" w14:paraId="1D9EB60F"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30C18E93"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У проєкті Національного плану розробниками акцентовано на Corporate PPA, що передбачає продаж електричної енергії споживачеві (фізичний Corporate PPA). В той же час останні роки фінансові Corporate PPAs набувають все більшого поширення для проєктів у сфері ВДЕ.</w:t>
            </w:r>
          </w:p>
          <w:p w14:paraId="0C875E25"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Застосування фізичних та фінансових Corporate PPAs є звичайною практика інших країн (в тому числі країн ЄС, США та Канади) для реалізації проєктів у сфері ВДЕ.</w:t>
            </w:r>
          </w:p>
          <w:p w14:paraId="40336285"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Тому ми пропонуємо передбачити у Національному плані основу для використання різноманітних видів Corporate PPAs в Україні та додати елементи банкабільності.</w:t>
            </w:r>
          </w:p>
          <w:p w14:paraId="0E57612F"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Пропозиція викласти у такій редакції: «Високий попит на «зелену» електроенергію створює умови для розвитку сегменту довгострокових двосторонніх договорів (Corporate PPAs). Практика реалізації Corporate PPAs в інших країнах свідчить, що проєкти можуть реалізовуватись з використанням довгострокових двосторонніх договорів купівлі-продажу електричної енергії, які укладаються між виробниками з альтернативних джерел енергії і споживачами та передбачають фізичну поставку електричної енергії споживачеві (фізичні Corporate PPAs). Також поширеною формою є фінансові Corporate PPAs, зокрема договори у формі контракту на різницю цін, згідно з якими виробники та споживачі електричної енергії домовляються про довгостроковий ціновий механізм, який дозволяє сторонам мінімізувати ризики коливання цін на ринку.</w:t>
            </w:r>
          </w:p>
          <w:p w14:paraId="49380BE2"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Світовий ринок Corporate PPAs за останні декілька років суттєво зріс, лише за 2019 рік було підписано Corporate PPAs на загальну потужність 19,5 ГВт. Зважаючи на CBAM та заплановану інтеграцію з </w:t>
            </w:r>
            <w:r w:rsidRPr="003864E7">
              <w:rPr>
                <w:rFonts w:ascii="Times New Roman" w:eastAsia="Times New Roman" w:hAnsi="Times New Roman" w:cs="Times New Roman"/>
              </w:rPr>
              <w:lastRenderedPageBreak/>
              <w:t>ENTSO-E, саме експорт «зеленої» електроенергії в ЄС за прямими договорами є економічно доцільним.</w:t>
            </w:r>
          </w:p>
          <w:p w14:paraId="062CC5B5"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Українські виробники альтернативної енергії можуть бути зацікавленими у переході від продажу електроенергії за «зеленим» тарифом на її експорт за прямими договорами та з гарантією походження. Тому вимоги щодо регулювання сРРА повинні бути гармонізовані з вимогами щодо сРРА в ЄС та вимогами щодо їх банкабільності (bankability).</w:t>
            </w:r>
          </w:p>
          <w:p w14:paraId="7EA953BE"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Застосування Corporate PPA’s дозволить збільшити частку відновлюваних джерел енергії в енергобалансі без додаткового фінансового навантаження на державу та державні компанії.</w:t>
            </w:r>
          </w:p>
          <w:p w14:paraId="40FE998F"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При цьому на виробників ВДЕ за cPPA повинні поширюватися принаймні мінімальні гарантій роботи, як-то: недопустимість обмеження генерації інакше як з обов’язковою компенсацією, наявність допустимих показників відхилення від прогнозів, посилений контроль за умовами приєднання таких електроустановок, зокрема щодо запобігання необґрунтованим відключенням такого виробника а також стабільне, збалансоване регулювання щодо участі “зелених” виробників за сРРА у балансуючому ринку, прийняте у прозорий спосіб та з залученням «зелених” вииробників.»</w:t>
            </w:r>
          </w:p>
        </w:tc>
        <w:tc>
          <w:tcPr>
            <w:tcW w:w="3969" w:type="dxa"/>
            <w:tcBorders>
              <w:top w:val="single" w:sz="6" w:space="0" w:color="000000"/>
              <w:left w:val="single" w:sz="6" w:space="0" w:color="000000"/>
              <w:bottom w:val="single" w:sz="6" w:space="0" w:color="000000"/>
              <w:right w:val="single" w:sz="6" w:space="0" w:color="000000"/>
            </w:tcBorders>
          </w:tcPr>
          <w:p w14:paraId="0255CE68"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Пропозиції до розділу «Використання відновлюваних джерел енергії в електроенергетичному комплексі»</w:t>
            </w:r>
          </w:p>
          <w:p w14:paraId="30DC1BE3"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Абзаци на ст. 9 розділу:</w:t>
            </w:r>
          </w:p>
          <w:p w14:paraId="07269E79"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«Високий попит на «зелену» електроенергію створює умови для розвитку сегменту прямих договорів (Corporate PPA’s) – договорів купівлі-продажу електричної енергії, відповідно до яких покупцем електричної є приватний споживач, а не держава в особі гарантованого покупця. Світовий ринок Corporate PPA’s за останні декілька років суттєво зріс, лише за 2019 рік було підписано Corporate PPA’s на загальну потужність 19,5 ГВт.</w:t>
            </w:r>
          </w:p>
          <w:p w14:paraId="6F9A4B9D"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Застосування Corporate PPA’s дозволить збільшити частку відновлюваних джерел енергії в енергобалансі без додаткового фінансового навантаження на державу та споживачів.»</w:t>
            </w:r>
          </w:p>
        </w:tc>
        <w:tc>
          <w:tcPr>
            <w:tcW w:w="5812" w:type="dxa"/>
            <w:tcBorders>
              <w:top w:val="single" w:sz="6" w:space="0" w:color="000000"/>
              <w:left w:val="single" w:sz="6" w:space="0" w:color="000000"/>
              <w:bottom w:val="single" w:sz="6" w:space="0" w:color="000000"/>
              <w:right w:val="single" w:sz="6" w:space="0" w:color="000000"/>
            </w:tcBorders>
          </w:tcPr>
          <w:p w14:paraId="0D53C711"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6208828F" w14:textId="77777777" w:rsidR="00B43B9E" w:rsidRPr="003864E7" w:rsidRDefault="00AF0BE5">
            <w:pPr>
              <w:spacing w:after="0" w:line="240" w:lineRule="auto"/>
              <w:ind w:left="57" w:right="57" w:firstLine="708"/>
              <w:jc w:val="both"/>
              <w:rPr>
                <w:rFonts w:ascii="Times New Roman" w:eastAsia="Times New Roman" w:hAnsi="Times New Roman" w:cs="Times New Roman"/>
                <w:color w:val="000000"/>
              </w:rPr>
            </w:pPr>
            <w:r w:rsidRPr="003864E7">
              <w:rPr>
                <w:rFonts w:ascii="Times New Roman" w:eastAsia="Times New Roman" w:hAnsi="Times New Roman" w:cs="Times New Roman"/>
              </w:rPr>
              <w:t xml:space="preserve">Абзаци на ст. 9 </w:t>
            </w:r>
            <w:r w:rsidRPr="003864E7">
              <w:rPr>
                <w:rFonts w:ascii="Times New Roman" w:eastAsia="Times New Roman" w:hAnsi="Times New Roman" w:cs="Times New Roman"/>
                <w:color w:val="000000"/>
              </w:rPr>
              <w:t xml:space="preserve">розділ «Використання відновлювальних джерел енергії в електроенергетичному комплексі» викладено у такій редакції: </w:t>
            </w:r>
          </w:p>
          <w:p w14:paraId="7B85884E" w14:textId="77777777" w:rsidR="00B43B9E" w:rsidRPr="003864E7" w:rsidRDefault="00AF0BE5">
            <w:pPr>
              <w:spacing w:after="0" w:line="240" w:lineRule="auto"/>
              <w:ind w:left="57" w:right="57" w:firstLine="70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«Високий попит на «зелену» електроенергію створює умови для розвитку сегменту прямих договорів (Corporate PPA’s) різних типів, у тому числі фізичних (physical corporate PPA), «з рукавом» (“sleeved” PPA) та віртуальних (virtual/synthetic PPA).   Покупцем електроенергії відповідно до так</w:t>
            </w:r>
            <w:r w:rsidRPr="003864E7">
              <w:rPr>
                <w:rFonts w:ascii="Times New Roman" w:eastAsia="Times New Roman" w:hAnsi="Times New Roman" w:cs="Times New Roman"/>
              </w:rPr>
              <w:t>и</w:t>
            </w:r>
            <w:r w:rsidRPr="003864E7">
              <w:rPr>
                <w:rFonts w:ascii="Times New Roman" w:eastAsia="Times New Roman" w:hAnsi="Times New Roman" w:cs="Times New Roman"/>
                <w:color w:val="000000"/>
              </w:rPr>
              <w:t>х договорів є приватний споживач, а не держава в особі гарантованого покупця. Світовий ринок Corporate PPA’s за останні декілька років суттєво зріс, лише за 2019 рік було підписано Corporate PPA’s на загальну потужність 19,5 ГВт.</w:t>
            </w:r>
          </w:p>
          <w:p w14:paraId="4CCB08CE"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Українські виробники альтернативної енергії можуть бути зацікавленими у переході від продажу електроенергії за «зеленим» тарифом на її експорт за прямими договорами та з гарантією походження. Тому вимоги щодо регулювання сРРА повинні бути гармонізовані з вимогами щодо сРРА в ЄС та вимогами щодо їх фінансової та банківської привабливості (bankability).</w:t>
            </w:r>
          </w:p>
          <w:p w14:paraId="241D930A"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Застосування Corporate PPA’s дозволить збільшити частку відновлюваних джерел енергії в енергобалансі без додаткового фінансового навантаження на державу».</w:t>
            </w:r>
          </w:p>
        </w:tc>
      </w:tr>
      <w:tr w:rsidR="00B43B9E" w:rsidRPr="003864E7" w14:paraId="5F7D2481"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6CBB259A"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Самого факту наявності гарантій недостатньо, якщо у виробника не буде можливості продавати їх.</w:t>
            </w:r>
          </w:p>
          <w:p w14:paraId="629E8213"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Пропонується абзац на ст.9 викласти у такій редакції: «Механізмом, що дозволить задовольнити таку потребу є запровадження системи видачі гарантій походження електричної енергії з альтернативних джерел енергії та можливостей продажу електроенергії за прямими або непрямими договорами купівлі-продажу електроенергії з промисловими виробниками (corporate PPAs).»</w:t>
            </w:r>
          </w:p>
        </w:tc>
        <w:tc>
          <w:tcPr>
            <w:tcW w:w="3969" w:type="dxa"/>
            <w:tcBorders>
              <w:top w:val="single" w:sz="6" w:space="0" w:color="000000"/>
              <w:left w:val="single" w:sz="6" w:space="0" w:color="000000"/>
              <w:bottom w:val="single" w:sz="6" w:space="0" w:color="000000"/>
              <w:right w:val="single" w:sz="6" w:space="0" w:color="000000"/>
            </w:tcBorders>
          </w:tcPr>
          <w:p w14:paraId="75F0F9ED"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джерел енергії в електроенергетичному комплексі»</w:t>
            </w:r>
          </w:p>
          <w:p w14:paraId="38B0EFEF"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Абзаци на ст. 9 розділу:</w:t>
            </w:r>
          </w:p>
          <w:p w14:paraId="76F180F5"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«Механізмом, що дозволить задовольнити таку потребу є запровадження системи видачі гарантій походження електричної енергії з альтернативних джерел енергії»</w:t>
            </w:r>
          </w:p>
        </w:tc>
        <w:tc>
          <w:tcPr>
            <w:tcW w:w="5812" w:type="dxa"/>
            <w:tcBorders>
              <w:top w:val="single" w:sz="6" w:space="0" w:color="000000"/>
              <w:left w:val="single" w:sz="6" w:space="0" w:color="000000"/>
              <w:bottom w:val="single" w:sz="6" w:space="0" w:color="000000"/>
              <w:right w:val="single" w:sz="6" w:space="0" w:color="000000"/>
            </w:tcBorders>
          </w:tcPr>
          <w:p w14:paraId="29ED2EBE"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0B26ECB1"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Абзаци на ст. 9 розділу викладено наступним чином:</w:t>
            </w:r>
          </w:p>
          <w:p w14:paraId="6F53089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«Механізмом, що дозволить задовольнити таку потребу є запровадження гарантій походження електричної енергії з альтернативних джерел енергії, визначення в законодавчьому полі способів врахування гарантій походження для зниження екологічних податків та можливостей продажу електроенергії за прямими або непрямими договорами купівлі-продажу електроенергії між виробниками та кінцевими споживачами енергії (corporate PPAs).»</w:t>
            </w:r>
          </w:p>
        </w:tc>
      </w:tr>
      <w:tr w:rsidR="00B43B9E" w:rsidRPr="003864E7" w14:paraId="57DACD2F"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5EEE43C0"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Завдання 2 передбачає проведення аукціонів у 2022 році.</w:t>
            </w:r>
          </w:p>
          <w:p w14:paraId="75AA0340"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У звязку з цим потребує уточнення строк подання проекту розпорядження Кабінету Міністрів України про встановлення річної квоти підтримки на 2022 рік.</w:t>
            </w:r>
          </w:p>
          <w:p w14:paraId="164B9AAD"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 іншому випадку (у разі подання проекту квоти до 1 листопада 2022) проведення аукціонів у 2022 році виявляється малоймовірним</w:t>
            </w:r>
          </w:p>
          <w:p w14:paraId="6D798C07"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Пропонується визначити строк виконання:</w:t>
            </w:r>
          </w:p>
          <w:p w14:paraId="6AFDD6AF"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«до 1 травня 2022 року (для аукціонів 2022 року)</w:t>
            </w:r>
          </w:p>
          <w:p w14:paraId="2721F861"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щороку до 1 листопада»</w:t>
            </w:r>
          </w:p>
        </w:tc>
        <w:tc>
          <w:tcPr>
            <w:tcW w:w="3969" w:type="dxa"/>
            <w:tcBorders>
              <w:top w:val="single" w:sz="6" w:space="0" w:color="000000"/>
              <w:left w:val="single" w:sz="6" w:space="0" w:color="000000"/>
              <w:bottom w:val="single" w:sz="6" w:space="0" w:color="000000"/>
              <w:right w:val="single" w:sz="6" w:space="0" w:color="000000"/>
            </w:tcBorders>
          </w:tcPr>
          <w:p w14:paraId="5D425E01"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Пункт 1 Цілі 4. Нормативно-правове та організаційне забезпечення розвитку відновлюваної енергетики. «Подання Кабінетові Міністрів України проекту розпорядження Кабінету Міністрів 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w:t>
            </w:r>
          </w:p>
          <w:p w14:paraId="561D321D"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 Відповідальні за виконання: </w:t>
            </w:r>
          </w:p>
          <w:p w14:paraId="39187600"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Міненерго </w:t>
            </w:r>
          </w:p>
          <w:p w14:paraId="7A73B450"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Держенергоефективності </w:t>
            </w:r>
          </w:p>
          <w:p w14:paraId="43D96ADB"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ПрАТ «НЕК» Укренерго» (за згодою)</w:t>
            </w:r>
          </w:p>
          <w:p w14:paraId="06E52EE6"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Строк виконання: </w:t>
            </w:r>
          </w:p>
          <w:p w14:paraId="2144F124"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щороку до 1 листопада</w:t>
            </w:r>
          </w:p>
          <w:p w14:paraId="6CE3C5C5" w14:textId="77777777" w:rsidR="00B43B9E" w:rsidRPr="003864E7" w:rsidRDefault="00B43B9E">
            <w:pPr>
              <w:spacing w:after="0" w:line="240" w:lineRule="auto"/>
              <w:ind w:left="57" w:right="57" w:firstLine="708"/>
              <w:jc w:val="right"/>
              <w:rPr>
                <w:rFonts w:ascii="Times New Roman" w:eastAsia="Times New Roman" w:hAnsi="Times New Roman" w:cs="Times New Roman"/>
              </w:rPr>
            </w:pPr>
          </w:p>
        </w:tc>
        <w:tc>
          <w:tcPr>
            <w:tcW w:w="5812" w:type="dxa"/>
            <w:tcBorders>
              <w:top w:val="single" w:sz="6" w:space="0" w:color="000000"/>
              <w:left w:val="single" w:sz="6" w:space="0" w:color="000000"/>
              <w:bottom w:val="single" w:sz="6" w:space="0" w:color="000000"/>
              <w:right w:val="single" w:sz="6" w:space="0" w:color="000000"/>
            </w:tcBorders>
          </w:tcPr>
          <w:p w14:paraId="792712A5"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 частково.</w:t>
            </w:r>
          </w:p>
          <w:p w14:paraId="6B033C59"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Відповідно до пункту 6 Порядку проведення аукціонів з розподілу квоти підтримки, затвердженого постановою Кабінету Міністрів України від 27 грудня 2019 р. № 1175,  проект рішення щодо встановлення річних квот підтримки суб’єктів господарювання, які виробляють електричну енергію з альтернативних джерел енергії подається Кабінетові Міністрів України щороку до 31 жовтня.</w:t>
            </w:r>
          </w:p>
          <w:p w14:paraId="762F1EA3"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Пункт 1 Цілі 4.викладено у такій редакції: «Подання Кабінетові Міністрів України проекту розпорядження Кабінету Міністрів 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w:t>
            </w:r>
          </w:p>
          <w:p w14:paraId="08B73A3F"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 Відповідальні за виконання: </w:t>
            </w:r>
          </w:p>
          <w:p w14:paraId="78422D11"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Міненерго </w:t>
            </w:r>
          </w:p>
          <w:p w14:paraId="1DC7EF7F"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Держенергоефективності </w:t>
            </w:r>
          </w:p>
          <w:p w14:paraId="1A3B9A9B"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ПрАТ «НЕК» Укренерго» </w:t>
            </w:r>
          </w:p>
          <w:p w14:paraId="7BA6DA03"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Строк виконання: </w:t>
            </w:r>
          </w:p>
          <w:p w14:paraId="4B069DA6" w14:textId="77777777" w:rsidR="00B43B9E" w:rsidRPr="003864E7" w:rsidRDefault="00AF0BE5">
            <w:pPr>
              <w:pBdr>
                <w:top w:val="nil"/>
                <w:left w:val="nil"/>
                <w:bottom w:val="nil"/>
                <w:right w:val="nil"/>
                <w:between w:val="nil"/>
              </w:pBdr>
              <w:spacing w:after="0" w:line="240" w:lineRule="auto"/>
              <w:ind w:right="57" w:firstLine="567"/>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щороку до 31 жовтня</w:t>
            </w:r>
          </w:p>
        </w:tc>
      </w:tr>
      <w:tr w:rsidR="00B43B9E" w:rsidRPr="003864E7" w14:paraId="00D372E7"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7FFE62C8"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Відповідно до частини одинадцятої статті 9-3 Закону України «Про альтернативні джерела енергії» відповідальним за організацію та проведення аукціонів (замовником аукціонів) є гарантований покупець.</w:t>
            </w:r>
          </w:p>
          <w:p w14:paraId="5D208346"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Пропонується відповідальних за винання викласти у такій редакції </w:t>
            </w:r>
          </w:p>
          <w:p w14:paraId="4358EE92" w14:textId="77777777" w:rsidR="00B43B9E" w:rsidRPr="003864E7" w:rsidRDefault="00AF0BE5">
            <w:pPr>
              <w:spacing w:after="0" w:line="240" w:lineRule="auto"/>
              <w:ind w:left="57" w:right="57"/>
              <w:jc w:val="right"/>
              <w:rPr>
                <w:rFonts w:ascii="Times New Roman" w:eastAsia="Times New Roman" w:hAnsi="Times New Roman" w:cs="Times New Roman"/>
              </w:rPr>
            </w:pPr>
            <w:r w:rsidRPr="003864E7">
              <w:rPr>
                <w:rFonts w:ascii="Times New Roman" w:eastAsia="Times New Roman" w:hAnsi="Times New Roman" w:cs="Times New Roman"/>
              </w:rPr>
              <w:t xml:space="preserve">Відповідальні за виконання: </w:t>
            </w:r>
          </w:p>
          <w:p w14:paraId="45C51E39" w14:textId="77777777" w:rsidR="00B43B9E" w:rsidRPr="003864E7" w:rsidRDefault="00AF0BE5">
            <w:pPr>
              <w:spacing w:after="0" w:line="240" w:lineRule="auto"/>
              <w:ind w:left="57" w:right="57"/>
              <w:jc w:val="right"/>
              <w:rPr>
                <w:rFonts w:ascii="Times New Roman" w:eastAsia="Times New Roman" w:hAnsi="Times New Roman" w:cs="Times New Roman"/>
              </w:rPr>
            </w:pPr>
            <w:r w:rsidRPr="003864E7">
              <w:rPr>
                <w:rFonts w:ascii="Times New Roman" w:eastAsia="Times New Roman" w:hAnsi="Times New Roman" w:cs="Times New Roman"/>
              </w:rPr>
              <w:t>Міненерго</w:t>
            </w:r>
          </w:p>
          <w:p w14:paraId="3625399D" w14:textId="77777777" w:rsidR="00B43B9E" w:rsidRPr="003864E7" w:rsidRDefault="00AF0BE5">
            <w:pPr>
              <w:spacing w:after="0" w:line="240" w:lineRule="auto"/>
              <w:ind w:left="57" w:right="57"/>
              <w:jc w:val="right"/>
              <w:rPr>
                <w:rFonts w:ascii="Times New Roman" w:eastAsia="Times New Roman" w:hAnsi="Times New Roman" w:cs="Times New Roman"/>
              </w:rPr>
            </w:pPr>
            <w:r w:rsidRPr="003864E7">
              <w:rPr>
                <w:rFonts w:ascii="Times New Roman" w:eastAsia="Times New Roman" w:hAnsi="Times New Roman" w:cs="Times New Roman"/>
              </w:rPr>
              <w:t>ДП «Гарантований покупець»</w:t>
            </w:r>
          </w:p>
          <w:p w14:paraId="4D200BC2" w14:textId="77777777" w:rsidR="00B43B9E" w:rsidRPr="003864E7" w:rsidRDefault="00AF0BE5">
            <w:pPr>
              <w:spacing w:after="0" w:line="240" w:lineRule="auto"/>
              <w:ind w:left="57" w:right="57"/>
              <w:jc w:val="right"/>
              <w:rPr>
                <w:rFonts w:ascii="Times New Roman" w:eastAsia="Times New Roman" w:hAnsi="Times New Roman" w:cs="Times New Roman"/>
              </w:rPr>
            </w:pPr>
            <w:r w:rsidRPr="003864E7">
              <w:rPr>
                <w:rFonts w:ascii="Times New Roman" w:eastAsia="Times New Roman" w:hAnsi="Times New Roman" w:cs="Times New Roman"/>
              </w:rPr>
              <w:t>ДП «Прозорро.Продажі» (за згодою)</w:t>
            </w:r>
          </w:p>
        </w:tc>
        <w:tc>
          <w:tcPr>
            <w:tcW w:w="3969" w:type="dxa"/>
            <w:tcBorders>
              <w:top w:val="single" w:sz="6" w:space="0" w:color="000000"/>
              <w:left w:val="single" w:sz="6" w:space="0" w:color="000000"/>
              <w:bottom w:val="single" w:sz="6" w:space="0" w:color="000000"/>
              <w:right w:val="single" w:sz="6" w:space="0" w:color="000000"/>
            </w:tcBorders>
          </w:tcPr>
          <w:p w14:paraId="616FF581"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Пункт 2. Цілі 4 Нормативно-правове та організаційне забезпечення розвитку відновлюваної енергетики:</w:t>
            </w:r>
          </w:p>
          <w:p w14:paraId="1F2A4283"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 xml:space="preserve"> «Проведення аукціонів з розподілу квоти підтримки виробництва електричної енергії з альтернативних джерел енергії»</w:t>
            </w:r>
          </w:p>
          <w:p w14:paraId="33465D9A"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 Відповідальні за виконання: </w:t>
            </w:r>
          </w:p>
          <w:p w14:paraId="2D81B7C3"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Міненерго </w:t>
            </w:r>
          </w:p>
          <w:p w14:paraId="64736D02"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ДП «Гарантований покупець» (за згодою) </w:t>
            </w:r>
          </w:p>
          <w:p w14:paraId="3B29D645"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ДП «Прозорро.Продажі» (за згодою) </w:t>
            </w:r>
          </w:p>
          <w:p w14:paraId="4F0DE829" w14:textId="77777777" w:rsidR="00B43B9E" w:rsidRPr="003864E7" w:rsidRDefault="00B43B9E">
            <w:pPr>
              <w:spacing w:after="0" w:line="240" w:lineRule="auto"/>
              <w:ind w:left="57" w:right="57" w:firstLine="708"/>
              <w:jc w:val="right"/>
              <w:rPr>
                <w:rFonts w:ascii="Times New Roman" w:eastAsia="Times New Roman" w:hAnsi="Times New Roman" w:cs="Times New Roman"/>
              </w:rPr>
            </w:pPr>
          </w:p>
        </w:tc>
        <w:tc>
          <w:tcPr>
            <w:tcW w:w="5812" w:type="dxa"/>
            <w:tcBorders>
              <w:top w:val="single" w:sz="6" w:space="0" w:color="000000"/>
              <w:left w:val="single" w:sz="6" w:space="0" w:color="000000"/>
              <w:bottom w:val="single" w:sz="6" w:space="0" w:color="000000"/>
              <w:right w:val="single" w:sz="6" w:space="0" w:color="000000"/>
            </w:tcBorders>
          </w:tcPr>
          <w:p w14:paraId="63905797"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Враховано </w:t>
            </w:r>
          </w:p>
          <w:p w14:paraId="337D2EDF"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t xml:space="preserve">Слова «(за згодою)»  вилучено,  оскільки повноваження для таких підприємств визначені нормативно-правовими документами. </w:t>
            </w:r>
          </w:p>
          <w:p w14:paraId="647BF3E1"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Пункт 2. Цілі 4 викладено у такій редакції: «Проведення аукціонів з розподілу квоти підтримки виробництва електричної енергії з альтернативних джерел енергії»</w:t>
            </w:r>
          </w:p>
          <w:p w14:paraId="0247FAE6"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 Відповідальні за виконання: </w:t>
            </w:r>
          </w:p>
          <w:p w14:paraId="1E70FC35"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Міненерго </w:t>
            </w:r>
          </w:p>
          <w:p w14:paraId="6F884F00"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ДП «Гарантований покупець»  </w:t>
            </w:r>
          </w:p>
          <w:p w14:paraId="5B4BAA5C"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ДП «Прозорро.Продажі»  </w:t>
            </w:r>
          </w:p>
        </w:tc>
      </w:tr>
      <w:tr w:rsidR="00B43B9E" w:rsidRPr="003864E7" w14:paraId="24EC0BEC"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4AEBB579"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Відповідно до пп. 10,11 Порядку проведення аукціонів з розподілу квоти підтримки, затвердженого постановою КМУ від 27 грудня 2019 р. № 1175, Міненерго відіграє керівну роль у питанні формування переліку ділянок та/або споруд, що пропонуються на аукціон.</w:t>
            </w:r>
          </w:p>
          <w:p w14:paraId="4F9DCD95"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Пропонується відповідальних за винання викласти у такій редакції </w:t>
            </w:r>
          </w:p>
          <w:p w14:paraId="73E49E46"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«Відповідальні за виконання:</w:t>
            </w:r>
          </w:p>
          <w:p w14:paraId="2498D8C5"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Міненерго</w:t>
            </w:r>
          </w:p>
          <w:p w14:paraId="16C0C26E"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Органи державної влади </w:t>
            </w:r>
          </w:p>
          <w:p w14:paraId="7BEFA6A9"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Органи місцевого самоврядування (за згодою) </w:t>
            </w:r>
          </w:p>
          <w:p w14:paraId="33D9A425"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ДАЗ</w:t>
            </w:r>
          </w:p>
        </w:tc>
        <w:tc>
          <w:tcPr>
            <w:tcW w:w="3969" w:type="dxa"/>
            <w:tcBorders>
              <w:top w:val="single" w:sz="6" w:space="0" w:color="000000"/>
              <w:left w:val="single" w:sz="6" w:space="0" w:color="000000"/>
              <w:bottom w:val="single" w:sz="6" w:space="0" w:color="000000"/>
              <w:right w:val="single" w:sz="6" w:space="0" w:color="000000"/>
            </w:tcBorders>
          </w:tcPr>
          <w:p w14:paraId="3F7AF7EF"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Пункт 3 Цілі 4 Нормативно-правове та організаційне забезпечення розвитку відновлюваної енергетики: «Опрацювання питань стосовно надання Міненерго переліку земельних ділянок та/або споруд з визначеними технічними параметрами та технічними умовами на приєднання до електричної мережі для проведення аукціонів з розподілу квоти підтримки»</w:t>
            </w:r>
          </w:p>
          <w:p w14:paraId="6B865327"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Відповідальні за виконання:</w:t>
            </w:r>
          </w:p>
          <w:p w14:paraId="1B30FC60"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 Органи державної влади</w:t>
            </w:r>
          </w:p>
          <w:p w14:paraId="414EB66F"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 Органи місцевого самоврядування (за згодою)</w:t>
            </w:r>
          </w:p>
          <w:p w14:paraId="03B985B6"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 Міненерго </w:t>
            </w:r>
          </w:p>
          <w:p w14:paraId="7F4B523B"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ДАЗВ</w:t>
            </w:r>
          </w:p>
        </w:tc>
        <w:tc>
          <w:tcPr>
            <w:tcW w:w="5812" w:type="dxa"/>
            <w:tcBorders>
              <w:top w:val="single" w:sz="6" w:space="0" w:color="000000"/>
              <w:left w:val="single" w:sz="6" w:space="0" w:color="000000"/>
              <w:bottom w:val="single" w:sz="6" w:space="0" w:color="000000"/>
              <w:right w:val="single" w:sz="6" w:space="0" w:color="000000"/>
            </w:tcBorders>
          </w:tcPr>
          <w:p w14:paraId="079EADB4"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6D7A8710"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Захід передбачає підготовку розпорядниками інформації пропозицій земельних та/або споруд для проведення аукціонів з розподілу квоти підтримки та подання його на розгляд Міненерго. Міненерго в свою чергу розглядатиме наданий перелік земельних ділянок і визначатиме пріоритетні з них для розподілу на аукціонах. Враховуючи зазначене, визначення Міненерго головним органом, який відповідає за підготовку відповідного переліку є алогічним.</w:t>
            </w:r>
          </w:p>
          <w:p w14:paraId="109C6541" w14:textId="77777777" w:rsidR="00B43B9E" w:rsidRPr="003864E7" w:rsidRDefault="00B43B9E">
            <w:pPr>
              <w:spacing w:after="0" w:line="240" w:lineRule="auto"/>
              <w:ind w:left="57" w:right="57" w:firstLine="708"/>
              <w:jc w:val="both"/>
              <w:rPr>
                <w:rFonts w:ascii="Times New Roman" w:eastAsia="Times New Roman" w:hAnsi="Times New Roman" w:cs="Times New Roman"/>
              </w:rPr>
            </w:pPr>
          </w:p>
          <w:p w14:paraId="5AE52C94" w14:textId="77777777" w:rsidR="00B43B9E" w:rsidRPr="003864E7" w:rsidRDefault="00B43B9E">
            <w:pPr>
              <w:spacing w:after="0" w:line="240" w:lineRule="auto"/>
              <w:ind w:left="57" w:right="57"/>
              <w:jc w:val="both"/>
              <w:rPr>
                <w:rFonts w:ascii="Times New Roman" w:eastAsia="Times New Roman" w:hAnsi="Times New Roman" w:cs="Times New Roman"/>
              </w:rPr>
            </w:pPr>
          </w:p>
        </w:tc>
      </w:tr>
      <w:tr w:rsidR="00B43B9E" w:rsidRPr="003864E7" w14:paraId="217A2BF9"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0E9234A1"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 метою покращення балансування ОЕС України пропонується доповнити Ціль 4 таким пунктом: «Опрацювання варіантів покращення точності прогнозування виробництва електроенергії з відновлюваних джерел енергії (ВДЕ) у 2022 році.»</w:t>
            </w:r>
          </w:p>
          <w:p w14:paraId="19F9BA70"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Відповідальні за виконання:</w:t>
            </w:r>
          </w:p>
          <w:p w14:paraId="1C722C23"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НЕК “Укренерго”; </w:t>
            </w:r>
          </w:p>
          <w:p w14:paraId="6313FF33"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Державна Митна Служба; </w:t>
            </w:r>
          </w:p>
          <w:p w14:paraId="1132221E"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Міністерство енергетики України; </w:t>
            </w:r>
          </w:p>
          <w:p w14:paraId="4B53A387"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виробники електроенергії з ВДЕ.</w:t>
            </w:r>
          </w:p>
        </w:tc>
        <w:tc>
          <w:tcPr>
            <w:tcW w:w="3969" w:type="dxa"/>
            <w:tcBorders>
              <w:top w:val="single" w:sz="6" w:space="0" w:color="000000"/>
              <w:left w:val="single" w:sz="6" w:space="0" w:color="000000"/>
              <w:bottom w:val="single" w:sz="6" w:space="0" w:color="000000"/>
              <w:right w:val="single" w:sz="6" w:space="0" w:color="000000"/>
            </w:tcBorders>
          </w:tcPr>
          <w:p w14:paraId="62B54895"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Пропозиції до плану заходів з реалізації НПД ВЕ 2030</w:t>
            </w:r>
          </w:p>
        </w:tc>
        <w:tc>
          <w:tcPr>
            <w:tcW w:w="5812" w:type="dxa"/>
            <w:tcBorders>
              <w:top w:val="single" w:sz="6" w:space="0" w:color="000000"/>
              <w:left w:val="single" w:sz="6" w:space="0" w:color="000000"/>
              <w:bottom w:val="single" w:sz="6" w:space="0" w:color="000000"/>
              <w:right w:val="single" w:sz="6" w:space="0" w:color="000000"/>
            </w:tcBorders>
          </w:tcPr>
          <w:p w14:paraId="5FAE7476"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42B6C821"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Зазначений захід не передбачає конкретних результатів. Крім того, на сьогодні ДП «Гарантований покупець» вживаються заходи із покращення прогнозування виробництва об’єктів ВДЕ, які знаходяться у балансуючій групі гарантованого покупця. Після запровадження моделі Feed-in-premium виробники з ВДЕ самостійно здійснюватимуть прогнозування виробітку електричної енергії з урахуванням погодних та ринкових умов.</w:t>
            </w:r>
          </w:p>
          <w:p w14:paraId="79287E17"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bl>
    <w:tbl>
      <w:tblPr>
        <w:tblStyle w:val="afffffff4"/>
        <w:tblW w:w="15294" w:type="dxa"/>
        <w:tblInd w:w="-27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13"/>
        <w:gridCol w:w="3969"/>
        <w:gridCol w:w="5812"/>
      </w:tblGrid>
      <w:tr w:rsidR="00B43B9E" w:rsidRPr="003864E7" w14:paraId="131855A6"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7A0AEA63"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Необхідність в узгодженості оцінок з напрямами розвитку сектору ВДЕ, визначених у Звіті з оцінки відповідності (достатності) генеруючих потужностей.</w:t>
            </w:r>
          </w:p>
          <w:p w14:paraId="0FCED639"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color w:val="000008"/>
              </w:rPr>
              <w:t>Використання актуальних оцінок розвитку електроенергетики НЕК «Укренерго», викладених в Звіті з адекватності генеруючих потужностей.</w:t>
            </w:r>
          </w:p>
        </w:tc>
        <w:tc>
          <w:tcPr>
            <w:tcW w:w="3969" w:type="dxa"/>
            <w:tcBorders>
              <w:top w:val="single" w:sz="6" w:space="0" w:color="000000"/>
              <w:left w:val="single" w:sz="6" w:space="0" w:color="000000"/>
              <w:bottom w:val="single" w:sz="6" w:space="0" w:color="000000"/>
              <w:right w:val="single" w:sz="6" w:space="0" w:color="000000"/>
            </w:tcBorders>
          </w:tcPr>
          <w:p w14:paraId="0CFCFEBC"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цільових показників розвитку потужностей електроенергетики розділу «Використання відновлюваних джерел енергії в електроенергетичному комплексі»</w:t>
            </w:r>
          </w:p>
        </w:tc>
        <w:tc>
          <w:tcPr>
            <w:tcW w:w="5812" w:type="dxa"/>
            <w:tcBorders>
              <w:top w:val="single" w:sz="6" w:space="0" w:color="000000"/>
              <w:left w:val="single" w:sz="6" w:space="0" w:color="000000"/>
              <w:bottom w:val="single" w:sz="6" w:space="0" w:color="000000"/>
              <w:right w:val="single" w:sz="6" w:space="0" w:color="000000"/>
            </w:tcBorders>
          </w:tcPr>
          <w:p w14:paraId="60C52459"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Враховано.</w:t>
            </w:r>
          </w:p>
          <w:p w14:paraId="06105110"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Проект акту погоджено Міненерго відповідального за формування та затвердження прогнозного балансу електричної енергії об’єднаної енергетичної системи України. </w:t>
            </w:r>
          </w:p>
          <w:p w14:paraId="3B02876A"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Показники проекту НПДВЕ 2030 також узгоджувались з ПрАТ «НЕК «Укренерго» на засіданнях Робочої групи з розробки НПДВЕ 2030.</w:t>
            </w:r>
          </w:p>
          <w:p w14:paraId="6B11B49D"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Зауважень від ПрАТ «НЕК «Укренерго» щодо невідповідності показників НПДВЕ 2030 не надходило.</w:t>
            </w:r>
          </w:p>
          <w:p w14:paraId="214AD356"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Цільовим сценарієм Звіту з оцінки з оцінки відповідності (достатності) генеруючих потужностей для покриття прогнозованого попиту на електричну енергію та забезпечення необхідного резерву, затвердженим постановою НКРЕКП від 20.04.2022 № 394 визначено досягнення 25,4 % виробництва електричної енергії з ВДЕ та ГЕС у 2030 році. НПД ВЕ 2030 передбачає досягнення показника &gt;25% у 2030 році.</w:t>
            </w:r>
          </w:p>
          <w:p w14:paraId="4E9A5E16"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При цьому в проекті акта передбачено перегляд показників розвитку відновлюваної енергетики після закінчення воєнних дій та інвентаризації стану енергетичної системи.</w:t>
            </w:r>
          </w:p>
        </w:tc>
      </w:tr>
      <w:tr w:rsidR="00B43B9E" w:rsidRPr="003864E7" w14:paraId="0EA7B1D0"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279A8B1C"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t xml:space="preserve">Оскільки до додатку 5 включено показники встановленої потужності та виробництва електричної енергії високоманевровими потужностями з можливістю швидкого запуску та СНЕ, пропонуємо відкоригувати назву та зміст цього додатка. У випадку включення таких показників до додатку 5 звертаємо увагу на необхідність коригування технічної помилки стосовно очікуваних показників встановленої потужності високоманеврових потужностей з можливістю швидкого запуску відповідно до даних </w:t>
            </w:r>
            <w:r w:rsidRPr="003864E7">
              <w:rPr>
                <w:rFonts w:ascii="Times New Roman" w:eastAsia="Times New Roman" w:hAnsi="Times New Roman" w:cs="Times New Roman"/>
                <w:color w:val="000008"/>
              </w:rPr>
              <w:t>в Звіті з адекватності генеруючих потужностей.</w:t>
            </w:r>
          </w:p>
        </w:tc>
        <w:tc>
          <w:tcPr>
            <w:tcW w:w="3969" w:type="dxa"/>
            <w:tcBorders>
              <w:top w:val="single" w:sz="6" w:space="0" w:color="000000"/>
              <w:left w:val="single" w:sz="6" w:space="0" w:color="000000"/>
              <w:bottom w:val="single" w:sz="6" w:space="0" w:color="000000"/>
              <w:right w:val="single" w:sz="6" w:space="0" w:color="000000"/>
            </w:tcBorders>
          </w:tcPr>
          <w:p w14:paraId="6ED787C9"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Пропозиції до Додатку 5 проекту НПДВЕ 2030.</w:t>
            </w:r>
          </w:p>
        </w:tc>
        <w:tc>
          <w:tcPr>
            <w:tcW w:w="5812" w:type="dxa"/>
            <w:tcBorders>
              <w:top w:val="single" w:sz="6" w:space="0" w:color="000000"/>
              <w:left w:val="single" w:sz="6" w:space="0" w:color="000000"/>
              <w:bottom w:val="single" w:sz="6" w:space="0" w:color="000000"/>
              <w:right w:val="single" w:sz="6" w:space="0" w:color="000000"/>
            </w:tcBorders>
          </w:tcPr>
          <w:p w14:paraId="5D812952"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3F1B2002"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Дані щодо показників високоманеврових потужностей з можливістю швидкого запуску та систем накопичення енергії були узгоджені з ПрАТ «НЕК «Укренерго» та погоджені з Міненерго.</w:t>
            </w:r>
          </w:p>
        </w:tc>
      </w:tr>
      <w:tr w:rsidR="00B43B9E" w:rsidRPr="003864E7" w14:paraId="460B58BA"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525D3E2C"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Гармонійна диверсифікація джерел ВДЕ спільно з розвитком високоманеврової генерації та систем накопичення сприятиме зміцненню енергетичної безпеки; крім цього, впровадження CBAM створить внутрішній попит на низьковуглецеву енергію.</w:t>
            </w:r>
          </w:p>
          <w:p w14:paraId="5E26EE02"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Пропонується викласти у такій редакції: «Використання відновлюваних джерел енергії є одним із найбільш важливих напрямів енергетичної політики України, спрямованої на заощадження традиційних паливно-енергетичних ресурсів, поліпшення стану оточуючого природного середовища, запобігання зміні клімату, більшої диверсифікації джерел енергії в інтересах енергетичної безпеки. Збільшення частки відновлюваних джерел в енергетичному балансі України сприятиме процесу декарбонізації економіки, </w:t>
            </w:r>
            <w:r w:rsidRPr="003864E7">
              <w:rPr>
                <w:rFonts w:ascii="Times New Roman" w:eastAsia="Times New Roman" w:hAnsi="Times New Roman" w:cs="Times New Roman"/>
              </w:rPr>
              <w:lastRenderedPageBreak/>
              <w:t>необхідному для виконання міжнародних зобов’язань країни щодо скорочення викидів парникових газів. Крім цього, насиченість ринку пропозицією щодо купівлі відновлювальної енергії підготує Україну до запровадження найбільшим торговим партнером України Механізму вуглецевого коригування на кордоні (Carbon Border Adjustment Mechanism; CBAM) після 2025 року. »</w:t>
            </w:r>
          </w:p>
        </w:tc>
        <w:tc>
          <w:tcPr>
            <w:tcW w:w="3969" w:type="dxa"/>
            <w:tcBorders>
              <w:top w:val="single" w:sz="6" w:space="0" w:color="000000"/>
              <w:left w:val="single" w:sz="6" w:space="0" w:color="000000"/>
              <w:bottom w:val="single" w:sz="6" w:space="0" w:color="000000"/>
              <w:right w:val="single" w:sz="6" w:space="0" w:color="000000"/>
            </w:tcBorders>
          </w:tcPr>
          <w:p w14:paraId="16859C45" w14:textId="77777777" w:rsidR="00B43B9E" w:rsidRPr="003864E7" w:rsidRDefault="00B43B9E">
            <w:pPr>
              <w:spacing w:after="0" w:line="240" w:lineRule="auto"/>
              <w:ind w:left="57" w:right="57" w:firstLine="708"/>
              <w:jc w:val="both"/>
              <w:rPr>
                <w:rFonts w:ascii="Times New Roman" w:eastAsia="Times New Roman" w:hAnsi="Times New Roman" w:cs="Times New Roman"/>
              </w:rPr>
            </w:pPr>
          </w:p>
          <w:p w14:paraId="1EC8B8DE"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Абзац на ст. 1 Вступу.</w:t>
            </w:r>
          </w:p>
          <w:p w14:paraId="1568E029" w14:textId="77777777" w:rsidR="00B43B9E" w:rsidRPr="003864E7" w:rsidRDefault="00B43B9E">
            <w:pPr>
              <w:spacing w:after="0" w:line="240" w:lineRule="auto"/>
              <w:ind w:left="57" w:right="57" w:firstLine="708"/>
              <w:jc w:val="both"/>
              <w:rPr>
                <w:rFonts w:ascii="Times New Roman" w:eastAsia="Times New Roman" w:hAnsi="Times New Roman" w:cs="Times New Roman"/>
              </w:rPr>
            </w:pPr>
          </w:p>
          <w:p w14:paraId="736C519E"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 xml:space="preserve">«Використання відновлюваних джерел енергії є одним із найбільш важливих напрямів енергетичної політики України, спрямованої на заощадження традиційних паливно-енергетичних ресурсів, поліпшення стану оточуючого природного середовища, запобігання зміні клімату. Збільшення частки відновлюваних джерел в енергетичному балансі України сприятиме процесу декарбонізації </w:t>
            </w:r>
            <w:r w:rsidRPr="003864E7">
              <w:rPr>
                <w:rFonts w:ascii="Times New Roman" w:eastAsia="Times New Roman" w:hAnsi="Times New Roman" w:cs="Times New Roman"/>
              </w:rPr>
              <w:lastRenderedPageBreak/>
              <w:t>економіки, необхідному для виконання міжнародних зобов’язань країни щодо скорочення викидів парникових газів.»</w:t>
            </w:r>
          </w:p>
          <w:p w14:paraId="1D841A9A" w14:textId="77777777" w:rsidR="00B43B9E" w:rsidRPr="003864E7" w:rsidRDefault="00B43B9E">
            <w:pPr>
              <w:spacing w:after="0" w:line="240" w:lineRule="auto"/>
              <w:ind w:left="57" w:right="57" w:firstLine="708"/>
              <w:jc w:val="both"/>
              <w:rPr>
                <w:rFonts w:ascii="Times New Roman" w:eastAsia="Times New Roman" w:hAnsi="Times New Roman" w:cs="Times New Roman"/>
              </w:rPr>
            </w:pPr>
          </w:p>
        </w:tc>
        <w:tc>
          <w:tcPr>
            <w:tcW w:w="5812" w:type="dxa"/>
            <w:tcBorders>
              <w:top w:val="single" w:sz="6" w:space="0" w:color="000000"/>
              <w:left w:val="single" w:sz="6" w:space="0" w:color="000000"/>
              <w:bottom w:val="single" w:sz="6" w:space="0" w:color="000000"/>
              <w:right w:val="single" w:sz="6" w:space="0" w:color="000000"/>
            </w:tcBorders>
          </w:tcPr>
          <w:p w14:paraId="6FFD57B1"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 частково</w:t>
            </w:r>
          </w:p>
          <w:p w14:paraId="651A01A8" w14:textId="77777777" w:rsidR="00B43B9E" w:rsidRPr="003864E7" w:rsidRDefault="00AF0BE5">
            <w:pPr>
              <w:spacing w:after="0" w:line="240" w:lineRule="auto"/>
              <w:ind w:left="57" w:right="57" w:firstLine="708"/>
              <w:jc w:val="both"/>
              <w:rPr>
                <w:rFonts w:ascii="Times New Roman" w:eastAsia="Times New Roman" w:hAnsi="Times New Roman" w:cs="Times New Roman"/>
                <w:color w:val="000000"/>
              </w:rPr>
            </w:pPr>
            <w:r w:rsidRPr="003864E7">
              <w:rPr>
                <w:rFonts w:ascii="Times New Roman" w:eastAsia="Times New Roman" w:hAnsi="Times New Roman" w:cs="Times New Roman"/>
              </w:rPr>
              <w:t>Абзац на ст. 1 Вступу викладено у такій редакції:</w:t>
            </w:r>
          </w:p>
          <w:p w14:paraId="31BE7AA6"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є одним із найбільш важливих напрямів енергетичної політики України, спрямованої на заощадження традиційних паливно-енергетичних ресурсів, поліпшення стану навколишнього природного середовища, запобігання зміні клімату. Збільшення частки відновлюваних джерел в енергетичному балансі України сприятиме процесу декарбонізації економіки, необхідному для виконання міжнародних зобов’язань країни щодо скорочення викидів парникових газів та сприятиме зменшенню наслідків запровадження Євросоюзом прикордонного вуглецевого податку (Carbon Border Adjustment Mechanism; CBAM) .»</w:t>
            </w:r>
          </w:p>
          <w:p w14:paraId="73740C5E"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7F80ABC5"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3C57A4AC"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Редакційна правка та додані елементи банкабільності проєкту, що є важливим фактором для отримання фінансування.</w:t>
            </w:r>
          </w:p>
          <w:p w14:paraId="095530CE"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Пропонується викласти у такій редакції: «Подальший розвиток відновлюваної енергетики в Україні має забезпечуватися на конкурентних та ринкових засадах, у тому числі в рамках аукціонної системи підтримки з урахуванням кращих світових практик, а саме за моделлю Feed-in-Premium та за умови поширення на таких виробників принаймні мінімальних гарантій роботи, як-то: недопустимість обмеження генерації інакше як з обов’язковою компенсацією, наявність допустимих показників відхилення від прогнозів, довгострокова гарантія покриття різниці між Feed-in-Premium та ціною продажу електроенергії, посилений контроль за умовами приєднання таких електроустановок, зокрема щодо запобігання необґрунтованим відключенням такого виробника.</w:t>
            </w:r>
          </w:p>
          <w:p w14:paraId="243E0BE8"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Разом з тим, на сьогодні для інвесторів потенційно вигідним може бути реалізація проєктів будівництва об’єктів відновлюваної енергетики на ринкових умовах – без отримання державної підтримки.»</w:t>
            </w:r>
          </w:p>
        </w:tc>
        <w:tc>
          <w:tcPr>
            <w:tcW w:w="3969" w:type="dxa"/>
            <w:tcBorders>
              <w:top w:val="single" w:sz="6" w:space="0" w:color="000000"/>
              <w:left w:val="single" w:sz="6" w:space="0" w:color="000000"/>
              <w:bottom w:val="single" w:sz="6" w:space="0" w:color="000000"/>
              <w:right w:val="single" w:sz="6" w:space="0" w:color="000000"/>
            </w:tcBorders>
          </w:tcPr>
          <w:p w14:paraId="7B5B782D"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джерел енергії в електроенергетичному комплексі»</w:t>
            </w:r>
          </w:p>
          <w:p w14:paraId="7F1E5FB0"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Абзаци на ст. 8 розділу:</w:t>
            </w:r>
          </w:p>
          <w:p w14:paraId="4B49E131"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«Подальший розвиток відновлюваної енергетики в Україні має забезпечуватися на конкурентних та ринкових засадах, у тому числі в рамках аукціонної системи підтримки з урахуванням кращих світових практик, а саме за моделлю Feed-in-Premium.</w:t>
            </w:r>
          </w:p>
          <w:p w14:paraId="6C50F12F"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Разом з тим, на сьогодні для інвесторів потенційно вигідним може бути реалізація об’єктів відновлюваної енергетики на ринкових умовах – без отримання державної підтримки.»</w:t>
            </w:r>
          </w:p>
        </w:tc>
        <w:tc>
          <w:tcPr>
            <w:tcW w:w="5812" w:type="dxa"/>
            <w:tcBorders>
              <w:top w:val="single" w:sz="6" w:space="0" w:color="000000"/>
              <w:left w:val="single" w:sz="6" w:space="0" w:color="000000"/>
              <w:bottom w:val="single" w:sz="6" w:space="0" w:color="000000"/>
              <w:right w:val="single" w:sz="6" w:space="0" w:color="000000"/>
            </w:tcBorders>
          </w:tcPr>
          <w:p w14:paraId="784196DA"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07450FED"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Конкретизація умов запровадження нової моделі Feed-in-Premium має визначатися Законом України. В проекті НПДВЕ 2030 окреслюється загальний принцип дії цього механізму. </w:t>
            </w:r>
          </w:p>
        </w:tc>
      </w:tr>
      <w:tr w:rsidR="00B43B9E" w:rsidRPr="003864E7" w14:paraId="7A6531DF"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064A9902"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Завдання 2 передбачає проведення аукціонів у 2022 році.</w:t>
            </w:r>
          </w:p>
          <w:p w14:paraId="76DC9FB0"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У звязку з цим потребує уточнення строк подання проекту розпорядження Кабінету Міністрів України про встановлення річної квоти підтримки на 2022 рік.</w:t>
            </w:r>
          </w:p>
          <w:p w14:paraId="08E72B76"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 іншому випадку (у разі подання проекту квоти до 1 листопада 2022) проведення аукціонів у 2022 році виявляється малоймовірним</w:t>
            </w:r>
          </w:p>
          <w:p w14:paraId="277AFF8C"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Пропонується визначити строк виконання:</w:t>
            </w:r>
          </w:p>
          <w:p w14:paraId="34AA61BF"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«до 1 травня 2022 року (для аукціонів 2022 року)</w:t>
            </w:r>
          </w:p>
          <w:p w14:paraId="0774A598"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щороку до 1 листопада»</w:t>
            </w:r>
          </w:p>
        </w:tc>
        <w:tc>
          <w:tcPr>
            <w:tcW w:w="3969" w:type="dxa"/>
            <w:tcBorders>
              <w:top w:val="single" w:sz="6" w:space="0" w:color="000000"/>
              <w:left w:val="single" w:sz="6" w:space="0" w:color="000000"/>
              <w:bottom w:val="single" w:sz="6" w:space="0" w:color="000000"/>
              <w:right w:val="single" w:sz="6" w:space="0" w:color="000000"/>
            </w:tcBorders>
          </w:tcPr>
          <w:p w14:paraId="21017D74"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Пункт 1 Цілі 4. Нормативно-правове та організаційне забезпечення розвитку відновлюваної енергетики. «Подання Кабінетові Міністрів України проекту розпорядження Кабінету Міністрів України про встановлення річної квоти підтримки та графіку проведення аукціонів на </w:t>
            </w:r>
            <w:r w:rsidRPr="003864E7">
              <w:rPr>
                <w:rFonts w:ascii="Times New Roman" w:eastAsia="Times New Roman" w:hAnsi="Times New Roman" w:cs="Times New Roman"/>
              </w:rPr>
              <w:lastRenderedPageBreak/>
              <w:t>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w:t>
            </w:r>
          </w:p>
          <w:p w14:paraId="51369EAF"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 Відповідальні за виконання: </w:t>
            </w:r>
          </w:p>
          <w:p w14:paraId="37728DB8"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Міненерго </w:t>
            </w:r>
          </w:p>
          <w:p w14:paraId="40B3A622"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Держенергоефективності </w:t>
            </w:r>
          </w:p>
          <w:p w14:paraId="46F93B78"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ПрАТ «НЕК» Укренерго» (за згодою)</w:t>
            </w:r>
          </w:p>
          <w:p w14:paraId="626B519E"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Строк виконання: </w:t>
            </w:r>
          </w:p>
          <w:p w14:paraId="4A27113C"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щороку до 1 листопада</w:t>
            </w:r>
          </w:p>
          <w:p w14:paraId="57CD07C8" w14:textId="77777777" w:rsidR="00B43B9E" w:rsidRPr="003864E7" w:rsidRDefault="00B43B9E">
            <w:pPr>
              <w:spacing w:after="0" w:line="240" w:lineRule="auto"/>
              <w:ind w:left="57" w:right="57" w:firstLine="708"/>
              <w:jc w:val="both"/>
              <w:rPr>
                <w:rFonts w:ascii="Times New Roman" w:eastAsia="Times New Roman" w:hAnsi="Times New Roman" w:cs="Times New Roman"/>
              </w:rPr>
            </w:pPr>
          </w:p>
        </w:tc>
        <w:tc>
          <w:tcPr>
            <w:tcW w:w="5812" w:type="dxa"/>
            <w:tcBorders>
              <w:top w:val="single" w:sz="6" w:space="0" w:color="000000"/>
              <w:left w:val="single" w:sz="6" w:space="0" w:color="000000"/>
              <w:bottom w:val="single" w:sz="6" w:space="0" w:color="000000"/>
              <w:right w:val="single" w:sz="6" w:space="0" w:color="000000"/>
            </w:tcBorders>
          </w:tcPr>
          <w:p w14:paraId="6FB06D74"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 частково.</w:t>
            </w:r>
          </w:p>
          <w:p w14:paraId="5E63E743"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Відповідно до пункту 6 Порядку проведення аукціонів з розподілу квоти підтримки, затвердженого постановою Кабінету Міністрів України від 27 грудня 2019 р. № 1175,  проект рішення щодо встановлення річних квот підтримки суб’єктів господарювання, які виробляють електричну енергію з альтернативних джерел енергії </w:t>
            </w:r>
            <w:r w:rsidRPr="003864E7">
              <w:rPr>
                <w:rFonts w:ascii="Times New Roman" w:eastAsia="Times New Roman" w:hAnsi="Times New Roman" w:cs="Times New Roman"/>
                <w:color w:val="000000"/>
              </w:rPr>
              <w:lastRenderedPageBreak/>
              <w:t>подається Кабінетові Міністрів України щороку до 31 жовтня.</w:t>
            </w:r>
          </w:p>
          <w:p w14:paraId="39ABD360"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Пункт 1 Цілі 4.викладено у такій редакції: «Подання Кабінетові Міністрів України проекту розпорядження Кабінету Міністрів 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w:t>
            </w:r>
          </w:p>
          <w:p w14:paraId="0FD8E225"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 Відповідальні за виконання: </w:t>
            </w:r>
          </w:p>
          <w:p w14:paraId="0E6857DF"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Міненерго </w:t>
            </w:r>
          </w:p>
          <w:p w14:paraId="53FFC2DA"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Держенергоефективності </w:t>
            </w:r>
          </w:p>
          <w:p w14:paraId="15E311EB"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ПрАТ «НЕК» Укренерго»)</w:t>
            </w:r>
          </w:p>
          <w:p w14:paraId="43332D5A"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Строк виконання: </w:t>
            </w:r>
          </w:p>
          <w:p w14:paraId="1D5FAC64"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щороку до 31 жовтня</w:t>
            </w:r>
          </w:p>
        </w:tc>
      </w:tr>
      <w:tr w:rsidR="00B43B9E" w:rsidRPr="003864E7" w14:paraId="1264E2FF"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17372509"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 метою здешевлення кредитів та стимулювання розвитку сектору ВДЕ та систем накопичення пропонується доповнити Ціль 4 наступним пунктом:</w:t>
            </w:r>
          </w:p>
          <w:p w14:paraId="399488D6"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«Розробка відповідних програм для сприяння залучення інвестицій у сектор ВДЕ.</w:t>
            </w:r>
          </w:p>
          <w:p w14:paraId="125246EC"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Відповідальні за виконання: </w:t>
            </w:r>
          </w:p>
          <w:p w14:paraId="797782A7"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Міністерство економіки України; </w:t>
            </w:r>
          </w:p>
          <w:p w14:paraId="78DC4656"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Міністерство фінансів України;</w:t>
            </w:r>
          </w:p>
          <w:p w14:paraId="3583533E"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 Міністерство закордонних справ України;</w:t>
            </w:r>
          </w:p>
          <w:p w14:paraId="0A1D5110"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 Національний Банк України.»</w:t>
            </w:r>
          </w:p>
        </w:tc>
        <w:tc>
          <w:tcPr>
            <w:tcW w:w="3969" w:type="dxa"/>
            <w:tcBorders>
              <w:top w:val="single" w:sz="6" w:space="0" w:color="000000"/>
              <w:left w:val="single" w:sz="6" w:space="0" w:color="000000"/>
              <w:bottom w:val="single" w:sz="6" w:space="0" w:color="000000"/>
              <w:right w:val="single" w:sz="6" w:space="0" w:color="000000"/>
            </w:tcBorders>
          </w:tcPr>
          <w:p w14:paraId="21BB76A1"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Цілі 4 плану заходів  з реалізації НПД ВЕ 2030</w:t>
            </w:r>
          </w:p>
        </w:tc>
        <w:tc>
          <w:tcPr>
            <w:tcW w:w="5812" w:type="dxa"/>
            <w:tcBorders>
              <w:top w:val="single" w:sz="6" w:space="0" w:color="000000"/>
              <w:left w:val="single" w:sz="6" w:space="0" w:color="000000"/>
              <w:bottom w:val="single" w:sz="6" w:space="0" w:color="000000"/>
              <w:right w:val="single" w:sz="6" w:space="0" w:color="000000"/>
            </w:tcBorders>
          </w:tcPr>
          <w:p w14:paraId="2FC2D196"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5FEF2BD3"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Всі заходи мають за мету в кінцевому рахунку сприяння залучення інвестицій у сектор відновлюваної енергетики, тому виділення окремого заходу з загальною назвою вважаємо за недоцільне.</w:t>
            </w:r>
          </w:p>
          <w:p w14:paraId="757130AA"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0A41252E"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43650037" w14:textId="77777777" w:rsidR="00B43B9E" w:rsidRPr="003864E7" w:rsidRDefault="00AF0BE5">
            <w:pPr>
              <w:spacing w:after="0" w:line="240" w:lineRule="auto"/>
              <w:ind w:left="57" w:right="57"/>
              <w:jc w:val="both"/>
              <w:rPr>
                <w:rFonts w:ascii="Times New Roman" w:eastAsia="Times New Roman" w:hAnsi="Times New Roman" w:cs="Times New Roman"/>
                <w:color w:val="000008"/>
              </w:rPr>
            </w:pPr>
            <w:r w:rsidRPr="003864E7">
              <w:rPr>
                <w:rFonts w:ascii="Times New Roman" w:eastAsia="Times New Roman" w:hAnsi="Times New Roman" w:cs="Times New Roman"/>
                <w:color w:val="000008"/>
              </w:rPr>
              <w:t>У тексті розпорядження Кабінету Міністрів України зазначити:</w:t>
            </w:r>
          </w:p>
          <w:p w14:paraId="14C624EF" w14:textId="77777777" w:rsidR="00B43B9E" w:rsidRPr="003864E7" w:rsidRDefault="00AF0BE5">
            <w:pPr>
              <w:spacing w:after="0" w:line="240" w:lineRule="auto"/>
              <w:ind w:left="57" w:right="57"/>
              <w:jc w:val="both"/>
              <w:rPr>
                <w:rFonts w:ascii="Times New Roman" w:eastAsia="Times New Roman" w:hAnsi="Times New Roman" w:cs="Times New Roman"/>
                <w:color w:val="000008"/>
              </w:rPr>
            </w:pPr>
            <w:r w:rsidRPr="003864E7">
              <w:rPr>
                <w:rFonts w:ascii="Times New Roman" w:eastAsia="Times New Roman" w:hAnsi="Times New Roman" w:cs="Times New Roman"/>
                <w:color w:val="000008"/>
              </w:rPr>
              <w:t>« щорічно актуалізовувати Національний план дій з розвитку ВДЕ, а також синхронізувати його з новими прийнятими стратегічними документами (Енергетичною стратегією України, Звітом з адекватності генеруючих потужностей та ін.).</w:t>
            </w:r>
          </w:p>
          <w:p w14:paraId="1083AE55" w14:textId="77777777" w:rsidR="00B43B9E" w:rsidRPr="003864E7" w:rsidRDefault="00AF0BE5">
            <w:pPr>
              <w:spacing w:after="0" w:line="240" w:lineRule="auto"/>
              <w:ind w:left="57" w:right="57"/>
              <w:jc w:val="both"/>
              <w:rPr>
                <w:rFonts w:ascii="Times New Roman" w:eastAsia="Times New Roman" w:hAnsi="Times New Roman" w:cs="Times New Roman"/>
                <w:color w:val="000008"/>
              </w:rPr>
            </w:pPr>
            <w:r w:rsidRPr="003864E7">
              <w:rPr>
                <w:rFonts w:ascii="Times New Roman" w:eastAsia="Times New Roman" w:hAnsi="Times New Roman" w:cs="Times New Roman"/>
                <w:color w:val="000008"/>
              </w:rPr>
              <w:t>Відповідальні за виконання: Держенергоефективності</w:t>
            </w:r>
          </w:p>
        </w:tc>
        <w:tc>
          <w:tcPr>
            <w:tcW w:w="3969" w:type="dxa"/>
            <w:tcBorders>
              <w:top w:val="single" w:sz="6" w:space="0" w:color="000000"/>
              <w:left w:val="single" w:sz="6" w:space="0" w:color="000000"/>
              <w:bottom w:val="single" w:sz="6" w:space="0" w:color="000000"/>
              <w:right w:val="single" w:sz="6" w:space="0" w:color="000000"/>
            </w:tcBorders>
          </w:tcPr>
          <w:p w14:paraId="26C3ADA0"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Пропозиції до тексту розпорядження КМУ </w:t>
            </w:r>
          </w:p>
        </w:tc>
        <w:tc>
          <w:tcPr>
            <w:tcW w:w="5812" w:type="dxa"/>
            <w:tcBorders>
              <w:top w:val="single" w:sz="6" w:space="0" w:color="000000"/>
              <w:left w:val="single" w:sz="6" w:space="0" w:color="000000"/>
              <w:bottom w:val="single" w:sz="6" w:space="0" w:color="000000"/>
              <w:right w:val="single" w:sz="6" w:space="0" w:color="000000"/>
            </w:tcBorders>
          </w:tcPr>
          <w:p w14:paraId="3BE89630"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64D678B7"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Необхідність узгодження положення нормативно-правових актів визначено Регламентом Кабінету Міністрів України і не має окремо зазначатися в проекті акту.</w:t>
            </w:r>
          </w:p>
          <w:p w14:paraId="12E1F70D"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При цьому, в проекті акта передбачено перегляд показників розвитку відновлюваної енергетики після закінчення воєнних дій та інвентаризації стану енергетичної системи.</w:t>
            </w:r>
          </w:p>
          <w:p w14:paraId="01CF56CA"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tc>
      </w:tr>
    </w:tbl>
    <w:tbl>
      <w:tblPr>
        <w:tblStyle w:val="afffffff5"/>
        <w:tblW w:w="15324" w:type="dxa"/>
        <w:tblInd w:w="-30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43"/>
        <w:gridCol w:w="3969"/>
        <w:gridCol w:w="5812"/>
      </w:tblGrid>
      <w:tr w:rsidR="00B43B9E" w:rsidRPr="003864E7" w14:paraId="7CBB5A5B" w14:textId="77777777">
        <w:tc>
          <w:tcPr>
            <w:tcW w:w="15324" w:type="dxa"/>
            <w:gridSpan w:val="3"/>
            <w:tcBorders>
              <w:top w:val="single" w:sz="6" w:space="0" w:color="000000"/>
              <w:left w:val="single" w:sz="6" w:space="0" w:color="000000"/>
              <w:bottom w:val="single" w:sz="6" w:space="0" w:color="000000"/>
              <w:right w:val="single" w:sz="6" w:space="0" w:color="000000"/>
            </w:tcBorders>
          </w:tcPr>
          <w:p w14:paraId="19C38468" w14:textId="77777777" w:rsidR="00B43B9E" w:rsidRPr="003864E7" w:rsidRDefault="00AF0BE5">
            <w:pPr>
              <w:pBdr>
                <w:top w:val="nil"/>
                <w:left w:val="nil"/>
                <w:bottom w:val="nil"/>
                <w:right w:val="nil"/>
                <w:between w:val="nil"/>
              </w:pBdr>
              <w:spacing w:after="0" w:line="240" w:lineRule="auto"/>
              <w:ind w:left="57" w:right="57"/>
              <w:jc w:val="center"/>
              <w:rPr>
                <w:rFonts w:ascii="Times New Roman" w:eastAsia="Times New Roman" w:hAnsi="Times New Roman" w:cs="Times New Roman"/>
                <w:color w:val="000000"/>
              </w:rPr>
            </w:pPr>
            <w:r w:rsidRPr="003864E7">
              <w:rPr>
                <w:rFonts w:ascii="Times New Roman" w:eastAsia="Times New Roman" w:hAnsi="Times New Roman" w:cs="Times New Roman"/>
                <w:b/>
                <w:color w:val="000000"/>
              </w:rPr>
              <w:t>Громадська спілка «Енергетична асоціація «Українська Воднева Рада»</w:t>
            </w:r>
          </w:p>
        </w:tc>
      </w:tr>
      <w:tr w:rsidR="00B43B9E" w:rsidRPr="003864E7" w14:paraId="53396ABA"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3A864ECD"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lastRenderedPageBreak/>
              <w:t>Використання поняття «зелений» водень. Використання поняття «зелений» водень в нормативних документах не відповідає нормативним актам ЄС. В стратегічних документах ЄС, зокрема у Водневій стратегії ЄС, застосовується поняття відновлювального водню («renewable hydrogen»).</w:t>
            </w:r>
          </w:p>
          <w:p w14:paraId="4D89D02F"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Відповідний термін вживається і в інших документах європейському законодавстві. У пропозиціях Європейської Комісії щодо перегляду Директиви 2009/73/ЕС від 13 липня 2009 року щодо спільних правил для внутрішнього ринку природного газу, обов’язкової для імплементації Україною за Угодою про асоціацію, вживається термін «відновлюваний водень» замість «зеленого» водню. З метою використання у Національному плані термінів у відповідності до Директив ЄС, обов’язкових до імплементації в Україні, важливо замінити термін «зелений» водень на «відновлювальний водень</w:t>
            </w:r>
          </w:p>
        </w:tc>
        <w:tc>
          <w:tcPr>
            <w:tcW w:w="3969" w:type="dxa"/>
            <w:tcBorders>
              <w:top w:val="single" w:sz="6" w:space="0" w:color="000000"/>
              <w:left w:val="single" w:sz="6" w:space="0" w:color="000000"/>
              <w:bottom w:val="single" w:sz="6" w:space="0" w:color="000000"/>
              <w:right w:val="single" w:sz="6" w:space="0" w:color="000000"/>
            </w:tcBorders>
          </w:tcPr>
          <w:p w14:paraId="3B048061"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тексту проекту НПДВЕ 2030 щодо поняття «зелений» водень.</w:t>
            </w:r>
          </w:p>
        </w:tc>
        <w:tc>
          <w:tcPr>
            <w:tcW w:w="5812" w:type="dxa"/>
            <w:tcBorders>
              <w:top w:val="single" w:sz="6" w:space="0" w:color="000000"/>
              <w:left w:val="single" w:sz="6" w:space="0" w:color="000000"/>
              <w:bottom w:val="single" w:sz="6" w:space="0" w:color="000000"/>
              <w:right w:val="single" w:sz="6" w:space="0" w:color="000000"/>
            </w:tcBorders>
          </w:tcPr>
          <w:p w14:paraId="36BDD2E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2B5063E0"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Назву підрозділу «Зелений» водень» (ст. 22) викладено у такій редакції «Відновлюваний водень».</w:t>
            </w:r>
          </w:p>
          <w:p w14:paraId="46144332"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Слова в тексті проекту НПДВЕ 2030 ««зелений» водень» замінено словами  «відновлюваний водень» у відповідних відмінках.</w:t>
            </w:r>
          </w:p>
          <w:p w14:paraId="12629F32" w14:textId="77777777" w:rsidR="00B43B9E" w:rsidRPr="003864E7" w:rsidRDefault="00B43B9E">
            <w:pPr>
              <w:spacing w:after="0" w:line="240" w:lineRule="auto"/>
              <w:ind w:left="57" w:right="57" w:firstLine="708"/>
              <w:jc w:val="both"/>
              <w:rPr>
                <w:rFonts w:ascii="Times New Roman" w:eastAsia="Times New Roman" w:hAnsi="Times New Roman" w:cs="Times New Roman"/>
              </w:rPr>
            </w:pPr>
          </w:p>
          <w:p w14:paraId="6C820652"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bl>
    <w:tbl>
      <w:tblPr>
        <w:tblStyle w:val="afffffff6"/>
        <w:tblW w:w="15294" w:type="dxa"/>
        <w:tblInd w:w="-27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13"/>
        <w:gridCol w:w="3969"/>
        <w:gridCol w:w="5812"/>
      </w:tblGrid>
      <w:tr w:rsidR="00B43B9E" w:rsidRPr="003864E7" w14:paraId="0DE4775A"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5962D265"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Щодо системи гарантій походження електроенергії. У проекті Національного плану стверджується, що запровадження системи видачі гарантій походження дозволить збільшити вартість електроенергії з альтернативних джерел енергії та зменшити обсяг витрат гарантованого покупця, необхідних для сплати надбавки виробникам з альтернативних джерел. Гарантії походження необхідні для виробництва відновлювального водню, оскільки підтверджують факт використання енергії з відновлюваних джерел енергії (ВДЕ) у процесі електролізу. Втім, необхідно врахувати, щоб впровадження гарантій походження не призвело до підвищення вартості електроенергії з ВДЕ для виробництва відновлювального водню. Інакше це зашкодить реалізації потенціалу водневої енергетики в Україні, яка не буде конкурентоздатною на ринку</w:t>
            </w:r>
          </w:p>
        </w:tc>
        <w:tc>
          <w:tcPr>
            <w:tcW w:w="3969" w:type="dxa"/>
            <w:tcBorders>
              <w:top w:val="single" w:sz="6" w:space="0" w:color="000000"/>
              <w:left w:val="single" w:sz="6" w:space="0" w:color="000000"/>
              <w:bottom w:val="single" w:sz="6" w:space="0" w:color="000000"/>
              <w:right w:val="single" w:sz="6" w:space="0" w:color="000000"/>
            </w:tcBorders>
          </w:tcPr>
          <w:p w14:paraId="3F2E6374"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джерел енергії в електроенергетичному комплексі” щодо системи гарантій походження електроенергії</w:t>
            </w:r>
          </w:p>
        </w:tc>
        <w:tc>
          <w:tcPr>
            <w:tcW w:w="5812" w:type="dxa"/>
            <w:tcBorders>
              <w:top w:val="single" w:sz="6" w:space="0" w:color="000000"/>
              <w:left w:val="single" w:sz="6" w:space="0" w:color="000000"/>
              <w:bottom w:val="single" w:sz="6" w:space="0" w:color="000000"/>
              <w:right w:val="single" w:sz="6" w:space="0" w:color="000000"/>
            </w:tcBorders>
          </w:tcPr>
          <w:p w14:paraId="71AA2F28"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28DFFF74"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З метою розвитку водневої енергетики передбачається розробка Міненерго проекту </w:t>
            </w:r>
            <w:r w:rsidRPr="003864E7">
              <w:rPr>
                <w:rFonts w:ascii="Times New Roman" w:eastAsia="Times New Roman" w:hAnsi="Times New Roman" w:cs="Times New Roman"/>
                <w:color w:val="202124"/>
              </w:rPr>
              <w:t>Водневої стратегії</w:t>
            </w:r>
            <w:r w:rsidRPr="003864E7">
              <w:rPr>
                <w:rFonts w:ascii="Times New Roman" w:eastAsia="Times New Roman" w:hAnsi="Times New Roman" w:cs="Times New Roman"/>
              </w:rPr>
              <w:t>, яким буде визначено цілі, показники, плани розвитку водневої енергетики до 2030 року, а також окреслено орієнтири до 2050 року а також необхідні заходи для реалізації.</w:t>
            </w:r>
          </w:p>
          <w:p w14:paraId="3457CA9A"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p w14:paraId="27043809"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Показники проекту НПДВЕ 2030 погодженно з Міненерго, а також були узгоджені на засіданнях Робочої групи з розробки НПДВЕ 2030.</w:t>
            </w:r>
          </w:p>
          <w:p w14:paraId="67E66CB0"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5181CBA9"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10C38241"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Щодо вартості електроенергії з ВДЕ для виробництва відновлюваного водню в проекті НПДВЕ 2030.</w:t>
            </w:r>
          </w:p>
          <w:p w14:paraId="3768A0D3"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lastRenderedPageBreak/>
              <w:t>Для розвитку водневої енергетики важливо також передбачити в Національному плані спеціальні умови для зниження вартості електроенергії із ВДЕ для виробництва відновлюваного водню.</w:t>
            </w:r>
          </w:p>
          <w:p w14:paraId="43EE94BF"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Операційні витрати на виробництво відновлюваного водню на 95% складаються із вартості електроенергії із ВДЕ. Саме тому для розвитку водневої енергії країни шукають можливості для</w:t>
            </w:r>
            <w:r w:rsidRPr="003864E7">
              <w:rPr>
                <w:rFonts w:ascii="Times New Roman" w:eastAsia="Times New Roman" w:hAnsi="Times New Roman" w:cs="Times New Roman"/>
              </w:rPr>
              <w:t xml:space="preserve"> </w:t>
            </w:r>
            <w:r w:rsidRPr="003864E7">
              <w:rPr>
                <w:rFonts w:ascii="Times New Roman" w:eastAsia="Times New Roman" w:hAnsi="Times New Roman" w:cs="Times New Roman"/>
                <w:color w:val="000008"/>
              </w:rPr>
              <w:t>зниження вартості електроенергії із ВДЕ. Наприклад, Німеччина передбачила спеціальні умови щодо зниження вартості електроенергії для ВДЕ водневих проектів.</w:t>
            </w:r>
          </w:p>
        </w:tc>
        <w:tc>
          <w:tcPr>
            <w:tcW w:w="3969" w:type="dxa"/>
            <w:tcBorders>
              <w:top w:val="single" w:sz="6" w:space="0" w:color="000000"/>
              <w:left w:val="single" w:sz="6" w:space="0" w:color="000000"/>
              <w:bottom w:val="single" w:sz="6" w:space="0" w:color="000000"/>
              <w:right w:val="single" w:sz="6" w:space="0" w:color="000000"/>
            </w:tcBorders>
          </w:tcPr>
          <w:p w14:paraId="32CD31EA"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 Пропозиції до проекту НПДВЕ 2030</w:t>
            </w:r>
          </w:p>
        </w:tc>
        <w:tc>
          <w:tcPr>
            <w:tcW w:w="5812" w:type="dxa"/>
            <w:tcBorders>
              <w:top w:val="single" w:sz="6" w:space="0" w:color="000000"/>
              <w:left w:val="single" w:sz="6" w:space="0" w:color="000000"/>
              <w:bottom w:val="single" w:sz="6" w:space="0" w:color="000000"/>
              <w:right w:val="single" w:sz="6" w:space="0" w:color="000000"/>
            </w:tcBorders>
          </w:tcPr>
          <w:p w14:paraId="05009F46"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03EAFBED"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З метою розвитку водневої енергетики передбачається розробка Міненерго проекту </w:t>
            </w:r>
            <w:r w:rsidRPr="003864E7">
              <w:rPr>
                <w:rFonts w:ascii="Times New Roman" w:eastAsia="Times New Roman" w:hAnsi="Times New Roman" w:cs="Times New Roman"/>
                <w:color w:val="202124"/>
              </w:rPr>
              <w:t>Водневої стратегії</w:t>
            </w:r>
            <w:r w:rsidRPr="003864E7">
              <w:rPr>
                <w:rFonts w:ascii="Times New Roman" w:eastAsia="Times New Roman" w:hAnsi="Times New Roman" w:cs="Times New Roman"/>
              </w:rPr>
              <w:t xml:space="preserve">, яким буде </w:t>
            </w:r>
            <w:r w:rsidRPr="003864E7">
              <w:rPr>
                <w:rFonts w:ascii="Times New Roman" w:eastAsia="Times New Roman" w:hAnsi="Times New Roman" w:cs="Times New Roman"/>
              </w:rPr>
              <w:lastRenderedPageBreak/>
              <w:t>визначено цілі, показники, плани розвитку водневої енергетики до 2030 року, а також окреслено орієнтири до 2050 року а також необхідні заходи для реалізації.</w:t>
            </w:r>
          </w:p>
          <w:p w14:paraId="68CF6F1D"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p w14:paraId="78E69854"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Показники проекту НПДВЕ 2030 погоджено з Міненерго, а також були узгоджені на засіданнях Робочої групи з розробки НПДВЕ 2030.</w:t>
            </w:r>
          </w:p>
          <w:p w14:paraId="416EC4D4"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39ED15FD"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7B6EF9A4"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Щодо співвідношення прогнозів розвитку потужностей сонячної та вітрової енергетики в проекті НПДВЕ 2030. У проекті Національного плану прогнозується збільшення вітрової генерації на 5 ГВт до 2030 року (відповідно 4,7 ГВт для наземних вітрових електростанцій та 300 МВт офшорних) та сонячної генерації на 10 ГВт. Плани збільшення потужності вітрової та сонячної генерації мають враховувати відповідні прогнози розвитку потенціалу відновлювального водню в Україні. У документі згадується, що Водневою стратегією ЄС за Україною закріплено 10 ГВт виробничих потужностей до 2030 року для виробництва відновлювального водню. Документ також визнає потенціал ВДЕ для експорту відновлювального водню до країн ЄС. Втім, проект Національного плану не враховує наявний та прогнозований обсяги сонячної та вітрової генерації, яких недостатньо для виробництва заявлених обсягів водню. Так, для водневих проектів до 2030 року потрібно 16 ГВт потужностей ВДЕ, з яких 9,6 ГВт СЕС та 6,5 ГВт ВЕС. У зв'язку з цим пропонуємо переглянути відповідні прогнози з тим, щоб врахувати потреби водневої енергетики у збільшенні потужностей ВДЕ.</w:t>
            </w:r>
          </w:p>
        </w:tc>
        <w:tc>
          <w:tcPr>
            <w:tcW w:w="3969" w:type="dxa"/>
            <w:tcBorders>
              <w:top w:val="single" w:sz="6" w:space="0" w:color="000000"/>
              <w:left w:val="single" w:sz="6" w:space="0" w:color="000000"/>
              <w:bottom w:val="single" w:sz="6" w:space="0" w:color="000000"/>
              <w:right w:val="single" w:sz="6" w:space="0" w:color="000000"/>
            </w:tcBorders>
          </w:tcPr>
          <w:p w14:paraId="6B6C1451" w14:textId="77777777" w:rsidR="00B43B9E" w:rsidRPr="003864E7" w:rsidRDefault="00AF0BE5">
            <w:pPr>
              <w:spacing w:after="80"/>
              <w:jc w:val="center"/>
              <w:rPr>
                <w:rFonts w:ascii="Times New Roman" w:eastAsia="Times New Roman" w:hAnsi="Times New Roman" w:cs="Times New Roman"/>
              </w:rPr>
            </w:pPr>
            <w:r w:rsidRPr="003864E7">
              <w:rPr>
                <w:rFonts w:ascii="Times New Roman" w:eastAsia="Times New Roman" w:hAnsi="Times New Roman" w:cs="Times New Roman"/>
              </w:rPr>
              <w:t>Пропозиції до підрозділів «Сонячна енергетика» та «Вітрова енергетика»  проекту НПДВЕ 2030</w:t>
            </w:r>
          </w:p>
        </w:tc>
        <w:tc>
          <w:tcPr>
            <w:tcW w:w="5812" w:type="dxa"/>
            <w:tcBorders>
              <w:top w:val="single" w:sz="6" w:space="0" w:color="000000"/>
              <w:left w:val="single" w:sz="6" w:space="0" w:color="000000"/>
              <w:bottom w:val="single" w:sz="6" w:space="0" w:color="000000"/>
              <w:right w:val="single" w:sz="6" w:space="0" w:color="000000"/>
            </w:tcBorders>
          </w:tcPr>
          <w:p w14:paraId="2C545E7D"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3BB9AD03"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З метою розвитку водневої енергетики передбачається розробка Міненерго проекту </w:t>
            </w:r>
            <w:r w:rsidRPr="003864E7">
              <w:rPr>
                <w:rFonts w:ascii="Times New Roman" w:eastAsia="Times New Roman" w:hAnsi="Times New Roman" w:cs="Times New Roman"/>
                <w:color w:val="202124"/>
              </w:rPr>
              <w:t>Водневої стратегії</w:t>
            </w:r>
            <w:r w:rsidRPr="003864E7">
              <w:rPr>
                <w:rFonts w:ascii="Times New Roman" w:eastAsia="Times New Roman" w:hAnsi="Times New Roman" w:cs="Times New Roman"/>
              </w:rPr>
              <w:t>, яким буде визначено цілі, показники, плани розвитку водневої енергетики до 2030 року, а також окреслено орієнтири до 2050 року а також необхідні заходи для реалізації.</w:t>
            </w:r>
          </w:p>
          <w:p w14:paraId="5D2F307E"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p w14:paraId="76643AE5"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Показники проекту НПДВЕ 2030 погоджено з Міненерго, а також були узгоджені на засіданнях Робочої групи з розробки НПДВЕ 2030.</w:t>
            </w:r>
          </w:p>
          <w:p w14:paraId="7E345D52"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3D028C23"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577166D9"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rPr>
              <w:t xml:space="preserve">Щодо приведення проекту НПДВЕ 2030 у відповідність до Директиви (ЄС) 2018/2001. </w:t>
            </w:r>
            <w:r w:rsidRPr="003864E7">
              <w:rPr>
                <w:rFonts w:ascii="Times New Roman" w:eastAsia="Times New Roman" w:hAnsi="Times New Roman" w:cs="Times New Roman"/>
                <w:color w:val="000000"/>
              </w:rPr>
              <w:t xml:space="preserve">Відповідно до рішення Ради Міністрів Енергетичного </w:t>
            </w:r>
            <w:r w:rsidRPr="003864E7">
              <w:rPr>
                <w:rFonts w:ascii="Times New Roman" w:eastAsia="Times New Roman" w:hAnsi="Times New Roman" w:cs="Times New Roman"/>
                <w:color w:val="000000"/>
              </w:rPr>
              <w:lastRenderedPageBreak/>
              <w:t>Співтовариства від 30 листопада 2021 року Україна повинна імплементувати адаптовану Директиву (ЄС) 2018/2001 про сприяння використанню енергії з відновлюваних джерел до 31 грудня 2022 року. Тому при розробці прогнозів та заходів з розвитку ВДЕ в Національному плані рекомендується застосування цієї директиви замість Директиви 2009/28/ЄС.</w:t>
            </w:r>
          </w:p>
        </w:tc>
        <w:tc>
          <w:tcPr>
            <w:tcW w:w="3969" w:type="dxa"/>
            <w:tcBorders>
              <w:top w:val="single" w:sz="6" w:space="0" w:color="000000"/>
              <w:left w:val="single" w:sz="6" w:space="0" w:color="000000"/>
              <w:bottom w:val="single" w:sz="6" w:space="0" w:color="000000"/>
              <w:right w:val="single" w:sz="6" w:space="0" w:color="000000"/>
            </w:tcBorders>
          </w:tcPr>
          <w:p w14:paraId="348367CD" w14:textId="77777777" w:rsidR="00B43B9E" w:rsidRPr="003864E7" w:rsidRDefault="00AF0BE5">
            <w:pPr>
              <w:spacing w:after="80"/>
              <w:jc w:val="center"/>
              <w:rPr>
                <w:rFonts w:ascii="Times New Roman" w:eastAsia="Times New Roman" w:hAnsi="Times New Roman" w:cs="Times New Roman"/>
              </w:rPr>
            </w:pPr>
            <w:r w:rsidRPr="003864E7">
              <w:rPr>
                <w:rFonts w:ascii="Times New Roman" w:eastAsia="Times New Roman" w:hAnsi="Times New Roman" w:cs="Times New Roman"/>
              </w:rPr>
              <w:lastRenderedPageBreak/>
              <w:t>Пропозиції до проекту НПДВЕ 2030</w:t>
            </w:r>
          </w:p>
        </w:tc>
        <w:tc>
          <w:tcPr>
            <w:tcW w:w="5812" w:type="dxa"/>
            <w:tcBorders>
              <w:top w:val="single" w:sz="6" w:space="0" w:color="000000"/>
              <w:left w:val="single" w:sz="6" w:space="0" w:color="000000"/>
              <w:bottom w:val="single" w:sz="6" w:space="0" w:color="000000"/>
              <w:right w:val="single" w:sz="6" w:space="0" w:color="000000"/>
            </w:tcBorders>
          </w:tcPr>
          <w:p w14:paraId="3031FC90"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08B2F908"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 xml:space="preserve">Планом заходів проекту НПДВЕ 2030 передбачено розробку нормативно-правових актів, які будуть включати </w:t>
            </w:r>
            <w:r w:rsidRPr="003864E7">
              <w:rPr>
                <w:rFonts w:ascii="Times New Roman" w:eastAsia="Times New Roman" w:hAnsi="Times New Roman" w:cs="Times New Roman"/>
              </w:rPr>
              <w:lastRenderedPageBreak/>
              <w:t>відповідні положення Директиви ЄС від 11.12.2018 2018/2001  «Про заохочення використання енергії з відновлюваних джерел».</w:t>
            </w:r>
          </w:p>
          <w:p w14:paraId="55085DC7"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tc>
      </w:tr>
      <w:tr w:rsidR="005E2770" w:rsidRPr="003864E7" w14:paraId="0954BFCC" w14:textId="77777777" w:rsidTr="001037DA">
        <w:tc>
          <w:tcPr>
            <w:tcW w:w="15294" w:type="dxa"/>
            <w:gridSpan w:val="3"/>
            <w:tcBorders>
              <w:top w:val="single" w:sz="6" w:space="0" w:color="000000"/>
              <w:left w:val="single" w:sz="6" w:space="0" w:color="000000"/>
              <w:bottom w:val="single" w:sz="6" w:space="0" w:color="000000"/>
              <w:right w:val="single" w:sz="6" w:space="0" w:color="000000"/>
            </w:tcBorders>
          </w:tcPr>
          <w:p w14:paraId="33240EB3" w14:textId="3D90A219" w:rsidR="005E2770" w:rsidRPr="005E2770" w:rsidRDefault="005E2770" w:rsidP="005E2770">
            <w:pPr>
              <w:spacing w:after="0" w:line="240" w:lineRule="auto"/>
              <w:ind w:left="57" w:right="57" w:firstLine="558"/>
              <w:jc w:val="center"/>
              <w:rPr>
                <w:rFonts w:ascii="Times New Roman" w:eastAsia="Times New Roman" w:hAnsi="Times New Roman" w:cs="Times New Roman"/>
                <w:b/>
                <w:bCs/>
              </w:rPr>
            </w:pPr>
            <w:r w:rsidRPr="005E2770">
              <w:rPr>
                <w:rFonts w:ascii="Times New Roman" w:hAnsi="Times New Roman" w:cs="Times New Roman"/>
                <w:b/>
                <w:bCs/>
                <w:sz w:val="28"/>
                <w:szCs w:val="28"/>
              </w:rPr>
              <w:t>Інституту відновлюваної енергетики Національної академії наук України</w:t>
            </w:r>
          </w:p>
        </w:tc>
      </w:tr>
      <w:tr w:rsidR="005E2770" w:rsidRPr="003864E7" w14:paraId="3D83F9C5"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63EC39CF" w14:textId="40C90C9D" w:rsidR="005E2770" w:rsidRPr="005D0503" w:rsidRDefault="005E2770" w:rsidP="005E2770">
            <w:pPr>
              <w:spacing w:after="0" w:line="240" w:lineRule="auto"/>
              <w:ind w:left="57" w:right="57"/>
              <w:rPr>
                <w:rFonts w:ascii="Times New Roman" w:eastAsia="Times New Roman" w:hAnsi="Times New Roman" w:cs="Times New Roman"/>
              </w:rPr>
            </w:pPr>
            <w:r w:rsidRPr="005D0503">
              <w:rPr>
                <w:rFonts w:ascii="Times New Roman" w:hAnsi="Times New Roman" w:cs="Times New Roman"/>
              </w:rPr>
              <w:t>Ці дані було розраховано в 2012 р. як рівень використання ВДЕ, що забезпечить 30% від енергоспоживання в 2030 році. Це необхідний, а не максимальний рівень. Розрахунки подальших років, що враховують  технологічні можливості, вказують на досяжні рівні понад 230 млн т н. е. в рік (остання редакція «Атласу енергетичного потенціалу відновлюваних джерел енергії України» від 2020 р.).</w:t>
            </w:r>
          </w:p>
        </w:tc>
        <w:tc>
          <w:tcPr>
            <w:tcW w:w="3969" w:type="dxa"/>
            <w:tcBorders>
              <w:top w:val="single" w:sz="6" w:space="0" w:color="000000"/>
              <w:left w:val="single" w:sz="6" w:space="0" w:color="000000"/>
              <w:bottom w:val="single" w:sz="6" w:space="0" w:color="000000"/>
              <w:right w:val="single" w:sz="6" w:space="0" w:color="000000"/>
            </w:tcBorders>
          </w:tcPr>
          <w:p w14:paraId="6450EB8B" w14:textId="7CC26D24" w:rsidR="005E2770" w:rsidRPr="005D0503" w:rsidRDefault="005E2770" w:rsidP="005E2770">
            <w:pPr>
              <w:pStyle w:val="Default"/>
              <w:rPr>
                <w:color w:val="auto"/>
                <w:sz w:val="22"/>
                <w:szCs w:val="22"/>
              </w:rPr>
            </w:pPr>
            <w:r w:rsidRPr="005D0503">
              <w:rPr>
                <w:rFonts w:eastAsia="Times New Roman"/>
                <w:sz w:val="22"/>
                <w:szCs w:val="22"/>
              </w:rPr>
              <w:t>Пропозиції до розділу «Вступ»</w:t>
            </w:r>
            <w:r w:rsidRPr="005D0503">
              <w:rPr>
                <w:sz w:val="22"/>
                <w:szCs w:val="22"/>
              </w:rPr>
              <w:t xml:space="preserve"> </w:t>
            </w:r>
            <w:r w:rsidRPr="005D0503">
              <w:rPr>
                <w:sz w:val="22"/>
                <w:szCs w:val="22"/>
                <w:lang w:val="uk-UA"/>
              </w:rPr>
              <w:t xml:space="preserve">речення </w:t>
            </w:r>
            <w:r w:rsidRPr="005D0503">
              <w:rPr>
                <w:sz w:val="22"/>
                <w:szCs w:val="22"/>
              </w:rPr>
              <w:t>«</w:t>
            </w:r>
            <w:r w:rsidRPr="005D0503">
              <w:rPr>
                <w:color w:val="auto"/>
                <w:sz w:val="22"/>
                <w:szCs w:val="22"/>
              </w:rPr>
              <w:t xml:space="preserve">За даними Інституту відновлюваної енергетики Національної ака- демії наук України Україна має значний технічно-досяжний енергетичний потенціал відновлюваних джерел енергії, який сягає 68,9 млн т н. е. в рік.» </w:t>
            </w:r>
          </w:p>
          <w:p w14:paraId="7872AD5C" w14:textId="0F6911FC" w:rsidR="005E2770" w:rsidRPr="005D0503" w:rsidRDefault="005E2770">
            <w:pPr>
              <w:spacing w:after="80"/>
              <w:jc w:val="center"/>
              <w:rPr>
                <w:rFonts w:ascii="Times New Roman" w:eastAsia="Times New Roman" w:hAnsi="Times New Roman" w:cs="Times New Roman"/>
              </w:rPr>
            </w:pPr>
          </w:p>
        </w:tc>
        <w:tc>
          <w:tcPr>
            <w:tcW w:w="5812" w:type="dxa"/>
            <w:tcBorders>
              <w:top w:val="single" w:sz="6" w:space="0" w:color="000000"/>
              <w:left w:val="single" w:sz="6" w:space="0" w:color="000000"/>
              <w:bottom w:val="single" w:sz="6" w:space="0" w:color="000000"/>
              <w:right w:val="single" w:sz="6" w:space="0" w:color="000000"/>
            </w:tcBorders>
          </w:tcPr>
          <w:p w14:paraId="1D597515" w14:textId="10495613" w:rsidR="005E2770" w:rsidRPr="005D0503" w:rsidRDefault="00E37B09" w:rsidP="005E2770">
            <w:pPr>
              <w:spacing w:after="0" w:line="240" w:lineRule="auto"/>
              <w:ind w:right="57"/>
              <w:jc w:val="both"/>
              <w:rPr>
                <w:rFonts w:ascii="Times New Roman" w:eastAsia="Times New Roman" w:hAnsi="Times New Roman" w:cs="Times New Roman"/>
              </w:rPr>
            </w:pPr>
            <w:r w:rsidRPr="005D0503">
              <w:rPr>
                <w:rFonts w:ascii="Times New Roman" w:eastAsia="Times New Roman" w:hAnsi="Times New Roman" w:cs="Times New Roman"/>
              </w:rPr>
              <w:t>Не в</w:t>
            </w:r>
            <w:r w:rsidR="005E2770" w:rsidRPr="005D0503">
              <w:rPr>
                <w:rFonts w:ascii="Times New Roman" w:eastAsia="Times New Roman" w:hAnsi="Times New Roman" w:cs="Times New Roman"/>
              </w:rPr>
              <w:t>раховано.</w:t>
            </w:r>
          </w:p>
          <w:p w14:paraId="62BD9CF0" w14:textId="5E4C163D" w:rsidR="005E2770" w:rsidRPr="005D0503" w:rsidRDefault="00E37B09" w:rsidP="005E2770">
            <w:pPr>
              <w:spacing w:after="0" w:line="240" w:lineRule="auto"/>
              <w:ind w:right="57"/>
              <w:jc w:val="both"/>
              <w:rPr>
                <w:rFonts w:ascii="Times New Roman" w:eastAsia="Times New Roman" w:hAnsi="Times New Roman" w:cs="Times New Roman"/>
              </w:rPr>
            </w:pPr>
            <w:r w:rsidRPr="005D0503">
              <w:rPr>
                <w:rFonts w:ascii="Times New Roman" w:eastAsia="Times New Roman" w:hAnsi="Times New Roman" w:cs="Times New Roman"/>
              </w:rPr>
              <w:t xml:space="preserve">В реченні саме відмічено </w:t>
            </w:r>
            <w:r w:rsidRPr="005D0503">
              <w:rPr>
                <w:rFonts w:ascii="Times New Roman" w:hAnsi="Times New Roman" w:cs="Times New Roman"/>
              </w:rPr>
              <w:t>технічно-досяжний енергетичний потенціал</w:t>
            </w:r>
            <w:r w:rsidRPr="005D0503">
              <w:rPr>
                <w:rFonts w:ascii="Times New Roman" w:hAnsi="Times New Roman" w:cs="Times New Roman"/>
              </w:rPr>
              <w:t xml:space="preserve"> в розмірі 68,9</w:t>
            </w:r>
            <w:r w:rsidRPr="005D0503">
              <w:rPr>
                <w:rFonts w:ascii="Times New Roman" w:hAnsi="Times New Roman" w:cs="Times New Roman"/>
              </w:rPr>
              <w:t xml:space="preserve"> млн т н. е. в рік</w:t>
            </w:r>
            <w:r w:rsidRPr="005D0503">
              <w:rPr>
                <w:rFonts w:ascii="Times New Roman" w:hAnsi="Times New Roman" w:cs="Times New Roman"/>
              </w:rPr>
              <w:t>.</w:t>
            </w:r>
          </w:p>
          <w:p w14:paraId="6271A997" w14:textId="59DD6430" w:rsidR="005E2770" w:rsidRPr="005D0503" w:rsidRDefault="005E2770" w:rsidP="00E37B09">
            <w:pPr>
              <w:pStyle w:val="Default"/>
              <w:rPr>
                <w:rFonts w:eastAsia="Times New Roman"/>
              </w:rPr>
            </w:pPr>
          </w:p>
        </w:tc>
      </w:tr>
      <w:tr w:rsidR="005E2770" w:rsidRPr="003864E7" w14:paraId="69E3516D"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0B11D456" w14:textId="2AE10C92" w:rsidR="005E2770" w:rsidRPr="005D0503" w:rsidRDefault="005E2770" w:rsidP="000C4B67">
            <w:pPr>
              <w:spacing w:after="0" w:line="240" w:lineRule="auto"/>
              <w:ind w:left="57" w:right="57"/>
              <w:rPr>
                <w:rFonts w:ascii="Times New Roman" w:eastAsia="Times New Roman" w:hAnsi="Times New Roman" w:cs="Times New Roman"/>
              </w:rPr>
            </w:pPr>
            <w:r w:rsidRPr="005D0503">
              <w:rPr>
                <w:rFonts w:ascii="Times New Roman" w:eastAsia="Times New Roman" w:hAnsi="Times New Roman" w:cs="Times New Roman"/>
              </w:rPr>
              <w:t>«Планується, що виробництво електричної енергії з енергії сонячного випромінювання може бути збільшено до 10,5</w:t>
            </w:r>
            <w:r w:rsidRPr="005D0503">
              <w:rPr>
                <w:rFonts w:ascii="Times New Roman" w:eastAsia="Times New Roman" w:hAnsi="Times New Roman" w:cs="Times New Roman"/>
              </w:rPr>
              <w:t xml:space="preserve"> </w:t>
            </w:r>
            <w:r w:rsidRPr="005D0503">
              <w:rPr>
                <w:rFonts w:ascii="Times New Roman" w:eastAsia="Times New Roman" w:hAnsi="Times New Roman" w:cs="Times New Roman"/>
              </w:rPr>
              <w:t>ТВт</w:t>
            </w:r>
            <w:r w:rsidRPr="005D0503">
              <w:rPr>
                <w:rFonts w:ascii="Times New Roman" w:eastAsia="Times New Roman" w:hAnsi="Times New Roman" w:cs="Times New Roman"/>
              </w:rPr>
              <w:t>год у 2030 році (загальною потужністю близько 10 ГВт, з яких 7 ГВт</w:t>
            </w:r>
            <w:r w:rsidRPr="005D0503">
              <w:rPr>
                <w:rFonts w:ascii="Times New Roman" w:eastAsia="Times New Roman" w:hAnsi="Times New Roman" w:cs="Times New Roman"/>
              </w:rPr>
              <w:t xml:space="preserve"> </w:t>
            </w:r>
            <w:r w:rsidRPr="005D0503">
              <w:rPr>
                <w:rFonts w:ascii="Times New Roman" w:eastAsia="Times New Roman" w:hAnsi="Times New Roman" w:cs="Times New Roman"/>
              </w:rPr>
              <w:t>промислових виробників та 3 ГВт споживачів)». Можливо 3 ГВт домогосподарств?</w:t>
            </w:r>
          </w:p>
        </w:tc>
        <w:tc>
          <w:tcPr>
            <w:tcW w:w="3969" w:type="dxa"/>
            <w:tcBorders>
              <w:top w:val="single" w:sz="6" w:space="0" w:color="000000"/>
              <w:left w:val="single" w:sz="6" w:space="0" w:color="000000"/>
              <w:bottom w:val="single" w:sz="6" w:space="0" w:color="000000"/>
              <w:right w:val="single" w:sz="6" w:space="0" w:color="000000"/>
            </w:tcBorders>
          </w:tcPr>
          <w:p w14:paraId="460B8B95" w14:textId="5804B838" w:rsidR="005E2770" w:rsidRPr="005D0503" w:rsidRDefault="005E2770" w:rsidP="00943A0E">
            <w:pPr>
              <w:keepNext/>
              <w:keepLines/>
              <w:pBdr>
                <w:top w:val="nil"/>
                <w:left w:val="nil"/>
                <w:bottom w:val="nil"/>
                <w:right w:val="nil"/>
                <w:between w:val="nil"/>
              </w:pBdr>
              <w:spacing w:after="100" w:afterAutospacing="1" w:line="240" w:lineRule="auto"/>
              <w:jc w:val="center"/>
              <w:rPr>
                <w:rFonts w:ascii="Times New Roman" w:eastAsia="Times New Roman" w:hAnsi="Times New Roman" w:cs="Times New Roman"/>
                <w:color w:val="000000"/>
                <w:sz w:val="28"/>
                <w:szCs w:val="28"/>
              </w:rPr>
            </w:pPr>
            <w:r w:rsidRPr="005D0503">
              <w:rPr>
                <w:rFonts w:ascii="Times New Roman" w:eastAsia="Times New Roman" w:hAnsi="Times New Roman" w:cs="Times New Roman"/>
                <w:sz w:val="24"/>
                <w:szCs w:val="24"/>
              </w:rPr>
              <w:t>Пропозиції до</w:t>
            </w:r>
            <w:r w:rsidR="000C4B67" w:rsidRPr="005D0503">
              <w:rPr>
                <w:rFonts w:ascii="Times New Roman" w:eastAsia="Times New Roman" w:hAnsi="Times New Roman" w:cs="Times New Roman"/>
                <w:sz w:val="24"/>
                <w:szCs w:val="24"/>
              </w:rPr>
              <w:t xml:space="preserve"> підрозд</w:t>
            </w:r>
            <w:r w:rsidR="000F5B60" w:rsidRPr="005D0503">
              <w:rPr>
                <w:rFonts w:ascii="Times New Roman" w:eastAsia="Times New Roman" w:hAnsi="Times New Roman" w:cs="Times New Roman"/>
                <w:sz w:val="24"/>
                <w:szCs w:val="24"/>
              </w:rPr>
              <w:t>і</w:t>
            </w:r>
            <w:r w:rsidR="000C4B67" w:rsidRPr="005D0503">
              <w:rPr>
                <w:rFonts w:ascii="Times New Roman" w:eastAsia="Times New Roman" w:hAnsi="Times New Roman" w:cs="Times New Roman"/>
                <w:sz w:val="24"/>
                <w:szCs w:val="24"/>
              </w:rPr>
              <w:t>лу «</w:t>
            </w:r>
            <w:r w:rsidR="000C4B67" w:rsidRPr="005D0503">
              <w:rPr>
                <w:rFonts w:ascii="Times New Roman" w:eastAsia="Times New Roman" w:hAnsi="Times New Roman" w:cs="Times New Roman"/>
                <w:color w:val="000000"/>
                <w:sz w:val="24"/>
                <w:szCs w:val="24"/>
              </w:rPr>
              <w:t>Сонячна енергетика</w:t>
            </w:r>
            <w:r w:rsidR="000C4B67" w:rsidRPr="005D0503">
              <w:rPr>
                <w:rFonts w:ascii="Times New Roman" w:eastAsia="Times New Roman" w:hAnsi="Times New Roman" w:cs="Times New Roman"/>
                <w:sz w:val="24"/>
                <w:szCs w:val="24"/>
              </w:rPr>
              <w:t xml:space="preserve">» </w:t>
            </w:r>
            <w:r w:rsidRPr="005D0503">
              <w:rPr>
                <w:rFonts w:ascii="Times New Roman" w:eastAsia="Times New Roman" w:hAnsi="Times New Roman" w:cs="Times New Roman"/>
                <w:sz w:val="24"/>
                <w:szCs w:val="24"/>
              </w:rPr>
              <w:t xml:space="preserve"> розділу «</w:t>
            </w:r>
            <w:r w:rsidR="000C4B67" w:rsidRPr="005D0503">
              <w:rPr>
                <w:rFonts w:ascii="Times New Roman" w:eastAsia="Times New Roman" w:hAnsi="Times New Roman" w:cs="Times New Roman"/>
                <w:color w:val="000000"/>
                <w:sz w:val="24"/>
                <w:szCs w:val="24"/>
              </w:rPr>
              <w:t>Використання відновлюваних джерел енергії в електроенергетичному комплексі</w:t>
            </w:r>
            <w:r w:rsidR="000C4B67" w:rsidRPr="005D0503">
              <w:rPr>
                <w:rFonts w:ascii="Times New Roman" w:eastAsia="Times New Roman" w:hAnsi="Times New Roman" w:cs="Times New Roman"/>
                <w:sz w:val="24"/>
                <w:szCs w:val="24"/>
              </w:rPr>
              <w:t>»</w:t>
            </w:r>
          </w:p>
        </w:tc>
        <w:tc>
          <w:tcPr>
            <w:tcW w:w="5812" w:type="dxa"/>
            <w:tcBorders>
              <w:top w:val="single" w:sz="6" w:space="0" w:color="000000"/>
              <w:left w:val="single" w:sz="6" w:space="0" w:color="000000"/>
              <w:bottom w:val="single" w:sz="6" w:space="0" w:color="000000"/>
              <w:right w:val="single" w:sz="6" w:space="0" w:color="000000"/>
            </w:tcBorders>
          </w:tcPr>
          <w:p w14:paraId="6309A63B" w14:textId="77777777" w:rsidR="000C4B67" w:rsidRPr="005D0503" w:rsidRDefault="000C4B67" w:rsidP="000F5B60">
            <w:pPr>
              <w:spacing w:after="0" w:line="240" w:lineRule="auto"/>
              <w:ind w:right="57"/>
              <w:jc w:val="both"/>
              <w:rPr>
                <w:rFonts w:ascii="Times New Roman" w:eastAsia="Times New Roman" w:hAnsi="Times New Roman" w:cs="Times New Roman"/>
              </w:rPr>
            </w:pPr>
            <w:r w:rsidRPr="005D0503">
              <w:rPr>
                <w:rFonts w:ascii="Times New Roman" w:eastAsia="Times New Roman" w:hAnsi="Times New Roman" w:cs="Times New Roman"/>
              </w:rPr>
              <w:t xml:space="preserve">Враховано </w:t>
            </w:r>
          </w:p>
          <w:p w14:paraId="43F6B0A4" w14:textId="1830F507" w:rsidR="005E2770" w:rsidRPr="005D0503" w:rsidRDefault="000C4B67" w:rsidP="000F5B60">
            <w:pPr>
              <w:spacing w:after="0" w:line="240" w:lineRule="auto"/>
              <w:ind w:left="57" w:right="57"/>
              <w:jc w:val="both"/>
              <w:rPr>
                <w:rFonts w:ascii="Times New Roman" w:eastAsia="Times New Roman" w:hAnsi="Times New Roman" w:cs="Times New Roman"/>
              </w:rPr>
            </w:pPr>
            <w:r w:rsidRPr="005D0503">
              <w:rPr>
                <w:rFonts w:ascii="Times New Roman" w:eastAsia="Times New Roman" w:hAnsi="Times New Roman" w:cs="Times New Roman"/>
              </w:rPr>
              <w:t>В реченні після слова «споживачі» включено такі слова «</w:t>
            </w:r>
            <w:r w:rsidRPr="005D0503">
              <w:rPr>
                <w:rFonts w:ascii="Times New Roman" w:eastAsia="Times New Roman" w:hAnsi="Times New Roman" w:cs="Times New Roman"/>
              </w:rPr>
              <w:t>, у тому числі, домогосподарств</w:t>
            </w:r>
            <w:r w:rsidRPr="005D0503">
              <w:rPr>
                <w:rFonts w:ascii="Times New Roman" w:eastAsia="Times New Roman" w:hAnsi="Times New Roman" w:cs="Times New Roman"/>
              </w:rPr>
              <w:t>»</w:t>
            </w:r>
            <w:r w:rsidRPr="005D0503">
              <w:rPr>
                <w:rFonts w:ascii="Times New Roman" w:eastAsia="Times New Roman" w:hAnsi="Times New Roman" w:cs="Times New Roman"/>
              </w:rPr>
              <w:t>.</w:t>
            </w:r>
          </w:p>
        </w:tc>
      </w:tr>
      <w:tr w:rsidR="005E2770" w:rsidRPr="003864E7" w14:paraId="10653261"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59653F64" w14:textId="77777777" w:rsidR="000C4B67" w:rsidRPr="000C4B67" w:rsidRDefault="000C4B67" w:rsidP="000C4B67">
            <w:pPr>
              <w:spacing w:after="0" w:line="240" w:lineRule="auto"/>
              <w:ind w:left="57" w:right="57"/>
              <w:rPr>
                <w:rFonts w:ascii="Times New Roman" w:eastAsia="Times New Roman" w:hAnsi="Times New Roman" w:cs="Times New Roman"/>
              </w:rPr>
            </w:pPr>
            <w:r w:rsidRPr="000C4B67">
              <w:rPr>
                <w:rFonts w:ascii="Times New Roman" w:eastAsia="Times New Roman" w:hAnsi="Times New Roman" w:cs="Times New Roman"/>
              </w:rPr>
              <w:t>Не висвітлено важливий напрям сонячної енергетики – теплова с. е.</w:t>
            </w:r>
          </w:p>
          <w:p w14:paraId="0D346318" w14:textId="3655741D" w:rsidR="000C4B67" w:rsidRPr="000C4B67" w:rsidRDefault="000C4B67" w:rsidP="000C4B67">
            <w:pPr>
              <w:spacing w:after="0" w:line="240" w:lineRule="auto"/>
              <w:ind w:left="57" w:right="57"/>
              <w:rPr>
                <w:rFonts w:ascii="Times New Roman" w:eastAsia="Times New Roman" w:hAnsi="Times New Roman" w:cs="Times New Roman"/>
              </w:rPr>
            </w:pPr>
            <w:r w:rsidRPr="000C4B67">
              <w:rPr>
                <w:rFonts w:ascii="Times New Roman" w:eastAsia="Times New Roman" w:hAnsi="Times New Roman" w:cs="Times New Roman"/>
              </w:rPr>
              <w:t>Глобальний вихід сонячної теплової енергії в усіх встановлених сонячних теплових системах у 2019 році відповідає економії 41,9 млн тонн нафти та зменшенню викидів CO2 на 135,1 млн тонн. Це свідчить про значний внесок цієї</w:t>
            </w:r>
            <w:r>
              <w:rPr>
                <w:rFonts w:ascii="Times New Roman" w:eastAsia="Times New Roman" w:hAnsi="Times New Roman" w:cs="Times New Roman"/>
              </w:rPr>
              <w:t xml:space="preserve"> </w:t>
            </w:r>
            <w:r w:rsidRPr="000C4B67">
              <w:rPr>
                <w:rFonts w:ascii="Times New Roman" w:eastAsia="Times New Roman" w:hAnsi="Times New Roman" w:cs="Times New Roman"/>
              </w:rPr>
              <w:t>технології у зменшення глобальних викидів парникових газів та декарбанізацію світової енергетики.</w:t>
            </w:r>
          </w:p>
          <w:p w14:paraId="53E30503" w14:textId="154688A7" w:rsidR="005E2770" w:rsidRPr="003864E7" w:rsidRDefault="000C4B67" w:rsidP="000C4B67">
            <w:pPr>
              <w:spacing w:after="0" w:line="240" w:lineRule="auto"/>
              <w:ind w:left="57" w:right="57"/>
              <w:rPr>
                <w:rFonts w:ascii="Times New Roman" w:eastAsia="Times New Roman" w:hAnsi="Times New Roman" w:cs="Times New Roman"/>
              </w:rPr>
            </w:pPr>
            <w:r w:rsidRPr="000C4B67">
              <w:rPr>
                <w:rFonts w:ascii="Times New Roman" w:eastAsia="Times New Roman" w:hAnsi="Times New Roman" w:cs="Times New Roman"/>
              </w:rPr>
              <w:t>На ринку України є достатньо широкий асортимент сонячного теплоенергетичного обладнання, переважно іноземного виробництва, різних типів з</w:t>
            </w:r>
            <w:r>
              <w:rPr>
                <w:rFonts w:ascii="Times New Roman" w:eastAsia="Times New Roman" w:hAnsi="Times New Roman" w:cs="Times New Roman"/>
              </w:rPr>
              <w:t xml:space="preserve"> </w:t>
            </w:r>
            <w:r w:rsidRPr="000C4B67">
              <w:rPr>
                <w:rFonts w:ascii="Times New Roman" w:eastAsia="Times New Roman" w:hAnsi="Times New Roman" w:cs="Times New Roman"/>
              </w:rPr>
              <w:t>різною комплектацією, і різною потужністю. Останнім часом у продажу</w:t>
            </w:r>
            <w:r>
              <w:rPr>
                <w:rFonts w:ascii="Times New Roman" w:eastAsia="Times New Roman" w:hAnsi="Times New Roman" w:cs="Times New Roman"/>
              </w:rPr>
              <w:t xml:space="preserve"> </w:t>
            </w:r>
            <w:r w:rsidRPr="000C4B67">
              <w:rPr>
                <w:rFonts w:ascii="Times New Roman" w:eastAsia="Times New Roman" w:hAnsi="Times New Roman" w:cs="Times New Roman"/>
              </w:rPr>
              <w:t xml:space="preserve">з’явилися сонячні </w:t>
            </w:r>
            <w:r w:rsidRPr="000C4B67">
              <w:rPr>
                <w:rFonts w:ascii="Times New Roman" w:eastAsia="Times New Roman" w:hAnsi="Times New Roman" w:cs="Times New Roman"/>
              </w:rPr>
              <w:lastRenderedPageBreak/>
              <w:t>колектори українського виробництва за більш доступними</w:t>
            </w:r>
            <w:r>
              <w:rPr>
                <w:rFonts w:ascii="Times New Roman" w:eastAsia="Times New Roman" w:hAnsi="Times New Roman" w:cs="Times New Roman"/>
              </w:rPr>
              <w:t xml:space="preserve"> </w:t>
            </w:r>
            <w:r w:rsidRPr="000C4B67">
              <w:rPr>
                <w:rFonts w:ascii="Times New Roman" w:eastAsia="Times New Roman" w:hAnsi="Times New Roman" w:cs="Times New Roman"/>
              </w:rPr>
              <w:t>цінами. Є приклади ефективності застосування сонячних теплових систем у</w:t>
            </w:r>
            <w:r>
              <w:rPr>
                <w:rFonts w:ascii="Times New Roman" w:eastAsia="Times New Roman" w:hAnsi="Times New Roman" w:cs="Times New Roman"/>
              </w:rPr>
              <w:t xml:space="preserve"> </w:t>
            </w:r>
            <w:r w:rsidRPr="000C4B67">
              <w:rPr>
                <w:rFonts w:ascii="Times New Roman" w:eastAsia="Times New Roman" w:hAnsi="Times New Roman" w:cs="Times New Roman"/>
              </w:rPr>
              <w:t>багатоквартирних будинках за державної підтримки із використанням «теплого кредиту» Це можна добавити на С.18 до Використання відновлюваних джерел енергії в системах опалення і охолодження</w:t>
            </w:r>
          </w:p>
        </w:tc>
        <w:tc>
          <w:tcPr>
            <w:tcW w:w="3969" w:type="dxa"/>
            <w:tcBorders>
              <w:top w:val="single" w:sz="6" w:space="0" w:color="000000"/>
              <w:left w:val="single" w:sz="6" w:space="0" w:color="000000"/>
              <w:bottom w:val="single" w:sz="6" w:space="0" w:color="000000"/>
              <w:right w:val="single" w:sz="6" w:space="0" w:color="000000"/>
            </w:tcBorders>
          </w:tcPr>
          <w:p w14:paraId="4744341C" w14:textId="14963C69" w:rsidR="005E2770" w:rsidRPr="003864E7" w:rsidRDefault="000C4B67">
            <w:pPr>
              <w:spacing w:after="80"/>
              <w:jc w:val="center"/>
              <w:rPr>
                <w:rFonts w:ascii="Times New Roman" w:eastAsia="Times New Roman" w:hAnsi="Times New Roman" w:cs="Times New Roman"/>
              </w:rPr>
            </w:pPr>
            <w:r>
              <w:rPr>
                <w:rFonts w:ascii="Times New Roman" w:eastAsia="Times New Roman" w:hAnsi="Times New Roman" w:cs="Times New Roman"/>
              </w:rPr>
              <w:lastRenderedPageBreak/>
              <w:t>Пропозиції до розділу «</w:t>
            </w:r>
            <w:r w:rsidRPr="000C4B67">
              <w:rPr>
                <w:rFonts w:ascii="Times New Roman" w:eastAsia="Times New Roman" w:hAnsi="Times New Roman" w:cs="Times New Roman"/>
              </w:rPr>
              <w:t>Використання відновлюваних джерел енергії в системах опалення і охолодження</w:t>
            </w:r>
            <w:r>
              <w:rPr>
                <w:rFonts w:ascii="Times New Roman" w:eastAsia="Times New Roman" w:hAnsi="Times New Roman" w:cs="Times New Roman"/>
              </w:rPr>
              <w:t>»</w:t>
            </w:r>
          </w:p>
        </w:tc>
        <w:tc>
          <w:tcPr>
            <w:tcW w:w="5812" w:type="dxa"/>
            <w:tcBorders>
              <w:top w:val="single" w:sz="6" w:space="0" w:color="000000"/>
              <w:left w:val="single" w:sz="6" w:space="0" w:color="000000"/>
              <w:bottom w:val="single" w:sz="6" w:space="0" w:color="000000"/>
              <w:right w:val="single" w:sz="6" w:space="0" w:color="000000"/>
            </w:tcBorders>
          </w:tcPr>
          <w:p w14:paraId="4C4466F9" w14:textId="77777777" w:rsidR="005E2770" w:rsidRDefault="000C4B67" w:rsidP="000F5B60">
            <w:pP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Не враховано.</w:t>
            </w:r>
          </w:p>
          <w:p w14:paraId="408EFE39" w14:textId="26D25630" w:rsidR="000C4B67" w:rsidRDefault="00E37B09" w:rsidP="000F5B60">
            <w:pPr>
              <w:spacing w:after="0" w:line="240" w:lineRule="auto"/>
              <w:ind w:left="57" w:right="57"/>
              <w:jc w:val="both"/>
              <w:rPr>
                <w:rFonts w:ascii="Times New Roman" w:eastAsia="Times New Roman" w:hAnsi="Times New Roman" w:cs="Times New Roman"/>
              </w:rPr>
            </w:pPr>
            <w:r>
              <w:rPr>
                <w:rFonts w:ascii="Times New Roman" w:eastAsia="Times New Roman" w:hAnsi="Times New Roman" w:cs="Times New Roman"/>
              </w:rPr>
              <w:t>В розділ вже зазначений потенціал виробництва сонячної енергії. «</w:t>
            </w:r>
            <w:r w:rsidRPr="00E37B09">
              <w:rPr>
                <w:rFonts w:ascii="Times New Roman" w:eastAsia="Times New Roman" w:hAnsi="Times New Roman" w:cs="Times New Roman"/>
              </w:rPr>
              <w:t>Технічно-досяжний потенціал сонячної енергії для виробництва тепла становить, за різними оцінками, 14,5 – 17 млрд кВт∙год/рік</w:t>
            </w:r>
            <w:r>
              <w:rPr>
                <w:rFonts w:ascii="Times New Roman" w:eastAsia="Times New Roman" w:hAnsi="Times New Roman" w:cs="Times New Roman"/>
              </w:rPr>
              <w:t>»</w:t>
            </w:r>
          </w:p>
          <w:p w14:paraId="1E8FDEDB" w14:textId="1583D953" w:rsidR="00E37B09" w:rsidRPr="003864E7" w:rsidRDefault="00E37B09" w:rsidP="000F5B60">
            <w:pPr>
              <w:spacing w:after="0" w:line="240" w:lineRule="auto"/>
              <w:ind w:left="57" w:right="57"/>
              <w:jc w:val="both"/>
              <w:rPr>
                <w:rFonts w:ascii="Times New Roman" w:eastAsia="Times New Roman" w:hAnsi="Times New Roman" w:cs="Times New Roman"/>
              </w:rPr>
            </w:pPr>
            <w:r>
              <w:rPr>
                <w:rFonts w:ascii="Times New Roman" w:eastAsia="Times New Roman" w:hAnsi="Times New Roman" w:cs="Times New Roman"/>
              </w:rPr>
              <w:t xml:space="preserve">Також, в Додатку 4 цільовий показник з розвитку використання сонячної теплової енергії в 2030 році складає  </w:t>
            </w:r>
            <w:r w:rsidRPr="00E37B09">
              <w:rPr>
                <w:rFonts w:ascii="Times New Roman" w:eastAsia="Times New Roman" w:hAnsi="Times New Roman" w:cs="Times New Roman"/>
              </w:rPr>
              <w:t>400</w:t>
            </w:r>
            <w:r>
              <w:rPr>
                <w:rFonts w:ascii="Times New Roman" w:eastAsia="Times New Roman" w:hAnsi="Times New Roman" w:cs="Times New Roman"/>
              </w:rPr>
              <w:t xml:space="preserve"> тис. т н.е.</w:t>
            </w:r>
          </w:p>
        </w:tc>
      </w:tr>
      <w:tr w:rsidR="005E2770" w:rsidRPr="003864E7" w14:paraId="7E6F8234"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1DCB42C6" w14:textId="3FEE8815" w:rsidR="000F5B60" w:rsidRPr="000F5B60" w:rsidRDefault="000F5B60" w:rsidP="000F5B60">
            <w:pPr>
              <w:spacing w:after="0" w:line="240" w:lineRule="auto"/>
              <w:ind w:left="57" w:right="57"/>
              <w:rPr>
                <w:rFonts w:ascii="Times New Roman" w:eastAsia="Times New Roman" w:hAnsi="Times New Roman" w:cs="Times New Roman"/>
              </w:rPr>
            </w:pPr>
            <w:r w:rsidRPr="000F5B60">
              <w:rPr>
                <w:rFonts w:ascii="Times New Roman" w:eastAsia="Times New Roman" w:hAnsi="Times New Roman" w:cs="Times New Roman"/>
              </w:rPr>
              <w:t>Можливо зазначити: «Окрім зазначених секторів: енергетики, систем опалення і охолодження, транспорту – можливе додаткове використання ВДЕ в інших цілях, зокрема для отримання «зеленого» водню в рамках заходів окремої Водневої стратегії України».</w:t>
            </w:r>
          </w:p>
          <w:p w14:paraId="19CD6326" w14:textId="2F8DC392" w:rsidR="000F5B60" w:rsidRPr="000F5B60" w:rsidRDefault="000F5B60" w:rsidP="000F5B60">
            <w:pPr>
              <w:spacing w:after="0" w:line="240" w:lineRule="auto"/>
              <w:ind w:left="57" w:right="57"/>
              <w:rPr>
                <w:rFonts w:ascii="Times New Roman" w:eastAsia="Times New Roman" w:hAnsi="Times New Roman" w:cs="Times New Roman"/>
              </w:rPr>
            </w:pPr>
            <w:r w:rsidRPr="000F5B60">
              <w:rPr>
                <w:rFonts w:ascii="Times New Roman" w:eastAsia="Times New Roman" w:hAnsi="Times New Roman" w:cs="Times New Roman"/>
              </w:rPr>
              <w:t>Пояснення. Відповідно до «Звіту з оцінки відповідності (достатності) генеруючих потужностей» НЕК Укренерго від 2021 року запропоновано на 2030 рік наступні показники:</w:t>
            </w:r>
          </w:p>
          <w:p w14:paraId="77616BA3" w14:textId="77777777" w:rsidR="000F5B60" w:rsidRPr="000F5B60" w:rsidRDefault="000F5B60" w:rsidP="000F5B60">
            <w:pPr>
              <w:spacing w:after="0" w:line="240" w:lineRule="auto"/>
              <w:ind w:left="57" w:right="57"/>
              <w:rPr>
                <w:rFonts w:ascii="Times New Roman" w:eastAsia="Times New Roman" w:hAnsi="Times New Roman" w:cs="Times New Roman"/>
              </w:rPr>
            </w:pPr>
            <w:r w:rsidRPr="000F5B60">
              <w:rPr>
                <w:rFonts w:ascii="Times New Roman" w:eastAsia="Times New Roman" w:hAnsi="Times New Roman" w:cs="Times New Roman"/>
              </w:rPr>
              <w:t>- споживання електроенергії за мінімальним сценарієм – 161 млрд.кВт-год (ТВт-год), а за основним (цільовим) сценарієм – 168 ТВт-год;</w:t>
            </w:r>
          </w:p>
          <w:p w14:paraId="6F6B4D50" w14:textId="77777777" w:rsidR="000F5B60" w:rsidRPr="000F5B60" w:rsidRDefault="000F5B60" w:rsidP="000F5B60">
            <w:pPr>
              <w:spacing w:after="0" w:line="240" w:lineRule="auto"/>
              <w:ind w:left="57" w:right="57"/>
              <w:rPr>
                <w:rFonts w:ascii="Times New Roman" w:eastAsia="Times New Roman" w:hAnsi="Times New Roman" w:cs="Times New Roman"/>
              </w:rPr>
            </w:pPr>
            <w:r w:rsidRPr="000F5B60">
              <w:rPr>
                <w:rFonts w:ascii="Times New Roman" w:eastAsia="Times New Roman" w:hAnsi="Times New Roman" w:cs="Times New Roman"/>
              </w:rPr>
              <w:t>- потужності ВДЕ: за базовим сценарієм – ВЕС 3,2 ГВт, СЕС 6,9 ГВт; за кліматично нейтральним сценарієм – ВЕС 8,0 ГВт, СЕС 12,0 ГВт.</w:t>
            </w:r>
          </w:p>
          <w:p w14:paraId="0281F512" w14:textId="3CE77555" w:rsidR="000F5B60" w:rsidRPr="000F5B60" w:rsidRDefault="000F5B60" w:rsidP="000F5B60">
            <w:pPr>
              <w:spacing w:after="0" w:line="240" w:lineRule="auto"/>
              <w:ind w:left="57" w:right="57"/>
              <w:rPr>
                <w:rFonts w:ascii="Times New Roman" w:eastAsia="Times New Roman" w:hAnsi="Times New Roman" w:cs="Times New Roman"/>
              </w:rPr>
            </w:pPr>
            <w:r w:rsidRPr="000F5B60">
              <w:rPr>
                <w:rFonts w:ascii="Times New Roman" w:eastAsia="Times New Roman" w:hAnsi="Times New Roman" w:cs="Times New Roman"/>
              </w:rPr>
              <w:t>В запропонованому ДАЕР проекті Національного плану дій (НПД) зазначено:</w:t>
            </w:r>
          </w:p>
          <w:p w14:paraId="4EA36285" w14:textId="168D0058" w:rsidR="000F5B60" w:rsidRPr="000F5B60" w:rsidRDefault="000F5B60" w:rsidP="000F5B60">
            <w:pPr>
              <w:spacing w:after="0" w:line="240" w:lineRule="auto"/>
              <w:ind w:left="57" w:right="57"/>
              <w:rPr>
                <w:rFonts w:ascii="Times New Roman" w:eastAsia="Times New Roman" w:hAnsi="Times New Roman" w:cs="Times New Roman"/>
              </w:rPr>
            </w:pPr>
            <w:r w:rsidRPr="000F5B60">
              <w:rPr>
                <w:rFonts w:ascii="Times New Roman" w:eastAsia="Times New Roman" w:hAnsi="Times New Roman" w:cs="Times New Roman"/>
              </w:rPr>
              <w:t>- очікуваний валовий кінцевий обсяг енергоспоживання до 2030 року в електроенергетиці 13843 тис. т н.е., що відповідає мінімальному сценарію НЕК (множник 11,63);</w:t>
            </w:r>
          </w:p>
          <w:p w14:paraId="6D075DE2" w14:textId="77777777" w:rsidR="000F5B60" w:rsidRPr="000F5B60" w:rsidRDefault="000F5B60" w:rsidP="000F5B60">
            <w:pPr>
              <w:spacing w:after="0" w:line="240" w:lineRule="auto"/>
              <w:ind w:left="57" w:right="57"/>
              <w:rPr>
                <w:rFonts w:ascii="Times New Roman" w:eastAsia="Times New Roman" w:hAnsi="Times New Roman" w:cs="Times New Roman"/>
              </w:rPr>
            </w:pPr>
            <w:r w:rsidRPr="000F5B60">
              <w:rPr>
                <w:rFonts w:ascii="Times New Roman" w:eastAsia="Times New Roman" w:hAnsi="Times New Roman" w:cs="Times New Roman"/>
              </w:rPr>
              <w:t>- потужності ВДЕ: ВЕС 5,0 ГВт, СЕС 9,9 ГВт.</w:t>
            </w:r>
          </w:p>
          <w:p w14:paraId="4EA9A894" w14:textId="75D47F89" w:rsidR="000F5B60" w:rsidRPr="000F5B60" w:rsidRDefault="000F5B60" w:rsidP="000F5B60">
            <w:pPr>
              <w:spacing w:after="0" w:line="240" w:lineRule="auto"/>
              <w:ind w:left="57" w:right="57"/>
              <w:rPr>
                <w:rFonts w:ascii="Times New Roman" w:eastAsia="Times New Roman" w:hAnsi="Times New Roman" w:cs="Times New Roman"/>
              </w:rPr>
            </w:pPr>
            <w:r w:rsidRPr="000F5B60">
              <w:rPr>
                <w:rFonts w:ascii="Times New Roman" w:eastAsia="Times New Roman" w:hAnsi="Times New Roman" w:cs="Times New Roman"/>
              </w:rPr>
              <w:t xml:space="preserve">Отже, НПД орієнтується на невисокі рівні споживання електроенергії, а щодо ВДЕ пропонує компромісні показники. Однак кліматично нейтральний сценарій НЕК передбачав, що частина надлишкової генерації ВДЕ використовується для отримання «зеленого» водню. Проект НПД містить дещо меншу потужність ВДЕ (ВЕС та СЕС), а стосовно використання відновлюваної генерації для отримання водню </w:t>
            </w:r>
            <w:r w:rsidRPr="000F5B60">
              <w:rPr>
                <w:rFonts w:ascii="Times New Roman" w:eastAsia="Times New Roman" w:hAnsi="Times New Roman" w:cs="Times New Roman"/>
              </w:rPr>
              <w:lastRenderedPageBreak/>
              <w:t>вказівок нема. Разом з тим в пропозиціях Інституту відновлюваної енергетики зазначалась можливість додаткових потужностей ВДЕ для водневої промисловості. Оскільки проект НПД водневу тематику не охоплює з огляду на окрему Водневу стратегію, то варто було б хоч передбачити можливість додаткових обсягів ВДЕ для «зеленого» водню, понад зазначені в НПДЕ на потреби електроенергетики, теплоенергетики та транспорту (використання водню в цих галузях не зазначено).</w:t>
            </w:r>
          </w:p>
          <w:p w14:paraId="154A7D45" w14:textId="16BA2792" w:rsidR="005E2770" w:rsidRPr="003864E7" w:rsidRDefault="000F5B60" w:rsidP="000F5B60">
            <w:pPr>
              <w:spacing w:after="0" w:line="240" w:lineRule="auto"/>
              <w:ind w:left="57" w:right="57"/>
              <w:rPr>
                <w:rFonts w:ascii="Times New Roman" w:eastAsia="Times New Roman" w:hAnsi="Times New Roman" w:cs="Times New Roman"/>
              </w:rPr>
            </w:pPr>
            <w:r w:rsidRPr="000F5B60">
              <w:rPr>
                <w:rFonts w:ascii="Times New Roman" w:eastAsia="Times New Roman" w:hAnsi="Times New Roman" w:cs="Times New Roman"/>
              </w:rPr>
              <w:t>За розрахунками ІВЕ НАНУ (пропозиції від 18.10.2021), лише у відповідності до «Ініціативи «зеленого» водню потужністю 2x40 ГВт…» задіяні потужності ВДЕ станом на 2030 рік можуть досягти 28 ГВт (для забезпечення 10 ГВт електролізу), тобто удвічі перевищити їх частку за проектом НПД. При цьому п’ята частина виробітку цих додаткових ВЕС та СЕС може бути спрямована на внутрішнє споживання, решта – на експорт.</w:t>
            </w:r>
          </w:p>
        </w:tc>
        <w:tc>
          <w:tcPr>
            <w:tcW w:w="3969" w:type="dxa"/>
            <w:tcBorders>
              <w:top w:val="single" w:sz="6" w:space="0" w:color="000000"/>
              <w:left w:val="single" w:sz="6" w:space="0" w:color="000000"/>
              <w:bottom w:val="single" w:sz="6" w:space="0" w:color="000000"/>
              <w:right w:val="single" w:sz="6" w:space="0" w:color="000000"/>
            </w:tcBorders>
          </w:tcPr>
          <w:p w14:paraId="65B48539" w14:textId="731F0FF8" w:rsidR="005E2770" w:rsidRPr="003864E7" w:rsidRDefault="000F5B60">
            <w:pPr>
              <w:spacing w:after="80"/>
              <w:jc w:val="center"/>
              <w:rPr>
                <w:rFonts w:ascii="Times New Roman" w:eastAsia="Times New Roman" w:hAnsi="Times New Roman" w:cs="Times New Roman"/>
              </w:rPr>
            </w:pPr>
            <w:r>
              <w:rPr>
                <w:rFonts w:ascii="Times New Roman" w:eastAsia="Times New Roman" w:hAnsi="Times New Roman" w:cs="Times New Roman"/>
              </w:rPr>
              <w:lastRenderedPageBreak/>
              <w:t>Пропозиції до проекту НПДВЕ  в цілому</w:t>
            </w:r>
          </w:p>
        </w:tc>
        <w:tc>
          <w:tcPr>
            <w:tcW w:w="5812" w:type="dxa"/>
            <w:tcBorders>
              <w:top w:val="single" w:sz="6" w:space="0" w:color="000000"/>
              <w:left w:val="single" w:sz="6" w:space="0" w:color="000000"/>
              <w:bottom w:val="single" w:sz="6" w:space="0" w:color="000000"/>
              <w:right w:val="single" w:sz="6" w:space="0" w:color="000000"/>
            </w:tcBorders>
          </w:tcPr>
          <w:p w14:paraId="13045EE7" w14:textId="77777777" w:rsidR="005E2770" w:rsidRDefault="000F5B60" w:rsidP="000F5B60">
            <w:pP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Не враховано</w:t>
            </w:r>
          </w:p>
          <w:p w14:paraId="56C1E70E" w14:textId="77777777" w:rsidR="000F5B60" w:rsidRDefault="000F5B60" w:rsidP="000F5B60">
            <w:pP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В проекті НПДВЕ вже є підрозділ «</w:t>
            </w:r>
            <w:r w:rsidRPr="000F5B60">
              <w:rPr>
                <w:rFonts w:ascii="Times New Roman" w:eastAsia="Times New Roman" w:hAnsi="Times New Roman" w:cs="Times New Roman"/>
              </w:rPr>
              <w:t>Відновлюваний водень</w:t>
            </w:r>
            <w:r>
              <w:rPr>
                <w:rFonts w:ascii="Times New Roman" w:eastAsia="Times New Roman" w:hAnsi="Times New Roman" w:cs="Times New Roman"/>
              </w:rPr>
              <w:t>» в розділі «</w:t>
            </w:r>
            <w:r w:rsidRPr="000F5B60">
              <w:rPr>
                <w:rFonts w:ascii="Times New Roman" w:eastAsia="Times New Roman" w:hAnsi="Times New Roman" w:cs="Times New Roman"/>
              </w:rPr>
              <w:t>Використання відновлюваних газів</w:t>
            </w:r>
            <w:r>
              <w:rPr>
                <w:rFonts w:ascii="Times New Roman" w:eastAsia="Times New Roman" w:hAnsi="Times New Roman" w:cs="Times New Roman"/>
              </w:rPr>
              <w:t>».</w:t>
            </w:r>
          </w:p>
          <w:p w14:paraId="5967CEA5" w14:textId="6F149428" w:rsidR="000F5B60" w:rsidRPr="003864E7" w:rsidRDefault="000F5B60" w:rsidP="000F5B60">
            <w:pP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Також, з</w:t>
            </w:r>
            <w:r w:rsidRPr="000F5B60">
              <w:rPr>
                <w:rFonts w:ascii="Times New Roman" w:eastAsia="Times New Roman" w:hAnsi="Times New Roman" w:cs="Times New Roman"/>
              </w:rPr>
              <w:t xml:space="preserve"> метою розвитку водневої енергетики передбачається розробка Міненерго проекту Водневої стратегії, яким буде визначено цілі, показники, плани розвитку водневої енергетики до 2030 року, а також окреслено орієнтири до 2050 року, а також необхідні заходи для реалізації.</w:t>
            </w:r>
          </w:p>
        </w:tc>
      </w:tr>
      <w:tr w:rsidR="005E2770" w:rsidRPr="003864E7" w14:paraId="1CAEC7BF"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7F0F079A" w14:textId="2952BBA4" w:rsidR="000F5B60" w:rsidRPr="000F5B60" w:rsidRDefault="000F5B60" w:rsidP="000F5B60">
            <w:pPr>
              <w:spacing w:after="0" w:line="240" w:lineRule="auto"/>
              <w:ind w:left="57" w:right="57"/>
              <w:rPr>
                <w:rFonts w:ascii="Times New Roman" w:eastAsia="Times New Roman" w:hAnsi="Times New Roman" w:cs="Times New Roman"/>
              </w:rPr>
            </w:pPr>
            <w:r w:rsidRPr="000F5B60">
              <w:rPr>
                <w:rFonts w:ascii="Times New Roman" w:eastAsia="Times New Roman" w:hAnsi="Times New Roman" w:cs="Times New Roman"/>
              </w:rPr>
              <w:t>Можливо добавити тут або далі до «зеленого водню» щось із наступного:</w:t>
            </w:r>
          </w:p>
          <w:p w14:paraId="24C178AF" w14:textId="77777777" w:rsidR="00FB0B64" w:rsidRDefault="000F5B60" w:rsidP="00FB0B64">
            <w:pPr>
              <w:spacing w:after="0" w:line="240" w:lineRule="auto"/>
              <w:ind w:left="57" w:right="57"/>
            </w:pPr>
            <w:r w:rsidRPr="000F5B60">
              <w:rPr>
                <w:rFonts w:ascii="Times New Roman" w:eastAsia="Times New Roman" w:hAnsi="Times New Roman" w:cs="Times New Roman"/>
              </w:rPr>
              <w:t xml:space="preserve">У світовій транспортній галузі особлива увага приділяється використанню водню і паливних елементів на автомобільному транспорті. Перед розвиненими країнами, зокрема перед багатьма країнами Європи, отже і перед Україною, постало невідкладне завдання створення відповідної водневої інфраструктури з достатньою кількістю водневих заправних станцій. Вже зараз у деяких країнах створюються автономні заправні станції, які для отримання водню використовують енергію вітру та/або сонця, зберігають його, наприклад, у стисненому стані і подають для заправки транспортних засобів на па-ливних елементах. Водневий транспорт може подолати недоліки інших електромобілів з низьким діапазоном пробігу і необхідністю частої зарядки. Для цього потрібно в </w:t>
            </w:r>
            <w:r w:rsidRPr="000F5B60">
              <w:rPr>
                <w:rFonts w:ascii="Times New Roman" w:eastAsia="Times New Roman" w:hAnsi="Times New Roman" w:cs="Times New Roman"/>
              </w:rPr>
              <w:lastRenderedPageBreak/>
              <w:t>повній мірі використовувати дешеву електроенергію для перетворення води у водень.</w:t>
            </w:r>
            <w:r w:rsidR="00FB0B64">
              <w:t xml:space="preserve"> </w:t>
            </w:r>
          </w:p>
          <w:p w14:paraId="4DC6BE4F" w14:textId="14D42316" w:rsidR="00FB0B64" w:rsidRPr="00FB0B64" w:rsidRDefault="00FB0B64" w:rsidP="00FB0B64">
            <w:pPr>
              <w:spacing w:after="0" w:line="240" w:lineRule="auto"/>
              <w:ind w:left="57" w:right="57"/>
              <w:rPr>
                <w:rFonts w:ascii="Times New Roman" w:eastAsia="Times New Roman" w:hAnsi="Times New Roman" w:cs="Times New Roman"/>
              </w:rPr>
            </w:pPr>
            <w:r w:rsidRPr="00FB0B64">
              <w:rPr>
                <w:rFonts w:ascii="Times New Roman" w:eastAsia="Times New Roman" w:hAnsi="Times New Roman" w:cs="Times New Roman"/>
              </w:rPr>
              <w:t>Завдяки ентузіазму вітчизняних представників бізнесу водневий гібридний автомобіль на паливних елементах японської марки Toyota Mirai, що заправляється воднем, вперше сертифікували в Україні. Максимальний ККД перетворення в електричний струм у водневих машин становить 45% (середній показник для авто на бензині або дизелі – 35-38%). Заправка до повного бака в Німеччині обходиться в 45 євро (9 євро за 1 кг водню). Процес заправки максимально схожий на традиційні авто і триває всього три хвилини. Заправка 2-х вітчизняних автомобілів здійснюватиметься у Польщі, однак проводяться роботи щодо створення першої заправки в Україні. У планах на найближчі роки є розбудова інфраструктури для водневого транспорту.</w:t>
            </w:r>
          </w:p>
          <w:p w14:paraId="7AAB6545" w14:textId="029B2481" w:rsidR="005E2770" w:rsidRPr="003864E7" w:rsidRDefault="00FB0B64" w:rsidP="00FB0B64">
            <w:pPr>
              <w:spacing w:after="0" w:line="240" w:lineRule="auto"/>
              <w:ind w:left="57" w:right="57"/>
              <w:rPr>
                <w:rFonts w:ascii="Times New Roman" w:eastAsia="Times New Roman" w:hAnsi="Times New Roman" w:cs="Times New Roman"/>
              </w:rPr>
            </w:pPr>
            <w:r w:rsidRPr="00FB0B64">
              <w:rPr>
                <w:rFonts w:ascii="Times New Roman" w:eastAsia="Times New Roman" w:hAnsi="Times New Roman" w:cs="Times New Roman"/>
              </w:rPr>
              <w:t>Водень взагалі можна вважати універсальним паливом для транспортних засобів, оскільки він має абсолютну екологічну чистоту, може замінити бензин, дизельне паливо і мазут в теплових двигунах (автомобільних, тракторних, комбайнових, локомотивних, суднових, допоміжних та ін.), придатний для всіх видів теплових двигунів: поршневих із запалюванням від іскри і стиснення, поршнетурбінних, у всіх типах турбоустановок, двигунах Стірлінга та ін.</w:t>
            </w:r>
          </w:p>
        </w:tc>
        <w:tc>
          <w:tcPr>
            <w:tcW w:w="3969" w:type="dxa"/>
            <w:tcBorders>
              <w:top w:val="single" w:sz="6" w:space="0" w:color="000000"/>
              <w:left w:val="single" w:sz="6" w:space="0" w:color="000000"/>
              <w:bottom w:val="single" w:sz="6" w:space="0" w:color="000000"/>
              <w:right w:val="single" w:sz="6" w:space="0" w:color="000000"/>
            </w:tcBorders>
          </w:tcPr>
          <w:p w14:paraId="1C58F6AA" w14:textId="42A65E02" w:rsidR="005E2770" w:rsidRPr="003864E7" w:rsidRDefault="00FB0B64">
            <w:pPr>
              <w:spacing w:after="80"/>
              <w:jc w:val="center"/>
              <w:rPr>
                <w:rFonts w:ascii="Times New Roman" w:eastAsia="Times New Roman" w:hAnsi="Times New Roman" w:cs="Times New Roman"/>
              </w:rPr>
            </w:pPr>
            <w:r w:rsidRPr="00FB0B64">
              <w:rPr>
                <w:rFonts w:ascii="Times New Roman" w:eastAsia="Times New Roman" w:hAnsi="Times New Roman" w:cs="Times New Roman"/>
              </w:rPr>
              <w:lastRenderedPageBreak/>
              <w:t>Пропозиції до проекту НПДВЕ  в цілому</w:t>
            </w:r>
          </w:p>
        </w:tc>
        <w:tc>
          <w:tcPr>
            <w:tcW w:w="5812" w:type="dxa"/>
            <w:tcBorders>
              <w:top w:val="single" w:sz="6" w:space="0" w:color="000000"/>
              <w:left w:val="single" w:sz="6" w:space="0" w:color="000000"/>
              <w:bottom w:val="single" w:sz="6" w:space="0" w:color="000000"/>
              <w:right w:val="single" w:sz="6" w:space="0" w:color="000000"/>
            </w:tcBorders>
          </w:tcPr>
          <w:p w14:paraId="3D58378A" w14:textId="77777777" w:rsidR="00FB0B64" w:rsidRDefault="00FB0B64" w:rsidP="00FB0B64">
            <w:pP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Не враховано</w:t>
            </w:r>
          </w:p>
          <w:p w14:paraId="7C578823" w14:textId="77777777" w:rsidR="00FB0B64" w:rsidRDefault="00FB0B64" w:rsidP="00FB0B64">
            <w:pP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В проекті НПДВЕ вже є підрозділ «</w:t>
            </w:r>
            <w:r w:rsidRPr="000F5B60">
              <w:rPr>
                <w:rFonts w:ascii="Times New Roman" w:eastAsia="Times New Roman" w:hAnsi="Times New Roman" w:cs="Times New Roman"/>
              </w:rPr>
              <w:t>Відновлюваний водень</w:t>
            </w:r>
            <w:r>
              <w:rPr>
                <w:rFonts w:ascii="Times New Roman" w:eastAsia="Times New Roman" w:hAnsi="Times New Roman" w:cs="Times New Roman"/>
              </w:rPr>
              <w:t>» в розділі «</w:t>
            </w:r>
            <w:r w:rsidRPr="000F5B60">
              <w:rPr>
                <w:rFonts w:ascii="Times New Roman" w:eastAsia="Times New Roman" w:hAnsi="Times New Roman" w:cs="Times New Roman"/>
              </w:rPr>
              <w:t>Використання відновлюваних газів</w:t>
            </w:r>
            <w:r>
              <w:rPr>
                <w:rFonts w:ascii="Times New Roman" w:eastAsia="Times New Roman" w:hAnsi="Times New Roman" w:cs="Times New Roman"/>
              </w:rPr>
              <w:t>».</w:t>
            </w:r>
          </w:p>
          <w:p w14:paraId="1BFB8F22" w14:textId="450EB335" w:rsidR="005E2770" w:rsidRPr="003864E7" w:rsidRDefault="00FB0B64" w:rsidP="00FB0B64">
            <w:pPr>
              <w:spacing w:after="0" w:line="240" w:lineRule="auto"/>
              <w:ind w:left="57" w:right="57"/>
              <w:jc w:val="both"/>
              <w:rPr>
                <w:rFonts w:ascii="Times New Roman" w:eastAsia="Times New Roman" w:hAnsi="Times New Roman" w:cs="Times New Roman"/>
              </w:rPr>
            </w:pPr>
            <w:r>
              <w:rPr>
                <w:rFonts w:ascii="Times New Roman" w:eastAsia="Times New Roman" w:hAnsi="Times New Roman" w:cs="Times New Roman"/>
              </w:rPr>
              <w:t>Також, з</w:t>
            </w:r>
            <w:r w:rsidRPr="000F5B60">
              <w:rPr>
                <w:rFonts w:ascii="Times New Roman" w:eastAsia="Times New Roman" w:hAnsi="Times New Roman" w:cs="Times New Roman"/>
              </w:rPr>
              <w:t xml:space="preserve"> метою розвитку водневої енергетики передбачається розробка Міненерго проекту Водневої стратегії, яким буде визначено цілі, показники, плани розвитку водневої енергетики до 2030 року, а також окреслено орієнтири до 2050 року, а також необхідні заходи для реалізації.</w:t>
            </w:r>
          </w:p>
        </w:tc>
      </w:tr>
      <w:tr w:rsidR="009A7100" w:rsidRPr="003864E7" w14:paraId="130982B1" w14:textId="77777777" w:rsidTr="001700C2">
        <w:tc>
          <w:tcPr>
            <w:tcW w:w="15294" w:type="dxa"/>
            <w:gridSpan w:val="3"/>
            <w:tcBorders>
              <w:top w:val="single" w:sz="6" w:space="0" w:color="000000"/>
              <w:left w:val="single" w:sz="6" w:space="0" w:color="000000"/>
              <w:bottom w:val="single" w:sz="6" w:space="0" w:color="000000"/>
              <w:right w:val="single" w:sz="6" w:space="0" w:color="000000"/>
            </w:tcBorders>
          </w:tcPr>
          <w:p w14:paraId="2BE1DDDF" w14:textId="50492AF4" w:rsidR="009A7100" w:rsidRPr="009A7100" w:rsidRDefault="009A7100" w:rsidP="009A7100">
            <w:pPr>
              <w:spacing w:after="0" w:line="240" w:lineRule="auto"/>
              <w:ind w:left="57" w:right="57" w:firstLine="558"/>
              <w:jc w:val="center"/>
              <w:rPr>
                <w:rFonts w:ascii="Times New Roman" w:eastAsia="Times New Roman" w:hAnsi="Times New Roman" w:cs="Times New Roman"/>
                <w:b/>
                <w:bCs/>
              </w:rPr>
            </w:pPr>
            <w:r w:rsidRPr="009A7100">
              <w:rPr>
                <w:rFonts w:ascii="Times New Roman" w:eastAsia="Times New Roman" w:hAnsi="Times New Roman" w:cs="Times New Roman"/>
                <w:b/>
                <w:bCs/>
              </w:rPr>
              <w:t>ГО «Екоклуб»</w:t>
            </w:r>
          </w:p>
        </w:tc>
      </w:tr>
      <w:tr w:rsidR="005E2770" w:rsidRPr="003864E7" w14:paraId="035F70C0"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3FD679B2" w14:textId="40431399" w:rsidR="005E2770" w:rsidRPr="003864E7" w:rsidRDefault="009A7100" w:rsidP="009A7100">
            <w:pPr>
              <w:spacing w:after="0" w:line="240" w:lineRule="auto"/>
              <w:ind w:left="57" w:right="57"/>
              <w:jc w:val="both"/>
              <w:rPr>
                <w:rFonts w:ascii="Times New Roman" w:eastAsia="Times New Roman" w:hAnsi="Times New Roman" w:cs="Times New Roman"/>
              </w:rPr>
            </w:pPr>
            <w:r w:rsidRPr="009A7100">
              <w:rPr>
                <w:rFonts w:ascii="Times New Roman" w:eastAsia="Times New Roman" w:hAnsi="Times New Roman" w:cs="Times New Roman"/>
              </w:rPr>
              <w:t xml:space="preserve">30 листопада 2021 року, Секретаріатом Енергетичного Співтовариства, Рішенням 2021/14/MC-EnC було прийнято та адаптовано Регламент 2018/1999 про врядування. Регламент встановлює загальні правила планування, звітності та моніторингу щодо енергетичної та кліматичної політики та цілей. Вважаємо необхідним привести національну ціль з відновлюваної енергетики до рекомендацій 4-го Енергетичного пакету та досягнути частки у розмірі 30% ВДЕ в кінцевому енергоспоживанні до 2030 року, </w:t>
            </w:r>
            <w:r w:rsidRPr="009A7100">
              <w:rPr>
                <w:rFonts w:ascii="Times New Roman" w:eastAsia="Times New Roman" w:hAnsi="Times New Roman" w:cs="Times New Roman"/>
              </w:rPr>
              <w:lastRenderedPageBreak/>
              <w:t>при цьому частка ВДЕ у сфері електроенергетики не може бути меншою ніж 30%</w:t>
            </w:r>
          </w:p>
        </w:tc>
        <w:tc>
          <w:tcPr>
            <w:tcW w:w="3969" w:type="dxa"/>
            <w:tcBorders>
              <w:top w:val="single" w:sz="6" w:space="0" w:color="000000"/>
              <w:left w:val="single" w:sz="6" w:space="0" w:color="000000"/>
              <w:bottom w:val="single" w:sz="6" w:space="0" w:color="000000"/>
              <w:right w:val="single" w:sz="6" w:space="0" w:color="000000"/>
            </w:tcBorders>
          </w:tcPr>
          <w:p w14:paraId="22076EC4" w14:textId="62A97E67" w:rsidR="005E2770" w:rsidRPr="003864E7" w:rsidRDefault="009A7100">
            <w:pPr>
              <w:spacing w:after="80"/>
              <w:jc w:val="center"/>
              <w:rPr>
                <w:rFonts w:ascii="Times New Roman" w:eastAsia="Times New Roman" w:hAnsi="Times New Roman" w:cs="Times New Roman"/>
              </w:rPr>
            </w:pPr>
            <w:r>
              <w:rPr>
                <w:rFonts w:ascii="Times New Roman" w:eastAsia="Times New Roman" w:hAnsi="Times New Roman" w:cs="Times New Roman"/>
              </w:rPr>
              <w:lastRenderedPageBreak/>
              <w:t xml:space="preserve">Пропозиції до </w:t>
            </w:r>
            <w:r>
              <w:rPr>
                <w:rFonts w:ascii="Times New Roman" w:eastAsia="Times New Roman" w:hAnsi="Times New Roman" w:cs="Times New Roman"/>
              </w:rPr>
              <w:t xml:space="preserve">цілей </w:t>
            </w:r>
            <w:r>
              <w:rPr>
                <w:rFonts w:ascii="Times New Roman" w:eastAsia="Times New Roman" w:hAnsi="Times New Roman" w:cs="Times New Roman"/>
              </w:rPr>
              <w:t>проекту НПДВЕ</w:t>
            </w:r>
          </w:p>
        </w:tc>
        <w:tc>
          <w:tcPr>
            <w:tcW w:w="5812" w:type="dxa"/>
            <w:tcBorders>
              <w:top w:val="single" w:sz="6" w:space="0" w:color="000000"/>
              <w:left w:val="single" w:sz="6" w:space="0" w:color="000000"/>
              <w:bottom w:val="single" w:sz="6" w:space="0" w:color="000000"/>
              <w:right w:val="single" w:sz="6" w:space="0" w:color="000000"/>
            </w:tcBorders>
          </w:tcPr>
          <w:p w14:paraId="3D278386" w14:textId="7F61EC8C" w:rsidR="009A7100" w:rsidRDefault="009A7100" w:rsidP="009A7100">
            <w:pPr>
              <w:spacing w:after="0" w:line="240" w:lineRule="auto"/>
              <w:ind w:left="57" w:right="57" w:hanging="22"/>
              <w:jc w:val="both"/>
              <w:rPr>
                <w:rFonts w:ascii="Times New Roman" w:eastAsia="Times New Roman" w:hAnsi="Times New Roman" w:cs="Times New Roman"/>
              </w:rPr>
            </w:pPr>
            <w:r>
              <w:rPr>
                <w:rFonts w:ascii="Times New Roman" w:eastAsia="Times New Roman" w:hAnsi="Times New Roman" w:cs="Times New Roman"/>
              </w:rPr>
              <w:t>Не враховано</w:t>
            </w:r>
          </w:p>
          <w:p w14:paraId="12312B86" w14:textId="74C20DC1" w:rsidR="005E2770" w:rsidRPr="003864E7" w:rsidRDefault="009A7100" w:rsidP="009A7100">
            <w:pPr>
              <w:spacing w:after="0" w:line="240" w:lineRule="auto"/>
              <w:ind w:left="57" w:right="57"/>
              <w:jc w:val="both"/>
              <w:rPr>
                <w:rFonts w:ascii="Times New Roman" w:eastAsia="Times New Roman" w:hAnsi="Times New Roman" w:cs="Times New Roman"/>
              </w:rPr>
            </w:pPr>
            <w:r w:rsidRPr="009A7100">
              <w:rPr>
                <w:rFonts w:ascii="Times New Roman" w:eastAsia="Times New Roman" w:hAnsi="Times New Roman" w:cs="Times New Roman"/>
              </w:rPr>
              <w:t>Цілі Проекту НПДВЕ 2030 в розмірі 27% енергії з відновлюваних джерел енергії в</w:t>
            </w:r>
            <w:r>
              <w:rPr>
                <w:rFonts w:ascii="Times New Roman" w:eastAsia="Times New Roman" w:hAnsi="Times New Roman" w:cs="Times New Roman"/>
              </w:rPr>
              <w:t xml:space="preserve"> загальному</w:t>
            </w:r>
            <w:r w:rsidRPr="009A7100">
              <w:rPr>
                <w:rFonts w:ascii="Times New Roman" w:eastAsia="Times New Roman" w:hAnsi="Times New Roman" w:cs="Times New Roman"/>
              </w:rPr>
              <w:t xml:space="preserve"> кінцевому енергоспоживанні</w:t>
            </w:r>
            <w:r>
              <w:rPr>
                <w:rFonts w:ascii="Times New Roman" w:eastAsia="Times New Roman" w:hAnsi="Times New Roman" w:cs="Times New Roman"/>
              </w:rPr>
              <w:t xml:space="preserve">, та 25% енергії з відновлюваних джерел у споживанні електроенергії </w:t>
            </w:r>
            <w:r w:rsidRPr="009A7100">
              <w:rPr>
                <w:rFonts w:ascii="Times New Roman" w:eastAsia="Times New Roman" w:hAnsi="Times New Roman" w:cs="Times New Roman"/>
              </w:rPr>
              <w:t>погодженно з Міненерго, а також було узгоджено на засіданнях Робочих груп з розробки НПДВЕ 2030.</w:t>
            </w:r>
          </w:p>
        </w:tc>
      </w:tr>
      <w:tr w:rsidR="005E2770" w:rsidRPr="003864E7" w14:paraId="4D272D75"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7F752AA5" w14:textId="2BE79259" w:rsidR="005E2770" w:rsidRPr="003864E7" w:rsidRDefault="009A7100" w:rsidP="009A7100">
            <w:pPr>
              <w:spacing w:after="0" w:line="240" w:lineRule="auto"/>
              <w:ind w:left="57" w:right="57"/>
              <w:jc w:val="both"/>
              <w:rPr>
                <w:rFonts w:ascii="Times New Roman" w:eastAsia="Times New Roman" w:hAnsi="Times New Roman" w:cs="Times New Roman"/>
              </w:rPr>
            </w:pPr>
            <w:r w:rsidRPr="009A7100">
              <w:rPr>
                <w:rFonts w:ascii="Times New Roman" w:eastAsia="Times New Roman" w:hAnsi="Times New Roman" w:cs="Times New Roman"/>
              </w:rPr>
              <w:t>План дій є документом державного планування, тому, згідно Закону України «Про стратегічну екологічну оцінку» (СЕО) така оцінка має бути проведена щодо наслідків виконання цього документу. СЕО дає можливості оцінити довгострокові</w:t>
            </w:r>
            <w:r>
              <w:rPr>
                <w:rFonts w:ascii="Times New Roman" w:eastAsia="Times New Roman" w:hAnsi="Times New Roman" w:cs="Times New Roman"/>
              </w:rPr>
              <w:t xml:space="preserve"> </w:t>
            </w:r>
            <w:r w:rsidRPr="009A7100">
              <w:rPr>
                <w:rFonts w:ascii="Times New Roman" w:eastAsia="Times New Roman" w:hAnsi="Times New Roman" w:cs="Times New Roman"/>
              </w:rPr>
              <w:t>результати та тенденції, що будуть сформовані у результаті прийняття документу. Це важливо з огляду на очікуваний вплив на якість повітря від використання біомаси, використання земель, зростання попиту на певні ресурси тощо. Наразі громадськості не представлено звіту зі стратегічної екологічної оцінки чи іншої інформації щодо проведення СЕО НПД ВЕ.</w:t>
            </w:r>
          </w:p>
        </w:tc>
        <w:tc>
          <w:tcPr>
            <w:tcW w:w="3969" w:type="dxa"/>
            <w:tcBorders>
              <w:top w:val="single" w:sz="6" w:space="0" w:color="000000"/>
              <w:left w:val="single" w:sz="6" w:space="0" w:color="000000"/>
              <w:bottom w:val="single" w:sz="6" w:space="0" w:color="000000"/>
              <w:right w:val="single" w:sz="6" w:space="0" w:color="000000"/>
            </w:tcBorders>
          </w:tcPr>
          <w:p w14:paraId="4CF20549" w14:textId="18FAAE86" w:rsidR="005E2770" w:rsidRPr="003864E7" w:rsidRDefault="009A7100">
            <w:pPr>
              <w:spacing w:after="80"/>
              <w:jc w:val="center"/>
              <w:rPr>
                <w:rFonts w:ascii="Times New Roman" w:eastAsia="Times New Roman" w:hAnsi="Times New Roman" w:cs="Times New Roman"/>
              </w:rPr>
            </w:pPr>
            <w:r>
              <w:rPr>
                <w:rFonts w:ascii="Times New Roman" w:eastAsia="Times New Roman" w:hAnsi="Times New Roman" w:cs="Times New Roman"/>
              </w:rPr>
              <w:t>Пропозиції до проекту НПДВЕ в цілому</w:t>
            </w:r>
          </w:p>
        </w:tc>
        <w:tc>
          <w:tcPr>
            <w:tcW w:w="5812" w:type="dxa"/>
            <w:tcBorders>
              <w:top w:val="single" w:sz="6" w:space="0" w:color="000000"/>
              <w:left w:val="single" w:sz="6" w:space="0" w:color="000000"/>
              <w:bottom w:val="single" w:sz="6" w:space="0" w:color="000000"/>
              <w:right w:val="single" w:sz="6" w:space="0" w:color="000000"/>
            </w:tcBorders>
          </w:tcPr>
          <w:p w14:paraId="0BFE9437" w14:textId="77777777" w:rsidR="009A7100" w:rsidRPr="009A7100" w:rsidRDefault="009A7100" w:rsidP="009A7100">
            <w:pPr>
              <w:spacing w:after="0" w:line="240" w:lineRule="auto"/>
              <w:ind w:left="57" w:right="57" w:firstLine="558"/>
              <w:jc w:val="both"/>
              <w:rPr>
                <w:rFonts w:ascii="Times New Roman" w:eastAsia="Times New Roman" w:hAnsi="Times New Roman" w:cs="Times New Roman"/>
              </w:rPr>
            </w:pPr>
            <w:r w:rsidRPr="009A7100">
              <w:rPr>
                <w:rFonts w:ascii="Times New Roman" w:eastAsia="Times New Roman" w:hAnsi="Times New Roman" w:cs="Times New Roman"/>
              </w:rPr>
              <w:t>Держенергоефективності у співпраці з експертами Програми розвитку ООН проведено стратегічну екологічну оцінку проекту НПДВЕ 2030 та проекту Плану заходів з його реалізації.</w:t>
            </w:r>
          </w:p>
          <w:p w14:paraId="4088C0EC" w14:textId="77777777" w:rsidR="009A7100" w:rsidRPr="009A7100" w:rsidRDefault="009A7100" w:rsidP="009A7100">
            <w:pPr>
              <w:spacing w:after="0" w:line="240" w:lineRule="auto"/>
              <w:ind w:left="57" w:right="57" w:firstLine="558"/>
              <w:jc w:val="both"/>
              <w:rPr>
                <w:rFonts w:ascii="Times New Roman" w:eastAsia="Times New Roman" w:hAnsi="Times New Roman" w:cs="Times New Roman"/>
              </w:rPr>
            </w:pPr>
            <w:r w:rsidRPr="009A7100">
              <w:rPr>
                <w:rFonts w:ascii="Times New Roman" w:eastAsia="Times New Roman" w:hAnsi="Times New Roman" w:cs="Times New Roman"/>
              </w:rPr>
              <w:t>19.10.2022 в газетах “Голос України” № 213,  “Урядовий Кур'єр” № 224  та на вебсайті Держенергоефективності опубліковано повідомлення про оприлюднення  проєкту НПД ВЕ 2030 та проєкту Плану заходів з його реалізації та Звітів про їх стратегічну екологічну оцінку.</w:t>
            </w:r>
          </w:p>
          <w:p w14:paraId="595DE763" w14:textId="77777777" w:rsidR="009A7100" w:rsidRPr="009A7100" w:rsidRDefault="009A7100" w:rsidP="009A7100">
            <w:pPr>
              <w:spacing w:after="0" w:line="240" w:lineRule="auto"/>
              <w:ind w:left="57" w:right="57" w:firstLine="558"/>
              <w:jc w:val="both"/>
              <w:rPr>
                <w:rFonts w:ascii="Times New Roman" w:eastAsia="Times New Roman" w:hAnsi="Times New Roman" w:cs="Times New Roman"/>
              </w:rPr>
            </w:pPr>
            <w:r w:rsidRPr="009A7100">
              <w:rPr>
                <w:rFonts w:ascii="Times New Roman" w:eastAsia="Times New Roman" w:hAnsi="Times New Roman" w:cs="Times New Roman"/>
              </w:rPr>
              <w:t>Листами від 19.10.2022 за № 539-01/17/3-22 та  № 540-01/17/3-22 Держенергоефективності надіслано  до Міндовкілля та МОЗ проєкт Звіту про СЕО проєкту НПДВЕ 2030 та проєкт Звіту про СЕО Плану заходів з реалізації НПДВЕ 2030.</w:t>
            </w:r>
          </w:p>
          <w:p w14:paraId="0282B003" w14:textId="77777777" w:rsidR="009A7100" w:rsidRPr="009A7100" w:rsidRDefault="009A7100" w:rsidP="009A7100">
            <w:pPr>
              <w:spacing w:after="0" w:line="240" w:lineRule="auto"/>
              <w:ind w:left="57" w:right="57" w:firstLine="558"/>
              <w:jc w:val="both"/>
              <w:rPr>
                <w:rFonts w:ascii="Times New Roman" w:eastAsia="Times New Roman" w:hAnsi="Times New Roman" w:cs="Times New Roman"/>
              </w:rPr>
            </w:pPr>
            <w:r w:rsidRPr="009A7100">
              <w:rPr>
                <w:rFonts w:ascii="Times New Roman" w:eastAsia="Times New Roman" w:hAnsi="Times New Roman" w:cs="Times New Roman"/>
              </w:rPr>
              <w:t xml:space="preserve">20.10.2022 проєкт НПД ВЕ 2030 та План заходів  з його реалізації було оприлюднено на сайті Міндовкілля. </w:t>
            </w:r>
          </w:p>
          <w:p w14:paraId="6AA71DE8" w14:textId="77777777" w:rsidR="009A7100" w:rsidRPr="009A7100" w:rsidRDefault="009A7100" w:rsidP="009A7100">
            <w:pPr>
              <w:spacing w:after="0" w:line="240" w:lineRule="auto"/>
              <w:ind w:left="57" w:right="57" w:firstLine="558"/>
              <w:jc w:val="both"/>
              <w:rPr>
                <w:rFonts w:ascii="Times New Roman" w:eastAsia="Times New Roman" w:hAnsi="Times New Roman" w:cs="Times New Roman"/>
              </w:rPr>
            </w:pPr>
            <w:r w:rsidRPr="009A7100">
              <w:rPr>
                <w:rFonts w:ascii="Times New Roman" w:eastAsia="Times New Roman" w:hAnsi="Times New Roman" w:cs="Times New Roman"/>
              </w:rPr>
              <w:t>Проведено доопрацювання  проекту НПД ВЕ 2030, Плану заходів з його реалізації та відповідних Звітів про СЕО за  зауваженнями та пропозиціями до проектів НПДВЕ 2030 та Плану заходів з його реалізації, а також відповідних  Звітів про СЕО (від ГО «ЕкоТека» листи від 27.10.2022 за № 56/2022 та за № 57/2022, МОЗ листи від 07.11.2022 № 26-04/26132/2-22  та від 14.11.2022 № 26-04/26917/2-22; Міндовкілля листи від 18.11.2022 № 25/5-21/15841-22 та № 25/5-21/15838-22 .</w:t>
            </w:r>
          </w:p>
          <w:p w14:paraId="7BC19968" w14:textId="28333DAE" w:rsidR="005E2770" w:rsidRPr="003864E7" w:rsidRDefault="009A7100" w:rsidP="009A7100">
            <w:pPr>
              <w:spacing w:after="0" w:line="240" w:lineRule="auto"/>
              <w:ind w:left="57" w:right="57" w:firstLine="558"/>
              <w:jc w:val="both"/>
              <w:rPr>
                <w:rFonts w:ascii="Times New Roman" w:eastAsia="Times New Roman" w:hAnsi="Times New Roman" w:cs="Times New Roman"/>
              </w:rPr>
            </w:pPr>
            <w:r w:rsidRPr="009A7100">
              <w:rPr>
                <w:rFonts w:ascii="Times New Roman" w:eastAsia="Times New Roman" w:hAnsi="Times New Roman" w:cs="Times New Roman"/>
              </w:rPr>
              <w:t>Звіти СЕО проектів НПДВЕ 2030 та Плану заходів з його реалізації  опубілковано на вебсайті Держенергоефективності.</w:t>
            </w:r>
          </w:p>
        </w:tc>
      </w:tr>
      <w:tr w:rsidR="009A7100" w:rsidRPr="003864E7" w14:paraId="19E37E6F"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6CCC72A8" w14:textId="77777777" w:rsidR="009A7100" w:rsidRPr="009A7100" w:rsidRDefault="009A7100" w:rsidP="009A7100">
            <w:pPr>
              <w:spacing w:after="0" w:line="240" w:lineRule="auto"/>
              <w:ind w:left="57" w:right="57"/>
              <w:jc w:val="both"/>
              <w:rPr>
                <w:rFonts w:ascii="Times New Roman" w:eastAsia="Times New Roman" w:hAnsi="Times New Roman" w:cs="Times New Roman"/>
              </w:rPr>
            </w:pPr>
            <w:r w:rsidRPr="009A7100">
              <w:rPr>
                <w:rFonts w:ascii="Times New Roman" w:eastAsia="Times New Roman" w:hAnsi="Times New Roman" w:cs="Times New Roman"/>
              </w:rPr>
              <w:t xml:space="preserve">Як зазначено у проєкті «Національного плану дій з відновлюваної енергетики на період до 2030 року», мала генерація з відновлювальних джерел становить лише 2,5% від усіх встановлених потужностей ВДЕ в країні. При цьому четвертим енергопакетом ЄС, що буде найближчим часом імплементовано до законодавства України в рамках зобов'язань за </w:t>
            </w:r>
            <w:r w:rsidRPr="009A7100">
              <w:rPr>
                <w:rFonts w:ascii="Times New Roman" w:eastAsia="Times New Roman" w:hAnsi="Times New Roman" w:cs="Times New Roman"/>
              </w:rPr>
              <w:lastRenderedPageBreak/>
              <w:t>Асоціацією з ЄС, визначено саме розвиток розподіленої генерації однією з основних складових Європейського зеленого курсу.</w:t>
            </w:r>
          </w:p>
          <w:p w14:paraId="7A578E2A" w14:textId="77777777" w:rsidR="009A7100" w:rsidRPr="009A7100" w:rsidRDefault="009A7100" w:rsidP="009A7100">
            <w:pPr>
              <w:spacing w:after="0" w:line="240" w:lineRule="auto"/>
              <w:ind w:left="57" w:right="57"/>
              <w:jc w:val="both"/>
              <w:rPr>
                <w:rFonts w:ascii="Times New Roman" w:eastAsia="Times New Roman" w:hAnsi="Times New Roman" w:cs="Times New Roman"/>
              </w:rPr>
            </w:pPr>
            <w:r w:rsidRPr="009A7100">
              <w:rPr>
                <w:rFonts w:ascii="Times New Roman" w:eastAsia="Times New Roman" w:hAnsi="Times New Roman" w:cs="Times New Roman"/>
              </w:rPr>
              <w:t>Наразі єдиним інструментом підтримки ВДЕ-електростанцій потужністю до 1 МВт залишається «зелений» тариф, що діє до 2030 року. Але цього недостатньо для розвитку малих виробників чистої електроенергії, особливо в умовах постійної заборгованості Гарантованого покупця за вироблену електроенергію.</w:t>
            </w:r>
          </w:p>
          <w:p w14:paraId="6D267621" w14:textId="0BF5DA45" w:rsidR="009A7100" w:rsidRPr="003864E7" w:rsidRDefault="009A7100" w:rsidP="009A7100">
            <w:pPr>
              <w:spacing w:after="0" w:line="240" w:lineRule="auto"/>
              <w:ind w:left="57" w:right="57"/>
              <w:jc w:val="both"/>
              <w:rPr>
                <w:rFonts w:ascii="Times New Roman" w:eastAsia="Times New Roman" w:hAnsi="Times New Roman" w:cs="Times New Roman"/>
              </w:rPr>
            </w:pPr>
            <w:r w:rsidRPr="009A7100">
              <w:rPr>
                <w:rFonts w:ascii="Times New Roman" w:eastAsia="Times New Roman" w:hAnsi="Times New Roman" w:cs="Times New Roman"/>
              </w:rPr>
              <w:t>Підтримуємо розробку та впровадження гарантій походження “зеленої” електроенергії, через запровадження корпоративних РРА (прямі договори купівлі-продажу енергії) та механізму net energy billing (чисте споживання). Зазначені ініціативи широко розповсюджені в світовій практиці.</w:t>
            </w:r>
          </w:p>
        </w:tc>
        <w:tc>
          <w:tcPr>
            <w:tcW w:w="3969" w:type="dxa"/>
            <w:tcBorders>
              <w:top w:val="single" w:sz="6" w:space="0" w:color="000000"/>
              <w:left w:val="single" w:sz="6" w:space="0" w:color="000000"/>
              <w:bottom w:val="single" w:sz="6" w:space="0" w:color="000000"/>
              <w:right w:val="single" w:sz="6" w:space="0" w:color="000000"/>
            </w:tcBorders>
          </w:tcPr>
          <w:p w14:paraId="778EC27A" w14:textId="55BF831F" w:rsidR="009A7100" w:rsidRPr="003864E7" w:rsidRDefault="009A7100">
            <w:pPr>
              <w:spacing w:after="80"/>
              <w:jc w:val="center"/>
              <w:rPr>
                <w:rFonts w:ascii="Times New Roman" w:eastAsia="Times New Roman" w:hAnsi="Times New Roman" w:cs="Times New Roman"/>
              </w:rPr>
            </w:pPr>
            <w:r w:rsidRPr="009A7100">
              <w:rPr>
                <w:rFonts w:ascii="Times New Roman" w:eastAsia="Times New Roman" w:hAnsi="Times New Roman" w:cs="Times New Roman"/>
              </w:rPr>
              <w:lastRenderedPageBreak/>
              <w:t>Пропозиції до проекту НПДВЕ в цілому</w:t>
            </w:r>
          </w:p>
        </w:tc>
        <w:tc>
          <w:tcPr>
            <w:tcW w:w="5812" w:type="dxa"/>
            <w:tcBorders>
              <w:top w:val="single" w:sz="6" w:space="0" w:color="000000"/>
              <w:left w:val="single" w:sz="6" w:space="0" w:color="000000"/>
              <w:bottom w:val="single" w:sz="6" w:space="0" w:color="000000"/>
              <w:right w:val="single" w:sz="6" w:space="0" w:color="000000"/>
            </w:tcBorders>
          </w:tcPr>
          <w:p w14:paraId="3B06BFD9" w14:textId="77777777" w:rsidR="009A7100" w:rsidRDefault="002464F0" w:rsidP="002464F0">
            <w:pP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Враховано.</w:t>
            </w:r>
          </w:p>
          <w:p w14:paraId="0EF1584C" w14:textId="20E789C3" w:rsidR="002464F0" w:rsidRDefault="002464F0" w:rsidP="002464F0">
            <w:pPr>
              <w:spacing w:after="0" w:line="240" w:lineRule="auto"/>
              <w:ind w:left="57" w:right="57" w:firstLine="558"/>
              <w:jc w:val="both"/>
              <w:rPr>
                <w:rFonts w:ascii="Times New Roman" w:eastAsia="Times New Roman" w:hAnsi="Times New Roman" w:cs="Times New Roman"/>
              </w:rPr>
            </w:pPr>
            <w:r>
              <w:rPr>
                <w:rFonts w:ascii="Times New Roman" w:eastAsia="Times New Roman" w:hAnsi="Times New Roman" w:cs="Times New Roman"/>
              </w:rPr>
              <w:t>В проекті Плану заходів вже включено наступні заходи:</w:t>
            </w:r>
          </w:p>
          <w:p w14:paraId="744FDD84" w14:textId="78BC48F5" w:rsidR="002464F0" w:rsidRPr="002464F0" w:rsidRDefault="002464F0" w:rsidP="002464F0">
            <w:pPr>
              <w:spacing w:after="0" w:line="240" w:lineRule="auto"/>
              <w:ind w:left="57" w:right="57"/>
              <w:jc w:val="both"/>
              <w:rPr>
                <w:rFonts w:ascii="Times New Roman" w:eastAsia="Times New Roman" w:hAnsi="Times New Roman" w:cs="Times New Roman"/>
              </w:rPr>
            </w:pPr>
            <w:r>
              <w:rPr>
                <w:rFonts w:ascii="Times New Roman" w:eastAsia="Times New Roman" w:hAnsi="Times New Roman" w:cs="Times New Roman"/>
              </w:rPr>
              <w:t xml:space="preserve">- п.4. </w:t>
            </w:r>
            <w:r w:rsidRPr="002464F0">
              <w:rPr>
                <w:rFonts w:ascii="Times New Roman" w:eastAsia="Times New Roman" w:hAnsi="Times New Roman" w:cs="Times New Roman"/>
              </w:rPr>
              <w:t xml:space="preserve">Супроводження у Верховній Раді України проекту Закону України «Про внесення змін до деяких законів України щодо стимулювання виробництва електричної </w:t>
            </w:r>
            <w:r w:rsidRPr="002464F0">
              <w:rPr>
                <w:rFonts w:ascii="Times New Roman" w:eastAsia="Times New Roman" w:hAnsi="Times New Roman" w:cs="Times New Roman"/>
              </w:rPr>
              <w:lastRenderedPageBreak/>
              <w:t>енергії з альтернативних джерел енергії на ринкових засадах».</w:t>
            </w:r>
          </w:p>
          <w:p w14:paraId="3AC7B124" w14:textId="60483D13" w:rsidR="002464F0" w:rsidRPr="003864E7" w:rsidRDefault="002464F0" w:rsidP="002464F0">
            <w:pPr>
              <w:spacing w:after="0" w:line="240" w:lineRule="auto"/>
              <w:ind w:left="57" w:right="57"/>
              <w:jc w:val="both"/>
              <w:rPr>
                <w:rFonts w:ascii="Times New Roman" w:eastAsia="Times New Roman" w:hAnsi="Times New Roman" w:cs="Times New Roman"/>
              </w:rPr>
            </w:pPr>
            <w:r>
              <w:rPr>
                <w:rFonts w:ascii="Times New Roman" w:eastAsia="Times New Roman" w:hAnsi="Times New Roman" w:cs="Times New Roman"/>
              </w:rPr>
              <w:t xml:space="preserve">- п.5. </w:t>
            </w:r>
            <w:r w:rsidRPr="002464F0">
              <w:rPr>
                <w:rFonts w:ascii="Times New Roman" w:eastAsia="Times New Roman" w:hAnsi="Times New Roman" w:cs="Times New Roman"/>
              </w:rPr>
              <w:t>Розроблення та подання Кабінетові Міністрів України проекту Закону України щодо удосконалення умов підтримки виробництва електричної енергії з альтернативних джерел енергії генеруючими установками споживачів, у тому числі енергетичних кооперативів та приватних домогосподарств.</w:t>
            </w:r>
          </w:p>
        </w:tc>
      </w:tr>
      <w:tr w:rsidR="009A7100" w:rsidRPr="003864E7" w14:paraId="222DA823"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7CC639E6" w14:textId="77777777" w:rsidR="009A7100" w:rsidRPr="009A7100" w:rsidRDefault="009A7100" w:rsidP="009A7100">
            <w:pPr>
              <w:spacing w:after="0" w:line="240" w:lineRule="auto"/>
              <w:ind w:left="57" w:right="57"/>
              <w:rPr>
                <w:rFonts w:ascii="Times New Roman" w:eastAsia="Times New Roman" w:hAnsi="Times New Roman" w:cs="Times New Roman"/>
              </w:rPr>
            </w:pPr>
            <w:r w:rsidRPr="009A7100">
              <w:rPr>
                <w:rFonts w:ascii="Times New Roman" w:eastAsia="Times New Roman" w:hAnsi="Times New Roman" w:cs="Times New Roman"/>
              </w:rPr>
              <w:t>Важливо зазначити, що запропонований Національний план дій до 2030 року не передбачає будь якого амбітного зростання частки сонячної енергетики, що різко контрастує з політикою заохочення зростання частки “сонця” в енергосистемах ЄС, США, Китаї, країнах Близького Сходу, Латинської Америки. Без інтенсивного розвитку сонячної енергетики будь який енергетичний перехід стає неможливим.</w:t>
            </w:r>
          </w:p>
          <w:p w14:paraId="5BA81A2C" w14:textId="77777777" w:rsidR="009A7100" w:rsidRPr="009A7100" w:rsidRDefault="009A7100" w:rsidP="009A7100">
            <w:pPr>
              <w:spacing w:after="0" w:line="240" w:lineRule="auto"/>
              <w:ind w:left="57" w:right="57"/>
              <w:rPr>
                <w:rFonts w:ascii="Times New Roman" w:eastAsia="Times New Roman" w:hAnsi="Times New Roman" w:cs="Times New Roman"/>
              </w:rPr>
            </w:pPr>
            <w:r w:rsidRPr="009A7100">
              <w:rPr>
                <w:rFonts w:ascii="Times New Roman" w:eastAsia="Times New Roman" w:hAnsi="Times New Roman" w:cs="Times New Roman"/>
              </w:rPr>
              <w:t>Так, зокрема у країнах ЄС тільки у 2021 році було додано 25,9 ГВт нових сонячних потужностей, а лише одна Польща у 2021 році побудувала більше 3,7 ГВт нових потужностей СЕС. В Китаї у 2021 році було додано близько 53 ГВт СЕС і очікується зростання до 60 ГВт у 2022 році. Зазначена статистика підтверджує, що попри поширені міфи і пересуди, цілком технічно можливим на сьогодні стає інтеграція великих обсягів ВДЕ в енергомережу.</w:t>
            </w:r>
          </w:p>
          <w:p w14:paraId="5F5E93C5" w14:textId="5F5070D1" w:rsidR="00CA6795" w:rsidRPr="009A7100" w:rsidRDefault="009A7100" w:rsidP="00CA6795">
            <w:pPr>
              <w:spacing w:after="0" w:line="240" w:lineRule="auto"/>
              <w:ind w:left="57" w:right="57"/>
              <w:rPr>
                <w:rFonts w:ascii="Times New Roman" w:eastAsia="Times New Roman" w:hAnsi="Times New Roman" w:cs="Times New Roman"/>
              </w:rPr>
            </w:pPr>
            <w:r w:rsidRPr="009A7100">
              <w:rPr>
                <w:rFonts w:ascii="Times New Roman" w:eastAsia="Times New Roman" w:hAnsi="Times New Roman" w:cs="Times New Roman"/>
              </w:rPr>
              <w:t xml:space="preserve">Запропоновані цілі для розвитку ВДЕ України до 2030 року (+3 ГВт СЕС), в порівнянні із зазначеними країнами та регіонами виглядають занадто скромними і є скоріше бар’єром для відновлюваних джерел, а не </w:t>
            </w:r>
            <w:r w:rsidRPr="009A7100">
              <w:rPr>
                <w:rFonts w:ascii="Times New Roman" w:eastAsia="Times New Roman" w:hAnsi="Times New Roman" w:cs="Times New Roman"/>
              </w:rPr>
              <w:lastRenderedPageBreak/>
              <w:t xml:space="preserve">стимулом для їх розвитку. Фактична відмова від подальшого розвитку сонячної енергетики призведе до зупинки будівництва потужностей розподіленої генерації і поширення прос'юмерів. </w:t>
            </w:r>
          </w:p>
          <w:p w14:paraId="47761F52" w14:textId="5C0DA23B" w:rsidR="009A7100" w:rsidRPr="003864E7" w:rsidRDefault="009A7100" w:rsidP="009A7100">
            <w:pPr>
              <w:spacing w:after="0" w:line="240" w:lineRule="auto"/>
              <w:ind w:left="57" w:right="57"/>
              <w:rPr>
                <w:rFonts w:ascii="Times New Roman" w:eastAsia="Times New Roman" w:hAnsi="Times New Roman" w:cs="Times New Roman"/>
              </w:rPr>
            </w:pPr>
            <w:r w:rsidRPr="009A7100">
              <w:rPr>
                <w:rFonts w:ascii="Times New Roman" w:eastAsia="Times New Roman" w:hAnsi="Times New Roman" w:cs="Times New Roman"/>
              </w:rPr>
              <w:t>Намагання штучного зміщення акцентів в НПД на інші види генерації, крім “зеленої”, призведуть до погіршення і без того фатального стану української енергосистеми із застарілими генеруючими потужностями, збудованими здебільшого понад 40 років тому. Тож, вбачаємо економічно та технологічно обґрунтованою, в контексті відмови від використання вугілля в електроенергетиці до 2030-2035 років та розвитку виробництва зеленого водню, зменшення енергетичної залежності від імпорту газу, вугілля та інших природних ресурсів, визначити ціль по досягненню загальної встановленої потужності промислових та домашніх СЕСна рівні не менше 18 ГВт до 2030 року (замість передбачених НПД 10 ГВт), які будуть експлуатуватися на конкурентних умовах та постачати екологічно чисту, кліматично нейтральну, декарбонізовану, відновлювану електроенергію в мережу без ризиків забруднень повітря викидами і техногенних катастроф, на кшталт Чорнобильської аварії, яка призвела до різних захворювань і смертей не менш як 600 000 людей. Варто наголосити, що саме 18 ГВт СЕС передбачено до 2030 року за сценарієм енергетичного переходу, що запропонований у Звіті з оцінки достатності генеруючих потужностей підготовленим ОСП Укренерго.</w:t>
            </w:r>
          </w:p>
        </w:tc>
        <w:tc>
          <w:tcPr>
            <w:tcW w:w="3969" w:type="dxa"/>
            <w:tcBorders>
              <w:top w:val="single" w:sz="6" w:space="0" w:color="000000"/>
              <w:left w:val="single" w:sz="6" w:space="0" w:color="000000"/>
              <w:bottom w:val="single" w:sz="6" w:space="0" w:color="000000"/>
              <w:right w:val="single" w:sz="6" w:space="0" w:color="000000"/>
            </w:tcBorders>
          </w:tcPr>
          <w:p w14:paraId="199C7312" w14:textId="050CEDDB" w:rsidR="009A7100" w:rsidRPr="003864E7" w:rsidRDefault="00CA6795">
            <w:pPr>
              <w:spacing w:after="80"/>
              <w:jc w:val="center"/>
              <w:rPr>
                <w:rFonts w:ascii="Times New Roman" w:eastAsia="Times New Roman" w:hAnsi="Times New Roman" w:cs="Times New Roman"/>
              </w:rPr>
            </w:pPr>
            <w:r>
              <w:rPr>
                <w:rFonts w:ascii="Times New Roman" w:eastAsia="Times New Roman" w:hAnsi="Times New Roman" w:cs="Times New Roman"/>
              </w:rPr>
              <w:lastRenderedPageBreak/>
              <w:t>Щодо цілей розвитку сонячних електростанцій в проекті НПДВЕ</w:t>
            </w:r>
          </w:p>
        </w:tc>
        <w:tc>
          <w:tcPr>
            <w:tcW w:w="5812" w:type="dxa"/>
            <w:tcBorders>
              <w:top w:val="single" w:sz="6" w:space="0" w:color="000000"/>
              <w:left w:val="single" w:sz="6" w:space="0" w:color="000000"/>
              <w:bottom w:val="single" w:sz="6" w:space="0" w:color="000000"/>
              <w:right w:val="single" w:sz="6" w:space="0" w:color="000000"/>
            </w:tcBorders>
          </w:tcPr>
          <w:p w14:paraId="43F5F92E" w14:textId="1EB61E05" w:rsidR="002464F0" w:rsidRPr="002464F0" w:rsidRDefault="002464F0" w:rsidP="002464F0">
            <w:pPr>
              <w:spacing w:after="0" w:line="240" w:lineRule="auto"/>
              <w:ind w:left="57" w:right="57" w:firstLine="558"/>
              <w:jc w:val="both"/>
              <w:rPr>
                <w:rFonts w:ascii="Times New Roman" w:eastAsia="Times New Roman" w:hAnsi="Times New Roman" w:cs="Times New Roman"/>
              </w:rPr>
            </w:pPr>
            <w:r>
              <w:rPr>
                <w:rFonts w:ascii="Times New Roman" w:eastAsia="Times New Roman" w:hAnsi="Times New Roman" w:cs="Times New Roman"/>
              </w:rPr>
              <w:t>Не в</w:t>
            </w:r>
            <w:r w:rsidRPr="002464F0">
              <w:rPr>
                <w:rFonts w:ascii="Times New Roman" w:eastAsia="Times New Roman" w:hAnsi="Times New Roman" w:cs="Times New Roman"/>
              </w:rPr>
              <w:t>раховано.</w:t>
            </w:r>
          </w:p>
          <w:p w14:paraId="1621BE60" w14:textId="4BAA61D5" w:rsidR="002464F0" w:rsidRDefault="002464F0" w:rsidP="002464F0">
            <w:pPr>
              <w:spacing w:after="0" w:line="240" w:lineRule="auto"/>
              <w:ind w:left="57" w:right="57" w:firstLine="558"/>
              <w:jc w:val="both"/>
              <w:rPr>
                <w:rFonts w:ascii="Times New Roman" w:eastAsia="Times New Roman" w:hAnsi="Times New Roman" w:cs="Times New Roman"/>
              </w:rPr>
            </w:pPr>
            <w:r w:rsidRPr="002464F0">
              <w:rPr>
                <w:rFonts w:ascii="Times New Roman" w:eastAsia="Times New Roman" w:hAnsi="Times New Roman" w:cs="Times New Roman"/>
              </w:rPr>
              <w:t xml:space="preserve">Проект акту погоджено Міненерго відповідального за формування та затвердження прогнозного балансу електричної енергії об’єднаної енергетичної системи України. </w:t>
            </w:r>
          </w:p>
          <w:p w14:paraId="6278152C" w14:textId="47AF14F2" w:rsidR="002464F0" w:rsidRPr="002464F0" w:rsidRDefault="002464F0" w:rsidP="002464F0">
            <w:pPr>
              <w:spacing w:after="0" w:line="240" w:lineRule="auto"/>
              <w:ind w:left="57" w:right="57" w:firstLine="558"/>
              <w:jc w:val="both"/>
              <w:rPr>
                <w:rFonts w:ascii="Times New Roman" w:eastAsia="Times New Roman" w:hAnsi="Times New Roman" w:cs="Times New Roman"/>
              </w:rPr>
            </w:pPr>
            <w:r w:rsidRPr="002464F0">
              <w:rPr>
                <w:rFonts w:ascii="Times New Roman" w:eastAsia="Times New Roman" w:hAnsi="Times New Roman" w:cs="Times New Roman"/>
              </w:rPr>
              <w:t>Показники проекту НПДВЕ 2030 узгоджено з оператором системи передачі ПрАТ «НЕК «Укренерго» та відповідають цільовому сценарію Звіту з оцінки з оцінки відповідності (достатності) генеруючих потужностей для покриття прогнозованого попиту на електричну енергію та забезпечення необхідного резерву, затвердженим постановою НКРЕКП від 20.04.2022 № 394.</w:t>
            </w:r>
          </w:p>
          <w:p w14:paraId="21F72AB2" w14:textId="20347277" w:rsidR="009A7100" w:rsidRPr="003864E7" w:rsidRDefault="002464F0" w:rsidP="002464F0">
            <w:pPr>
              <w:spacing w:after="0" w:line="240" w:lineRule="auto"/>
              <w:ind w:left="57" w:right="57" w:firstLine="558"/>
              <w:jc w:val="both"/>
              <w:rPr>
                <w:rFonts w:ascii="Times New Roman" w:eastAsia="Times New Roman" w:hAnsi="Times New Roman" w:cs="Times New Roman"/>
              </w:rPr>
            </w:pPr>
            <w:r w:rsidRPr="002464F0">
              <w:rPr>
                <w:rFonts w:ascii="Times New Roman" w:eastAsia="Times New Roman" w:hAnsi="Times New Roman" w:cs="Times New Roman"/>
              </w:rPr>
              <w:t>При цьому в проекті акта передбачено перегляд показників розвитку відновлюваної енергетики після закінчення воєнних дій та інвентаризації стану енергетичної системи.</w:t>
            </w:r>
          </w:p>
        </w:tc>
      </w:tr>
      <w:tr w:rsidR="009A7100" w:rsidRPr="003864E7" w14:paraId="2C95779C"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261E85F8" w14:textId="77777777" w:rsidR="00CA6795" w:rsidRPr="00CA6795" w:rsidRDefault="00CA6795" w:rsidP="00CA6795">
            <w:pPr>
              <w:spacing w:after="0" w:line="240" w:lineRule="auto"/>
              <w:ind w:left="57" w:right="57"/>
              <w:rPr>
                <w:rFonts w:ascii="Times New Roman" w:eastAsia="Times New Roman" w:hAnsi="Times New Roman" w:cs="Times New Roman"/>
              </w:rPr>
            </w:pPr>
            <w:r w:rsidRPr="00CA6795">
              <w:rPr>
                <w:rFonts w:ascii="Times New Roman" w:eastAsia="Times New Roman" w:hAnsi="Times New Roman" w:cs="Times New Roman"/>
              </w:rPr>
              <w:t xml:space="preserve">Критерій сталості – це пріоритет у розвитку нових енергетичних технологій. Іншими словами, біоенергетика має поліпшувати стан довкілля, а не навпаки. Державна підтримка біоенергетики в першу чергу має стимулювати утилізацію агровідходів та побутових органічних відходів (для отримання біогазу). У жовтні минулого року Європейське екологічне бюро презентувало настанови </w:t>
            </w:r>
            <w:r w:rsidRPr="00CA6795">
              <w:rPr>
                <w:rFonts w:ascii="Times New Roman" w:eastAsia="Times New Roman" w:hAnsi="Times New Roman" w:cs="Times New Roman"/>
              </w:rPr>
              <w:lastRenderedPageBreak/>
              <w:t>(https://eeb.org/wp-content/uploads/2021/10/RESET_Guidance.pdf) екологічних стандартів до енергетичних технологій. За цими настановами очікується, що біоенергетика з посівами енергетичних культур має найбільшу величину навантаження на землекористування (вищий тільки у деяких дамб гідроелектростанцій). Вважаємо, що даний напрямок не може бути пріоритетним у розвитку біоенергетики. Вибір лісових відходів та відходів деревообробної промисловості значно знизить тиск на орні землі, викликаний вирощуванням біомаси.</w:t>
            </w:r>
          </w:p>
          <w:p w14:paraId="4C980667" w14:textId="7C064E56" w:rsidR="009A7100" w:rsidRPr="003864E7" w:rsidRDefault="00CA6795" w:rsidP="00CA6795">
            <w:pPr>
              <w:spacing w:after="0" w:line="240" w:lineRule="auto"/>
              <w:ind w:left="57" w:right="57"/>
              <w:rPr>
                <w:rFonts w:ascii="Times New Roman" w:eastAsia="Times New Roman" w:hAnsi="Times New Roman" w:cs="Times New Roman"/>
              </w:rPr>
            </w:pPr>
            <w:r w:rsidRPr="00CA6795">
              <w:rPr>
                <w:rFonts w:ascii="Times New Roman" w:eastAsia="Times New Roman" w:hAnsi="Times New Roman" w:cs="Times New Roman"/>
              </w:rPr>
              <w:t>Окрім того, за викидами оксидів сірки тверда біомаса входить до числа брудних технологій виробництва енергії, а також демонструє подекуди навіть вищі викиди твердих частинок РМ, ніж вугілля. Це наголошує на необхідності якісного моніторингу стану довкілля та забезпечення дотримання природоохоронного законодавства на етапах як проектування, так і експлуатації енергетичних установок.</w:t>
            </w:r>
          </w:p>
        </w:tc>
        <w:tc>
          <w:tcPr>
            <w:tcW w:w="3969" w:type="dxa"/>
            <w:tcBorders>
              <w:top w:val="single" w:sz="6" w:space="0" w:color="000000"/>
              <w:left w:val="single" w:sz="6" w:space="0" w:color="000000"/>
              <w:bottom w:val="single" w:sz="6" w:space="0" w:color="000000"/>
              <w:right w:val="single" w:sz="6" w:space="0" w:color="000000"/>
            </w:tcBorders>
          </w:tcPr>
          <w:p w14:paraId="7F3A8664" w14:textId="0A2C2835" w:rsidR="009A7100" w:rsidRPr="003864E7" w:rsidRDefault="00CA6795">
            <w:pPr>
              <w:spacing w:after="80"/>
              <w:jc w:val="center"/>
              <w:rPr>
                <w:rFonts w:ascii="Times New Roman" w:eastAsia="Times New Roman" w:hAnsi="Times New Roman" w:cs="Times New Roman"/>
              </w:rPr>
            </w:pPr>
            <w:r w:rsidRPr="00CA6795">
              <w:rPr>
                <w:rFonts w:ascii="Times New Roman" w:eastAsia="Times New Roman" w:hAnsi="Times New Roman" w:cs="Times New Roman"/>
              </w:rPr>
              <w:lastRenderedPageBreak/>
              <w:t>Підрозділ «Біоенергетика» розділу «Використання відновлюваних джерел енергії в електроенергетичному комплексі», розділ «Використання відновлюваних джерел енергії в системах опалення і охолодження»</w:t>
            </w:r>
          </w:p>
        </w:tc>
        <w:tc>
          <w:tcPr>
            <w:tcW w:w="5812" w:type="dxa"/>
            <w:tcBorders>
              <w:top w:val="single" w:sz="6" w:space="0" w:color="000000"/>
              <w:left w:val="single" w:sz="6" w:space="0" w:color="000000"/>
              <w:bottom w:val="single" w:sz="6" w:space="0" w:color="000000"/>
              <w:right w:val="single" w:sz="6" w:space="0" w:color="000000"/>
            </w:tcBorders>
          </w:tcPr>
          <w:p w14:paraId="1D9199EA" w14:textId="77777777" w:rsidR="00CA6795" w:rsidRPr="00CA6795" w:rsidRDefault="00CA6795" w:rsidP="00CA6795">
            <w:pPr>
              <w:spacing w:after="0" w:line="240" w:lineRule="auto"/>
              <w:ind w:right="57"/>
              <w:jc w:val="both"/>
              <w:rPr>
                <w:rFonts w:ascii="Times New Roman" w:eastAsia="Times New Roman" w:hAnsi="Times New Roman" w:cs="Times New Roman"/>
              </w:rPr>
            </w:pPr>
            <w:r w:rsidRPr="00CA6795">
              <w:rPr>
                <w:rFonts w:ascii="Times New Roman" w:eastAsia="Times New Roman" w:hAnsi="Times New Roman" w:cs="Times New Roman"/>
              </w:rPr>
              <w:t>Враховано.</w:t>
            </w:r>
          </w:p>
          <w:p w14:paraId="11FD7944" w14:textId="77777777" w:rsidR="009A7100" w:rsidRDefault="00CA6795" w:rsidP="00CA6795">
            <w:pPr>
              <w:spacing w:after="0" w:line="240" w:lineRule="auto"/>
              <w:ind w:right="57"/>
              <w:jc w:val="both"/>
              <w:rPr>
                <w:rFonts w:ascii="Times New Roman" w:eastAsia="Times New Roman" w:hAnsi="Times New Roman" w:cs="Times New Roman"/>
              </w:rPr>
            </w:pPr>
            <w:r w:rsidRPr="00CA6795">
              <w:rPr>
                <w:rFonts w:ascii="Times New Roman" w:eastAsia="Times New Roman" w:hAnsi="Times New Roman" w:cs="Times New Roman"/>
              </w:rPr>
              <w:t xml:space="preserve">Розділ «Використання відновлюваних джерел енергії в системах опалення і охолодження» доповнено абзацом такого змісту: «Вирощування енергетичних рослин не повинно витісняти традиційне вирощування сільськогосподарських культур та призводити до трансформації лісів, водно-болотних угідь, торфовищ тощо, зокрема в сільськогосподарські землі, що негативно </w:t>
            </w:r>
            <w:r w:rsidRPr="00CA6795">
              <w:rPr>
                <w:rFonts w:ascii="Times New Roman" w:eastAsia="Times New Roman" w:hAnsi="Times New Roman" w:cs="Times New Roman"/>
              </w:rPr>
              <w:lastRenderedPageBreak/>
              <w:t>впливає на довкілля та збільшує емісії парникових газів. Виробництво біопалива, біомаси та іншої відповідної сільськогосподарської сировини для виробництва енергії не повинно перешкоджати цілям охорони довкілля, збереженню природоохоронних територій та об’єктів, цінних екосистем, видів біоти та ін.»</w:t>
            </w:r>
          </w:p>
          <w:p w14:paraId="1C55B3B0" w14:textId="57B65A2D" w:rsidR="00BA766C" w:rsidRPr="00BA766C" w:rsidRDefault="00BA766C" w:rsidP="00BA766C">
            <w:pP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Також ц</w:t>
            </w:r>
            <w:r w:rsidRPr="00BA766C">
              <w:rPr>
                <w:rFonts w:ascii="Times New Roman" w:eastAsia="Times New Roman" w:hAnsi="Times New Roman" w:cs="Times New Roman"/>
              </w:rPr>
              <w:t>іль 4 «Нормативно-правове та організаційне забезпечення розвитку відновлюваної енергетики» Плану заходів доповнено такими пунктами:</w:t>
            </w:r>
          </w:p>
          <w:p w14:paraId="20792EBA" w14:textId="09AE5475" w:rsidR="00BA766C" w:rsidRPr="00BA766C" w:rsidRDefault="00BA766C" w:rsidP="00BA766C">
            <w:pPr>
              <w:spacing w:after="0" w:line="240" w:lineRule="auto"/>
              <w:ind w:right="57"/>
              <w:jc w:val="both"/>
              <w:rPr>
                <w:rFonts w:ascii="Times New Roman" w:eastAsia="Times New Roman" w:hAnsi="Times New Roman" w:cs="Times New Roman"/>
              </w:rPr>
            </w:pPr>
            <w:r w:rsidRPr="00BA766C">
              <w:rPr>
                <w:rFonts w:ascii="Times New Roman" w:eastAsia="Times New Roman" w:hAnsi="Times New Roman" w:cs="Times New Roman"/>
              </w:rPr>
              <w:t xml:space="preserve">«розроблення та затвердження «карти чутливості» біорізноманіття до функціонування об’єктів вітрової енергетики та інших об'єктів відновлюваної енергетики. </w:t>
            </w:r>
          </w:p>
          <w:p w14:paraId="03429687" w14:textId="6EC64C8B" w:rsidR="00BA766C" w:rsidRPr="003864E7" w:rsidRDefault="00BA766C" w:rsidP="00BA766C">
            <w:pPr>
              <w:spacing w:after="0" w:line="240" w:lineRule="auto"/>
              <w:ind w:right="57"/>
              <w:jc w:val="both"/>
              <w:rPr>
                <w:rFonts w:ascii="Times New Roman" w:eastAsia="Times New Roman" w:hAnsi="Times New Roman" w:cs="Times New Roman"/>
              </w:rPr>
            </w:pPr>
            <w:r w:rsidRPr="00BA766C">
              <w:rPr>
                <w:rFonts w:ascii="Times New Roman" w:eastAsia="Times New Roman" w:hAnsi="Times New Roman" w:cs="Times New Roman"/>
              </w:rPr>
              <w:t>«внесення змін до державних стандартів у сфері альтернативних джерел енергії з метою оцінювання впливу їхнього функціонування на навколишнє природне середовище в частині формування показників і форматів оцінки впливу на біорізноманіття (для оцінки базового стану, прогнозу імовірного впливу, організації післяпроєктного моніторингу)</w:t>
            </w:r>
            <w:r>
              <w:rPr>
                <w:rFonts w:ascii="Times New Roman" w:eastAsia="Times New Roman" w:hAnsi="Times New Roman" w:cs="Times New Roman"/>
              </w:rPr>
              <w:t>»</w:t>
            </w:r>
          </w:p>
        </w:tc>
      </w:tr>
      <w:tr w:rsidR="009A7100" w:rsidRPr="003864E7" w14:paraId="692DA46A"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138291F1" w14:textId="549C17C5" w:rsidR="00BA766C" w:rsidRPr="00BA766C" w:rsidRDefault="00BA766C" w:rsidP="00BA766C">
            <w:pPr>
              <w:spacing w:after="0" w:line="240" w:lineRule="auto"/>
              <w:ind w:left="57" w:right="57"/>
              <w:rPr>
                <w:rFonts w:ascii="Times New Roman" w:eastAsia="Times New Roman" w:hAnsi="Times New Roman" w:cs="Times New Roman"/>
              </w:rPr>
            </w:pPr>
            <w:r w:rsidRPr="00BA766C">
              <w:rPr>
                <w:rFonts w:ascii="Times New Roman" w:eastAsia="Times New Roman" w:hAnsi="Times New Roman" w:cs="Times New Roman"/>
              </w:rPr>
              <w:t>На відміну від енергії вітру, сонця або хвиль, відходи не надходять від нескінченних природних процесів. Навпаки, вони отримуються з вичерпних</w:t>
            </w:r>
          </w:p>
          <w:p w14:paraId="132583E0" w14:textId="77777777" w:rsidR="00BA766C" w:rsidRPr="00BA766C" w:rsidRDefault="00BA766C" w:rsidP="00BA766C">
            <w:pPr>
              <w:spacing w:after="0" w:line="240" w:lineRule="auto"/>
              <w:ind w:left="57" w:right="57"/>
              <w:rPr>
                <w:rFonts w:ascii="Times New Roman" w:eastAsia="Times New Roman" w:hAnsi="Times New Roman" w:cs="Times New Roman"/>
              </w:rPr>
            </w:pPr>
            <w:r w:rsidRPr="00BA766C">
              <w:rPr>
                <w:rFonts w:ascii="Times New Roman" w:eastAsia="Times New Roman" w:hAnsi="Times New Roman" w:cs="Times New Roman"/>
              </w:rPr>
              <w:t>ресурсів, таких як корисні копалини, викопне паливо та ліси, що вирубуються нестійкими темпами. Спалювання відходів (в т.ч. з використанням новітніх технологій) призводить до викиду високотоксичних речовин, таких як свинець, ртуть, діоксини, фурани, у довкілля - якщо не у повітря, то у воду та грунти від захоронення золи та залишків спалювання.</w:t>
            </w:r>
          </w:p>
          <w:p w14:paraId="0388E967" w14:textId="2140E5A2" w:rsidR="009A7100" w:rsidRPr="003864E7" w:rsidRDefault="00BA766C" w:rsidP="00BA766C">
            <w:pPr>
              <w:spacing w:after="0" w:line="240" w:lineRule="auto"/>
              <w:ind w:left="57" w:right="57"/>
              <w:rPr>
                <w:rFonts w:ascii="Times New Roman" w:eastAsia="Times New Roman" w:hAnsi="Times New Roman" w:cs="Times New Roman"/>
              </w:rPr>
            </w:pPr>
            <w:r w:rsidRPr="00BA766C">
              <w:rPr>
                <w:rFonts w:ascii="Times New Roman" w:eastAsia="Times New Roman" w:hAnsi="Times New Roman" w:cs="Times New Roman"/>
              </w:rPr>
              <w:t xml:space="preserve">Сміттєспалювальні заводи витрачають велику кількість матеріалів багаторазового використання, щоб виробляти лише невелику кількість енергії. Інвестиції можна з більшою ефективністю вкласти в екологічно безпечні та енергозберігаючі практики, зокрема запобігання утворенню, повторне використання, переробку та компостування </w:t>
            </w:r>
            <w:r w:rsidRPr="00BA766C">
              <w:rPr>
                <w:rFonts w:ascii="Times New Roman" w:eastAsia="Times New Roman" w:hAnsi="Times New Roman" w:cs="Times New Roman"/>
              </w:rPr>
              <w:lastRenderedPageBreak/>
              <w:t>(відповідно до Ієрархії управління відходами, впровадженої Директивою 2008/98/ЄС Європейського парламенту і Ради Європи від 19 листопада 2008 р.). Наприклад, Данія нещодавно виявила, що її сміттєспалювальні установки викидають удвічі більше CO₂, ніж передбачалося спочатку. Це призвело до того, що країна не виконала цілі Кіотського протоколу щодо скорочення викидів парникових газів.</w:t>
            </w:r>
          </w:p>
        </w:tc>
        <w:tc>
          <w:tcPr>
            <w:tcW w:w="3969" w:type="dxa"/>
            <w:tcBorders>
              <w:top w:val="single" w:sz="6" w:space="0" w:color="000000"/>
              <w:left w:val="single" w:sz="6" w:space="0" w:color="000000"/>
              <w:bottom w:val="single" w:sz="6" w:space="0" w:color="000000"/>
              <w:right w:val="single" w:sz="6" w:space="0" w:color="000000"/>
            </w:tcBorders>
          </w:tcPr>
          <w:p w14:paraId="366ED468" w14:textId="5D5C1968" w:rsidR="009A7100" w:rsidRPr="003864E7" w:rsidRDefault="00BA766C">
            <w:pPr>
              <w:spacing w:after="80"/>
              <w:jc w:val="center"/>
              <w:rPr>
                <w:rFonts w:ascii="Times New Roman" w:eastAsia="Times New Roman" w:hAnsi="Times New Roman" w:cs="Times New Roman"/>
              </w:rPr>
            </w:pPr>
            <w:r w:rsidRPr="00BA766C">
              <w:rPr>
                <w:rFonts w:ascii="Times New Roman" w:eastAsia="Times New Roman" w:hAnsi="Times New Roman" w:cs="Times New Roman"/>
              </w:rPr>
              <w:lastRenderedPageBreak/>
              <w:t>Підрозділ «Біоенергетика» розділу «Використання відновлюваних джерел енергії в електроенергетичному комплексі», розділ «Використання відновлюваних джерел енергії в системах опалення і охолодження»</w:t>
            </w:r>
          </w:p>
        </w:tc>
        <w:tc>
          <w:tcPr>
            <w:tcW w:w="5812" w:type="dxa"/>
            <w:tcBorders>
              <w:top w:val="single" w:sz="6" w:space="0" w:color="000000"/>
              <w:left w:val="single" w:sz="6" w:space="0" w:color="000000"/>
              <w:bottom w:val="single" w:sz="6" w:space="0" w:color="000000"/>
              <w:right w:val="single" w:sz="6" w:space="0" w:color="000000"/>
            </w:tcBorders>
          </w:tcPr>
          <w:p w14:paraId="09EE8211" w14:textId="77777777" w:rsidR="00BA766C" w:rsidRPr="00BA766C" w:rsidRDefault="00BA766C" w:rsidP="00BA766C">
            <w:pPr>
              <w:spacing w:after="0" w:line="240" w:lineRule="auto"/>
              <w:ind w:right="57"/>
              <w:jc w:val="both"/>
              <w:rPr>
                <w:rFonts w:ascii="Times New Roman" w:eastAsia="Times New Roman" w:hAnsi="Times New Roman" w:cs="Times New Roman"/>
              </w:rPr>
            </w:pPr>
            <w:r w:rsidRPr="00BA766C">
              <w:rPr>
                <w:rFonts w:ascii="Times New Roman" w:eastAsia="Times New Roman" w:hAnsi="Times New Roman" w:cs="Times New Roman"/>
              </w:rPr>
              <w:t>Не враховано.</w:t>
            </w:r>
          </w:p>
          <w:p w14:paraId="1E00820C" w14:textId="77777777" w:rsidR="00BA766C" w:rsidRPr="00BA766C" w:rsidRDefault="00BA766C" w:rsidP="00BA766C">
            <w:pPr>
              <w:spacing w:after="0" w:line="240" w:lineRule="auto"/>
              <w:ind w:left="57" w:right="57" w:firstLine="558"/>
              <w:jc w:val="both"/>
              <w:rPr>
                <w:rFonts w:ascii="Times New Roman" w:eastAsia="Times New Roman" w:hAnsi="Times New Roman" w:cs="Times New Roman"/>
              </w:rPr>
            </w:pPr>
            <w:r w:rsidRPr="00BA766C">
              <w:rPr>
                <w:rFonts w:ascii="Times New Roman" w:eastAsia="Times New Roman" w:hAnsi="Times New Roman" w:cs="Times New Roman"/>
              </w:rPr>
              <w:t>Проект НПДВЕ 2030 містить підрозділ «Біоенергетика» в якому зазначається,  що одним із шляхів розвитку біогазових технологій є виробництво біогазу з твердих побутових відходів, яких щорічно в Україні утворюється близько 10 млн тонн.</w:t>
            </w:r>
          </w:p>
          <w:p w14:paraId="1489BEDC" w14:textId="77777777" w:rsidR="00BA766C" w:rsidRPr="00BA766C" w:rsidRDefault="00BA766C" w:rsidP="00BA766C">
            <w:pPr>
              <w:spacing w:after="0" w:line="240" w:lineRule="auto"/>
              <w:ind w:left="57" w:right="57" w:firstLine="558"/>
              <w:jc w:val="both"/>
              <w:rPr>
                <w:rFonts w:ascii="Times New Roman" w:eastAsia="Times New Roman" w:hAnsi="Times New Roman" w:cs="Times New Roman"/>
              </w:rPr>
            </w:pPr>
            <w:r w:rsidRPr="00BA766C">
              <w:rPr>
                <w:rFonts w:ascii="Times New Roman" w:eastAsia="Times New Roman" w:hAnsi="Times New Roman" w:cs="Times New Roman"/>
              </w:rPr>
              <w:t>Також, в розділі «Використання відновлюваних газів» відмічено, що Україна має значний потенціал агровідходів для його виробництва.</w:t>
            </w:r>
          </w:p>
          <w:p w14:paraId="54D77844" w14:textId="036BAFC1" w:rsidR="009A7100" w:rsidRPr="003864E7" w:rsidRDefault="00BA766C" w:rsidP="00BA766C">
            <w:pPr>
              <w:spacing w:after="0" w:line="240" w:lineRule="auto"/>
              <w:ind w:left="57" w:right="57" w:firstLine="558"/>
              <w:jc w:val="both"/>
              <w:rPr>
                <w:rFonts w:ascii="Times New Roman" w:eastAsia="Times New Roman" w:hAnsi="Times New Roman" w:cs="Times New Roman"/>
              </w:rPr>
            </w:pPr>
            <w:r w:rsidRPr="00BA766C">
              <w:rPr>
                <w:rFonts w:ascii="Times New Roman" w:eastAsia="Times New Roman" w:hAnsi="Times New Roman" w:cs="Times New Roman"/>
              </w:rPr>
              <w:t xml:space="preserve">В Плані заходів визначені завдання щодо розвитку біоенергетики, зокрема, «Супроводження у Верховній Раді України проекту Закону України «Про внесення змін до Податкового кодексу України та інших законодавчих актів України щодо справляння єдиного внеску та обліку спирту етилового денатурованого та продукції хімічного і технічного призначення (№ 7233 від 30.03.2022 )», який </w:t>
            </w:r>
            <w:r w:rsidRPr="00BA766C">
              <w:rPr>
                <w:rFonts w:ascii="Times New Roman" w:eastAsia="Times New Roman" w:hAnsi="Times New Roman" w:cs="Times New Roman"/>
              </w:rPr>
              <w:lastRenderedPageBreak/>
              <w:t>включає вимоги Директив ЄС щодо впровадження критеріїв сталості.</w:t>
            </w:r>
          </w:p>
        </w:tc>
      </w:tr>
      <w:tr w:rsidR="00BA766C" w:rsidRPr="003864E7" w14:paraId="1F90F768"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72338FFF" w14:textId="77777777" w:rsidR="00BA766C" w:rsidRPr="00BA766C" w:rsidRDefault="00BA766C" w:rsidP="00BA766C">
            <w:pPr>
              <w:spacing w:after="0" w:line="240" w:lineRule="auto"/>
              <w:ind w:left="57" w:right="57"/>
              <w:rPr>
                <w:rFonts w:ascii="Times New Roman" w:eastAsia="Times New Roman" w:hAnsi="Times New Roman" w:cs="Times New Roman"/>
              </w:rPr>
            </w:pPr>
            <w:r w:rsidRPr="00BA766C">
              <w:rPr>
                <w:rFonts w:ascii="Times New Roman" w:eastAsia="Times New Roman" w:hAnsi="Times New Roman" w:cs="Times New Roman"/>
              </w:rPr>
              <w:t>Ми підтримуємо розвиток виключно "зеленої" водневої енергетики (тобто отримання водню, використовуючи лише електрику від ВДЕ), у довгостроковій перспективі після 2030 року, за умови, якщо енергія з відновлюваних джерел буде пріоритетно відпускатись в об'єднану енергетичну систему (ОЕС) України з метою її декарбонізації. При цьому мають бути прийняті критерії сталості використання води для отримання водню, які б унеможливлювали поглиблення водної кризи.</w:t>
            </w:r>
          </w:p>
          <w:p w14:paraId="17095CF0" w14:textId="3F281935" w:rsidR="00BA766C" w:rsidRPr="003864E7" w:rsidRDefault="00BA766C" w:rsidP="00BA766C">
            <w:pPr>
              <w:spacing w:after="0" w:line="240" w:lineRule="auto"/>
              <w:ind w:left="57" w:right="57"/>
              <w:rPr>
                <w:rFonts w:ascii="Times New Roman" w:eastAsia="Times New Roman" w:hAnsi="Times New Roman" w:cs="Times New Roman"/>
              </w:rPr>
            </w:pPr>
            <w:r w:rsidRPr="00BA766C">
              <w:rPr>
                <w:rFonts w:ascii="Times New Roman" w:eastAsia="Times New Roman" w:hAnsi="Times New Roman" w:cs="Times New Roman"/>
              </w:rPr>
              <w:t>Зважаючи на той факт, що зобов’язання України щодо виплати feed-in-tariff інвесторам у зелену генерацію закінчується у 2030 році, доцільно розглядати активну фазу розвитку генерації зеленого водня після цього періоду. За інших обставин, розвиток нової енергетичної галузі з використанням зеленої електроенергії є економічно неефективним та недоцільним.</w:t>
            </w:r>
          </w:p>
        </w:tc>
        <w:tc>
          <w:tcPr>
            <w:tcW w:w="3969" w:type="dxa"/>
            <w:tcBorders>
              <w:top w:val="single" w:sz="6" w:space="0" w:color="000000"/>
              <w:left w:val="single" w:sz="6" w:space="0" w:color="000000"/>
              <w:bottom w:val="single" w:sz="6" w:space="0" w:color="000000"/>
              <w:right w:val="single" w:sz="6" w:space="0" w:color="000000"/>
            </w:tcBorders>
          </w:tcPr>
          <w:p w14:paraId="5D3F2247" w14:textId="32A1203C" w:rsidR="00BA766C" w:rsidRPr="003864E7" w:rsidRDefault="00BA766C" w:rsidP="00BA766C">
            <w:pPr>
              <w:spacing w:after="80"/>
              <w:jc w:val="center"/>
              <w:rPr>
                <w:rFonts w:ascii="Times New Roman" w:eastAsia="Times New Roman" w:hAnsi="Times New Roman" w:cs="Times New Roman"/>
              </w:rPr>
            </w:pPr>
            <w:r w:rsidRPr="003864E7">
              <w:rPr>
                <w:rFonts w:ascii="Times New Roman" w:eastAsia="Times New Roman" w:hAnsi="Times New Roman" w:cs="Times New Roman"/>
              </w:rPr>
              <w:t>Підрозділ «Зелений» водень»</w:t>
            </w:r>
          </w:p>
        </w:tc>
        <w:tc>
          <w:tcPr>
            <w:tcW w:w="5812" w:type="dxa"/>
            <w:tcBorders>
              <w:top w:val="single" w:sz="6" w:space="0" w:color="000000"/>
              <w:left w:val="single" w:sz="6" w:space="0" w:color="000000"/>
              <w:bottom w:val="single" w:sz="6" w:space="0" w:color="000000"/>
              <w:right w:val="single" w:sz="6" w:space="0" w:color="000000"/>
            </w:tcBorders>
          </w:tcPr>
          <w:p w14:paraId="6A5E65F3" w14:textId="77777777" w:rsidR="00BA766C" w:rsidRPr="003864E7" w:rsidRDefault="00BA766C" w:rsidP="00BA766C">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427A1868" w14:textId="77777777" w:rsidR="00BA766C" w:rsidRPr="003864E7" w:rsidRDefault="00BA766C" w:rsidP="00BA766C">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З метою розвитку водневої енергетики передбачається розробка Міненерго проекту </w:t>
            </w:r>
            <w:r w:rsidRPr="003864E7">
              <w:rPr>
                <w:rFonts w:ascii="Times New Roman" w:eastAsia="Times New Roman" w:hAnsi="Times New Roman" w:cs="Times New Roman"/>
                <w:color w:val="202124"/>
              </w:rPr>
              <w:t>Водневої стратегії</w:t>
            </w:r>
            <w:r w:rsidRPr="003864E7">
              <w:rPr>
                <w:rFonts w:ascii="Times New Roman" w:eastAsia="Times New Roman" w:hAnsi="Times New Roman" w:cs="Times New Roman"/>
              </w:rPr>
              <w:t>, яким буде визначено цілі, показники, плани розвитку водневої енергетики до 2030 року, а також окреслено орієнтири до 2050 року а також необхідні заходи для реалізації.</w:t>
            </w:r>
          </w:p>
          <w:p w14:paraId="5A12D562" w14:textId="6B3004B0" w:rsidR="00BA766C" w:rsidRPr="003864E7" w:rsidRDefault="00BA766C" w:rsidP="00BA766C">
            <w:pPr>
              <w:spacing w:after="0" w:line="240" w:lineRule="auto"/>
              <w:ind w:right="57"/>
              <w:jc w:val="both"/>
              <w:rPr>
                <w:rFonts w:ascii="Times New Roman" w:eastAsia="Times New Roman" w:hAnsi="Times New Roman" w:cs="Times New Roman"/>
              </w:rPr>
            </w:pPr>
          </w:p>
        </w:tc>
      </w:tr>
      <w:tr w:rsidR="009A7100" w:rsidRPr="003864E7" w14:paraId="4D48B6CA"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5071BED9" w14:textId="77777777" w:rsidR="00BA766C" w:rsidRPr="00BA766C" w:rsidRDefault="00BA766C" w:rsidP="00BA766C">
            <w:pPr>
              <w:spacing w:after="0" w:line="240" w:lineRule="auto"/>
              <w:ind w:left="57" w:right="57"/>
              <w:rPr>
                <w:rFonts w:ascii="Times New Roman" w:eastAsia="Times New Roman" w:hAnsi="Times New Roman" w:cs="Times New Roman"/>
              </w:rPr>
            </w:pPr>
            <w:r w:rsidRPr="00BA766C">
              <w:rPr>
                <w:rFonts w:ascii="Times New Roman" w:eastAsia="Times New Roman" w:hAnsi="Times New Roman" w:cs="Times New Roman"/>
              </w:rPr>
              <w:t>Для забезпечення сталості та безпеки навколишнього середовища необхідна відмова від будівництва чи завершення будівництва великих ГЕС та ГАЕС, а натомість використання механізмів керування попитом, а також новітніх технологій накопичення та перетворення енергії - електрохімічних батарей, кранових або шахтних гравітаційних електростанцій, тощо. МГЕС за потреби мають будуватися тільки за відповідності критеріям сталості об’єктів енергетики.</w:t>
            </w:r>
          </w:p>
          <w:p w14:paraId="36B36C64" w14:textId="0F8C0426" w:rsidR="00BA766C" w:rsidRPr="00BA766C" w:rsidRDefault="00BA766C" w:rsidP="00BA766C">
            <w:pPr>
              <w:spacing w:after="0" w:line="240" w:lineRule="auto"/>
              <w:ind w:left="57" w:right="57"/>
              <w:rPr>
                <w:rFonts w:ascii="Times New Roman" w:eastAsia="Times New Roman" w:hAnsi="Times New Roman" w:cs="Times New Roman"/>
              </w:rPr>
            </w:pPr>
            <w:r w:rsidRPr="00BA766C">
              <w:rPr>
                <w:rFonts w:ascii="Times New Roman" w:eastAsia="Times New Roman" w:hAnsi="Times New Roman" w:cs="Times New Roman"/>
              </w:rPr>
              <w:t>За потреби будівництво малих ГЕС (МГЕС) - допустиме, тільки якщо відповідає критеріям сталості об’єктів енергетики, та специфічно для МГЕС :</w:t>
            </w:r>
          </w:p>
          <w:p w14:paraId="1C51FED7" w14:textId="3AB8DB90" w:rsidR="00BA766C" w:rsidRPr="00BA766C" w:rsidRDefault="00BA766C" w:rsidP="00BA766C">
            <w:pPr>
              <w:spacing w:after="0" w:line="240" w:lineRule="auto"/>
              <w:ind w:left="57" w:right="57"/>
              <w:rPr>
                <w:rFonts w:ascii="Times New Roman" w:eastAsia="Times New Roman" w:hAnsi="Times New Roman" w:cs="Times New Roman"/>
              </w:rPr>
            </w:pPr>
            <w:r>
              <w:rPr>
                <w:rFonts w:ascii="Times New Roman" w:eastAsia="Times New Roman" w:hAnsi="Times New Roman" w:cs="Times New Roman"/>
              </w:rPr>
              <w:lastRenderedPageBreak/>
              <w:t>-</w:t>
            </w:r>
            <w:r w:rsidRPr="00BA766C">
              <w:rPr>
                <w:rFonts w:ascii="Times New Roman" w:eastAsia="Times New Roman" w:hAnsi="Times New Roman" w:cs="Times New Roman"/>
              </w:rPr>
              <w:t xml:space="preserve"> не передбачено значного впливу на існуючу екосистему;</w:t>
            </w:r>
          </w:p>
          <w:p w14:paraId="10AA2EAA" w14:textId="0C2EB92E" w:rsidR="00BA766C" w:rsidRPr="00BA766C" w:rsidRDefault="00BA766C" w:rsidP="00BA766C">
            <w:pPr>
              <w:spacing w:after="0" w:line="240" w:lineRule="auto"/>
              <w:ind w:left="57" w:right="57"/>
              <w:rPr>
                <w:rFonts w:ascii="Times New Roman" w:eastAsia="Times New Roman" w:hAnsi="Times New Roman" w:cs="Times New Roman"/>
              </w:rPr>
            </w:pPr>
            <w:r>
              <w:rPr>
                <w:rFonts w:ascii="Times New Roman" w:eastAsia="Times New Roman" w:hAnsi="Times New Roman" w:cs="Times New Roman"/>
              </w:rPr>
              <w:t>-</w:t>
            </w:r>
            <w:r w:rsidRPr="00BA766C">
              <w:rPr>
                <w:rFonts w:ascii="Times New Roman" w:eastAsia="Times New Roman" w:hAnsi="Times New Roman" w:cs="Times New Roman"/>
              </w:rPr>
              <w:t xml:space="preserve"> запланований термін використання МГЕС має бути не менше 30 років;</w:t>
            </w:r>
          </w:p>
          <w:p w14:paraId="17700C5A" w14:textId="71794B6C" w:rsidR="009A7100" w:rsidRPr="003864E7" w:rsidRDefault="00BA766C" w:rsidP="00BA766C">
            <w:pPr>
              <w:spacing w:after="0" w:line="240" w:lineRule="auto"/>
              <w:ind w:right="57"/>
              <w:rPr>
                <w:rFonts w:ascii="Times New Roman" w:eastAsia="Times New Roman" w:hAnsi="Times New Roman" w:cs="Times New Roman"/>
              </w:rPr>
            </w:pPr>
            <w:r>
              <w:rPr>
                <w:rFonts w:ascii="Times New Roman" w:eastAsia="Times New Roman" w:hAnsi="Times New Roman" w:cs="Times New Roman"/>
              </w:rPr>
              <w:t>-</w:t>
            </w:r>
            <w:r w:rsidRPr="00BA766C">
              <w:rPr>
                <w:rFonts w:ascii="Times New Roman" w:eastAsia="Times New Roman" w:hAnsi="Times New Roman" w:cs="Times New Roman"/>
              </w:rPr>
              <w:t xml:space="preserve"> розроблено програму екологічного моніторингу для МГЕС.</w:t>
            </w:r>
          </w:p>
        </w:tc>
        <w:tc>
          <w:tcPr>
            <w:tcW w:w="3969" w:type="dxa"/>
            <w:tcBorders>
              <w:top w:val="single" w:sz="6" w:space="0" w:color="000000"/>
              <w:left w:val="single" w:sz="6" w:space="0" w:color="000000"/>
              <w:bottom w:val="single" w:sz="6" w:space="0" w:color="000000"/>
              <w:right w:val="single" w:sz="6" w:space="0" w:color="000000"/>
            </w:tcBorders>
          </w:tcPr>
          <w:p w14:paraId="40969BAE" w14:textId="232ACB74" w:rsidR="009A7100" w:rsidRPr="003864E7" w:rsidRDefault="00BA766C">
            <w:pPr>
              <w:spacing w:after="80"/>
              <w:jc w:val="center"/>
              <w:rPr>
                <w:rFonts w:ascii="Times New Roman" w:eastAsia="Times New Roman" w:hAnsi="Times New Roman" w:cs="Times New Roman"/>
              </w:rPr>
            </w:pPr>
            <w:r>
              <w:rPr>
                <w:rFonts w:ascii="Times New Roman" w:eastAsia="Times New Roman" w:hAnsi="Times New Roman" w:cs="Times New Roman"/>
              </w:rPr>
              <w:lastRenderedPageBreak/>
              <w:t>Пропозиції до підрозділу «</w:t>
            </w:r>
            <w:r w:rsidRPr="00BA766C">
              <w:rPr>
                <w:rFonts w:ascii="Times New Roman" w:eastAsia="Times New Roman" w:hAnsi="Times New Roman" w:cs="Times New Roman"/>
              </w:rPr>
              <w:t>Гідроенергетика</w:t>
            </w:r>
            <w:r>
              <w:rPr>
                <w:rFonts w:ascii="Times New Roman" w:eastAsia="Times New Roman" w:hAnsi="Times New Roman" w:cs="Times New Roman"/>
              </w:rPr>
              <w:t>» розділу «</w:t>
            </w:r>
            <w:r w:rsidRPr="00BA766C">
              <w:rPr>
                <w:rFonts w:ascii="Times New Roman" w:eastAsia="Times New Roman" w:hAnsi="Times New Roman" w:cs="Times New Roman"/>
              </w:rPr>
              <w:t>Використання відновлюваних джерел енергії в електроенергетичному комплексі</w:t>
            </w:r>
            <w:r>
              <w:rPr>
                <w:rFonts w:ascii="Times New Roman" w:eastAsia="Times New Roman" w:hAnsi="Times New Roman" w:cs="Times New Roman"/>
              </w:rPr>
              <w:t>»</w:t>
            </w:r>
          </w:p>
        </w:tc>
        <w:tc>
          <w:tcPr>
            <w:tcW w:w="5812" w:type="dxa"/>
            <w:tcBorders>
              <w:top w:val="single" w:sz="6" w:space="0" w:color="000000"/>
              <w:left w:val="single" w:sz="6" w:space="0" w:color="000000"/>
              <w:bottom w:val="single" w:sz="6" w:space="0" w:color="000000"/>
              <w:right w:val="single" w:sz="6" w:space="0" w:color="000000"/>
            </w:tcBorders>
          </w:tcPr>
          <w:p w14:paraId="7F0607E7" w14:textId="77777777" w:rsidR="00BA766C" w:rsidRPr="00BA766C" w:rsidRDefault="00BA766C" w:rsidP="00BA766C">
            <w:pPr>
              <w:spacing w:after="0" w:line="240" w:lineRule="auto"/>
              <w:ind w:left="57" w:right="57" w:firstLine="558"/>
              <w:jc w:val="both"/>
              <w:rPr>
                <w:rFonts w:ascii="Times New Roman" w:eastAsia="Times New Roman" w:hAnsi="Times New Roman" w:cs="Times New Roman"/>
              </w:rPr>
            </w:pPr>
            <w:r w:rsidRPr="00BA766C">
              <w:rPr>
                <w:rFonts w:ascii="Times New Roman" w:eastAsia="Times New Roman" w:hAnsi="Times New Roman" w:cs="Times New Roman"/>
              </w:rPr>
              <w:t>Не враховано</w:t>
            </w:r>
          </w:p>
          <w:p w14:paraId="6CDF4AE2" w14:textId="69D91E8A" w:rsidR="009A7100" w:rsidRPr="003864E7" w:rsidRDefault="00BA766C" w:rsidP="00BA766C">
            <w:pPr>
              <w:spacing w:after="0" w:line="240" w:lineRule="auto"/>
              <w:ind w:left="57" w:right="57" w:firstLine="558"/>
              <w:jc w:val="both"/>
              <w:rPr>
                <w:rFonts w:ascii="Times New Roman" w:eastAsia="Times New Roman" w:hAnsi="Times New Roman" w:cs="Times New Roman"/>
              </w:rPr>
            </w:pPr>
            <w:r w:rsidRPr="00BA766C">
              <w:rPr>
                <w:rFonts w:ascii="Times New Roman" w:eastAsia="Times New Roman" w:hAnsi="Times New Roman" w:cs="Times New Roman"/>
              </w:rPr>
              <w:t>При будівництво об’єктів відновлюваної енергетики, зокрема гідроелектростанцій, має безумовно враховуватись діюче екологічне законодавство України. Визначені законодавством об’єкти будівництва мають проходити оцінку впливу на навколишне середовище перед початком будівництва.</w:t>
            </w:r>
          </w:p>
        </w:tc>
      </w:tr>
      <w:tr w:rsidR="009A7100" w:rsidRPr="003864E7" w14:paraId="35139842"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15AD9617" w14:textId="77777777" w:rsidR="00A55213" w:rsidRPr="00A55213" w:rsidRDefault="00A55213" w:rsidP="00A55213">
            <w:pPr>
              <w:spacing w:after="0" w:line="240" w:lineRule="auto"/>
              <w:ind w:left="57" w:right="57"/>
              <w:rPr>
                <w:rFonts w:ascii="Times New Roman" w:eastAsia="Times New Roman" w:hAnsi="Times New Roman" w:cs="Times New Roman"/>
              </w:rPr>
            </w:pPr>
            <w:r w:rsidRPr="00A55213">
              <w:rPr>
                <w:rFonts w:ascii="Times New Roman" w:eastAsia="Times New Roman" w:hAnsi="Times New Roman" w:cs="Times New Roman"/>
              </w:rPr>
              <w:t>На думку розробників НПД ВЕ, він не стосується питань функціонування місцевого самоврядування, прав та інтересів територіальних громад, місцевого та регіонального розвитку, соціально-трудової сфери, прав осіб з інвалідністю, функціонування і застосування української мови. Проте органи місцевого самоврядування, мешканці міст і сіл відіграють визначальну роль у розвитку розподіленої генерації, використанні ВДЕ для опалення та загальному сприйнятті суспільством зростання ролі ВДЕ у країні.</w:t>
            </w:r>
          </w:p>
          <w:p w14:paraId="3F63AC99" w14:textId="77777777" w:rsidR="00A55213" w:rsidRPr="00A55213" w:rsidRDefault="00A55213" w:rsidP="00A55213">
            <w:pPr>
              <w:spacing w:after="0" w:line="240" w:lineRule="auto"/>
              <w:ind w:left="57" w:right="57"/>
              <w:rPr>
                <w:rFonts w:ascii="Times New Roman" w:eastAsia="Times New Roman" w:hAnsi="Times New Roman" w:cs="Times New Roman"/>
              </w:rPr>
            </w:pPr>
            <w:r w:rsidRPr="00A55213">
              <w:rPr>
                <w:rFonts w:ascii="Times New Roman" w:eastAsia="Times New Roman" w:hAnsi="Times New Roman" w:cs="Times New Roman"/>
              </w:rPr>
              <w:t>У результаті децентралізації муніципалітети отримали ресурси та зобов’язання, що не можна ігнорувати при плануванні розвитку ВДЕ. Наступні підходи дозволять об’єднати зусилля національного уряду та громад для розвитку ВДЕ та мають бути враховані у Нацплані:</w:t>
            </w:r>
          </w:p>
          <w:p w14:paraId="6DE144EB" w14:textId="60B1D448" w:rsidR="00A55213" w:rsidRPr="00A55213" w:rsidRDefault="00A55213" w:rsidP="00A55213">
            <w:pPr>
              <w:spacing w:after="0" w:line="240" w:lineRule="auto"/>
              <w:ind w:left="57" w:right="57"/>
              <w:rPr>
                <w:rFonts w:ascii="Times New Roman" w:eastAsia="Times New Roman" w:hAnsi="Times New Roman" w:cs="Times New Roman"/>
              </w:rPr>
            </w:pPr>
            <w:r>
              <w:rPr>
                <w:rFonts w:ascii="Times New Roman" w:eastAsia="Times New Roman" w:hAnsi="Times New Roman" w:cs="Times New Roman"/>
              </w:rPr>
              <w:t>-</w:t>
            </w:r>
            <w:r w:rsidRPr="00A55213">
              <w:rPr>
                <w:rFonts w:ascii="Times New Roman" w:eastAsia="Times New Roman" w:hAnsi="Times New Roman" w:cs="Times New Roman"/>
              </w:rPr>
              <w:t xml:space="preserve"> запровадження критеріїв та стимулів підтримки ВДЕ при виділенні державних субвенцій громадам.</w:t>
            </w:r>
          </w:p>
          <w:p w14:paraId="761DD551" w14:textId="5B2C391C" w:rsidR="00A55213" w:rsidRPr="00A55213" w:rsidRDefault="00A55213" w:rsidP="00A55213">
            <w:pPr>
              <w:spacing w:after="0" w:line="240" w:lineRule="auto"/>
              <w:ind w:left="57" w:right="57"/>
              <w:rPr>
                <w:rFonts w:ascii="Times New Roman" w:eastAsia="Times New Roman" w:hAnsi="Times New Roman" w:cs="Times New Roman"/>
              </w:rPr>
            </w:pPr>
            <w:r>
              <w:rPr>
                <w:rFonts w:ascii="Times New Roman" w:eastAsia="Times New Roman" w:hAnsi="Times New Roman" w:cs="Times New Roman"/>
              </w:rPr>
              <w:t>-</w:t>
            </w:r>
            <w:r w:rsidRPr="00A55213">
              <w:rPr>
                <w:rFonts w:ascii="Times New Roman" w:eastAsia="Times New Roman" w:hAnsi="Times New Roman" w:cs="Times New Roman"/>
              </w:rPr>
              <w:t xml:space="preserve"> підвищення обізнаності органів місцевого самоврядування у сфері ВДЕ.</w:t>
            </w:r>
          </w:p>
          <w:p w14:paraId="718D7EA2" w14:textId="3E8EB6D3" w:rsidR="00A55213" w:rsidRPr="00A55213" w:rsidRDefault="00A55213" w:rsidP="00A55213">
            <w:pPr>
              <w:spacing w:after="0" w:line="240" w:lineRule="auto"/>
              <w:ind w:left="57" w:right="57"/>
              <w:rPr>
                <w:rFonts w:ascii="Times New Roman" w:eastAsia="Times New Roman" w:hAnsi="Times New Roman" w:cs="Times New Roman"/>
              </w:rPr>
            </w:pPr>
            <w:r>
              <w:rPr>
                <w:rFonts w:ascii="Times New Roman" w:eastAsia="Times New Roman" w:hAnsi="Times New Roman" w:cs="Times New Roman"/>
              </w:rPr>
              <w:t>-</w:t>
            </w:r>
            <w:r w:rsidRPr="00A55213">
              <w:rPr>
                <w:rFonts w:ascii="Times New Roman" w:eastAsia="Times New Roman" w:hAnsi="Times New Roman" w:cs="Times New Roman"/>
              </w:rPr>
              <w:t xml:space="preserve"> підтримка партнерства кількох громад у сфері спільного розвитку ВДЕ (поставки сталої біомаси для теплопостачання, об’єднання муніципальних фінансових інструментів, державно-приватне партнерство).</w:t>
            </w:r>
          </w:p>
          <w:p w14:paraId="7999326E" w14:textId="5A5F5BFA" w:rsidR="009A7100" w:rsidRPr="003864E7" w:rsidRDefault="00A55213" w:rsidP="00A55213">
            <w:pPr>
              <w:spacing w:after="0" w:line="240" w:lineRule="auto"/>
              <w:ind w:left="57" w:right="57"/>
              <w:rPr>
                <w:rFonts w:ascii="Times New Roman" w:eastAsia="Times New Roman" w:hAnsi="Times New Roman" w:cs="Times New Roman"/>
              </w:rPr>
            </w:pPr>
            <w:r>
              <w:rPr>
                <w:rFonts w:ascii="Times New Roman" w:eastAsia="Times New Roman" w:hAnsi="Times New Roman" w:cs="Times New Roman"/>
              </w:rPr>
              <w:t>-</w:t>
            </w:r>
            <w:r w:rsidRPr="00A55213">
              <w:rPr>
                <w:rFonts w:ascii="Times New Roman" w:eastAsia="Times New Roman" w:hAnsi="Times New Roman" w:cs="Times New Roman"/>
              </w:rPr>
              <w:t xml:space="preserve"> запровадження дієвих підходів долучення громад та місцевого самоврядування при розробці нормативно-правових актів.</w:t>
            </w:r>
          </w:p>
        </w:tc>
        <w:tc>
          <w:tcPr>
            <w:tcW w:w="3969" w:type="dxa"/>
            <w:tcBorders>
              <w:top w:val="single" w:sz="6" w:space="0" w:color="000000"/>
              <w:left w:val="single" w:sz="6" w:space="0" w:color="000000"/>
              <w:bottom w:val="single" w:sz="6" w:space="0" w:color="000000"/>
              <w:right w:val="single" w:sz="6" w:space="0" w:color="000000"/>
            </w:tcBorders>
          </w:tcPr>
          <w:p w14:paraId="05309801" w14:textId="47242D61" w:rsidR="009A7100" w:rsidRPr="003864E7" w:rsidRDefault="00A55213">
            <w:pPr>
              <w:spacing w:after="80"/>
              <w:jc w:val="center"/>
              <w:rPr>
                <w:rFonts w:ascii="Times New Roman" w:eastAsia="Times New Roman" w:hAnsi="Times New Roman" w:cs="Times New Roman"/>
              </w:rPr>
            </w:pPr>
            <w:r>
              <w:rPr>
                <w:rFonts w:ascii="Times New Roman" w:eastAsia="Times New Roman" w:hAnsi="Times New Roman" w:cs="Times New Roman"/>
              </w:rPr>
              <w:t>Пропозиції до Плану заходів</w:t>
            </w:r>
          </w:p>
        </w:tc>
        <w:tc>
          <w:tcPr>
            <w:tcW w:w="5812" w:type="dxa"/>
            <w:tcBorders>
              <w:top w:val="single" w:sz="6" w:space="0" w:color="000000"/>
              <w:left w:val="single" w:sz="6" w:space="0" w:color="000000"/>
              <w:bottom w:val="single" w:sz="6" w:space="0" w:color="000000"/>
              <w:right w:val="single" w:sz="6" w:space="0" w:color="000000"/>
            </w:tcBorders>
          </w:tcPr>
          <w:p w14:paraId="4A5AD4EB" w14:textId="77777777" w:rsidR="009A7100" w:rsidRDefault="00A55213" w:rsidP="00A55213">
            <w:pP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Не враховано</w:t>
            </w:r>
          </w:p>
          <w:p w14:paraId="390B141E" w14:textId="12B003A2" w:rsidR="00A55213" w:rsidRDefault="004572F5" w:rsidP="00A55213">
            <w:pP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В проекті Плану заходів вже передбачено наступні заходи:</w:t>
            </w:r>
          </w:p>
          <w:p w14:paraId="06350DC8" w14:textId="659C1D13" w:rsidR="004572F5" w:rsidRPr="004572F5" w:rsidRDefault="004572F5" w:rsidP="00A55213">
            <w:pPr>
              <w:pStyle w:val="ac"/>
              <w:numPr>
                <w:ilvl w:val="0"/>
                <w:numId w:val="6"/>
              </w:numP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color w:val="000000"/>
              </w:rPr>
              <w:t>п.3 о</w:t>
            </w:r>
            <w:r w:rsidRPr="004572F5">
              <w:rPr>
                <w:rFonts w:ascii="Times New Roman" w:eastAsia="Times New Roman" w:hAnsi="Times New Roman" w:cs="Times New Roman"/>
                <w:color w:val="000000"/>
              </w:rPr>
              <w:t>працювання питань стосовно надання Міненерго переліку земельних ділянок та/або споруд з визначеними технічними параметрами та технічними умовами на приєднання до електричної мережі для проведення аукціонів з розподілу квоти підтримки</w:t>
            </w:r>
            <w:r>
              <w:rPr>
                <w:rFonts w:ascii="Times New Roman" w:eastAsia="Times New Roman" w:hAnsi="Times New Roman" w:cs="Times New Roman"/>
                <w:color w:val="000000"/>
              </w:rPr>
              <w:t>.</w:t>
            </w:r>
          </w:p>
          <w:p w14:paraId="34442386" w14:textId="1CAEA248" w:rsidR="00A55213" w:rsidRPr="004572F5" w:rsidRDefault="004572F5" w:rsidP="00A55213">
            <w:pPr>
              <w:pStyle w:val="ac"/>
              <w:numPr>
                <w:ilvl w:val="0"/>
                <w:numId w:val="6"/>
              </w:numP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 xml:space="preserve">п.23 </w:t>
            </w:r>
            <w:r w:rsidRPr="004572F5">
              <w:rPr>
                <w:rFonts w:ascii="Times New Roman" w:eastAsia="Times New Roman" w:hAnsi="Times New Roman" w:cs="Times New Roman"/>
              </w:rPr>
              <w:t>Популяризація, в першу чергу серед широких верств населення, переваг розвитку сфери виробництва енергоносіїв з відновлюваних джерел енергії та альтернативних видів палива в Україні.</w:t>
            </w:r>
          </w:p>
        </w:tc>
      </w:tr>
      <w:tr w:rsidR="009A7100" w:rsidRPr="003864E7" w14:paraId="32E20AF8"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4BC4E7E1" w14:textId="1C99BE36" w:rsidR="009A7100" w:rsidRPr="003864E7" w:rsidRDefault="004572F5">
            <w:pPr>
              <w:spacing w:after="0" w:line="240" w:lineRule="auto"/>
              <w:ind w:left="57" w:right="57"/>
              <w:rPr>
                <w:rFonts w:ascii="Times New Roman" w:eastAsia="Times New Roman" w:hAnsi="Times New Roman" w:cs="Times New Roman"/>
              </w:rPr>
            </w:pPr>
            <w:r w:rsidRPr="004572F5">
              <w:rPr>
                <w:rFonts w:ascii="Times New Roman" w:eastAsia="Times New Roman" w:hAnsi="Times New Roman" w:cs="Times New Roman"/>
              </w:rPr>
              <w:t xml:space="preserve">Періодичне відслідковування процесу виконання плану та руху до цільових показників допоможе вчасно та якісно реагувати на виклики, що </w:t>
            </w:r>
            <w:r w:rsidRPr="004572F5">
              <w:rPr>
                <w:rFonts w:ascii="Times New Roman" w:eastAsia="Times New Roman" w:hAnsi="Times New Roman" w:cs="Times New Roman"/>
              </w:rPr>
              <w:lastRenderedPageBreak/>
              <w:t>з’являються, та адаптувати дії та плани. Публічна презентація результатів виконання НПД ВЕ кожні 2 роки до 1 квітня наступного року, що наступає за звітним періодом, створить умови для цього. Публічна презентація має містити інформацію про реалізовані заходи, плановані та досягнуті результати, детальні плани на наступний період.</w:t>
            </w:r>
          </w:p>
        </w:tc>
        <w:tc>
          <w:tcPr>
            <w:tcW w:w="3969" w:type="dxa"/>
            <w:tcBorders>
              <w:top w:val="single" w:sz="6" w:space="0" w:color="000000"/>
              <w:left w:val="single" w:sz="6" w:space="0" w:color="000000"/>
              <w:bottom w:val="single" w:sz="6" w:space="0" w:color="000000"/>
              <w:right w:val="single" w:sz="6" w:space="0" w:color="000000"/>
            </w:tcBorders>
          </w:tcPr>
          <w:p w14:paraId="5C007CA7" w14:textId="768C8645" w:rsidR="009A7100" w:rsidRPr="003864E7" w:rsidRDefault="004572F5">
            <w:pPr>
              <w:spacing w:after="80"/>
              <w:jc w:val="center"/>
              <w:rPr>
                <w:rFonts w:ascii="Times New Roman" w:eastAsia="Times New Roman" w:hAnsi="Times New Roman" w:cs="Times New Roman"/>
              </w:rPr>
            </w:pPr>
            <w:r>
              <w:rPr>
                <w:rFonts w:ascii="Times New Roman" w:eastAsia="Times New Roman" w:hAnsi="Times New Roman" w:cs="Times New Roman"/>
              </w:rPr>
              <w:lastRenderedPageBreak/>
              <w:t xml:space="preserve">Пропозиції до моніторингу виконання НПДВЕ </w:t>
            </w:r>
          </w:p>
        </w:tc>
        <w:tc>
          <w:tcPr>
            <w:tcW w:w="5812" w:type="dxa"/>
            <w:tcBorders>
              <w:top w:val="single" w:sz="6" w:space="0" w:color="000000"/>
              <w:left w:val="single" w:sz="6" w:space="0" w:color="000000"/>
              <w:bottom w:val="single" w:sz="6" w:space="0" w:color="000000"/>
              <w:right w:val="single" w:sz="6" w:space="0" w:color="000000"/>
            </w:tcBorders>
          </w:tcPr>
          <w:p w14:paraId="7C268017" w14:textId="37E71243" w:rsidR="004572F5" w:rsidRDefault="004572F5" w:rsidP="004572F5">
            <w:pP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Не враховано.</w:t>
            </w:r>
          </w:p>
          <w:p w14:paraId="0A177D6A" w14:textId="731BA163" w:rsidR="004572F5" w:rsidRDefault="004572F5" w:rsidP="004572F5">
            <w:pPr>
              <w:spacing w:after="0" w:line="240" w:lineRule="auto"/>
              <w:ind w:left="57" w:right="57"/>
              <w:jc w:val="both"/>
              <w:rPr>
                <w:rFonts w:ascii="Times New Roman" w:eastAsia="Times New Roman" w:hAnsi="Times New Roman" w:cs="Times New Roman"/>
              </w:rPr>
            </w:pPr>
            <w:r>
              <w:rPr>
                <w:rFonts w:ascii="Times New Roman" w:eastAsia="Times New Roman" w:hAnsi="Times New Roman" w:cs="Times New Roman"/>
              </w:rPr>
              <w:lastRenderedPageBreak/>
              <w:t>Проектом розпорядження Кабінету Міністрів України вже передбачено пункти щодо підготовки Звіту про виконання НПДВЕ , а саме:</w:t>
            </w:r>
          </w:p>
          <w:p w14:paraId="22AA39DC" w14:textId="617560CC" w:rsidR="004572F5" w:rsidRPr="004572F5" w:rsidRDefault="004572F5" w:rsidP="004572F5">
            <w:pPr>
              <w:spacing w:after="0" w:line="240" w:lineRule="auto"/>
              <w:ind w:left="57" w:right="57" w:hanging="18"/>
              <w:jc w:val="both"/>
              <w:rPr>
                <w:rFonts w:ascii="Times New Roman" w:eastAsia="Times New Roman" w:hAnsi="Times New Roman" w:cs="Times New Roman"/>
              </w:rPr>
            </w:pPr>
            <w:r>
              <w:rPr>
                <w:rFonts w:ascii="Times New Roman" w:eastAsia="Times New Roman" w:hAnsi="Times New Roman" w:cs="Times New Roman"/>
              </w:rPr>
              <w:t>-</w:t>
            </w:r>
            <w:r w:rsidRPr="004572F5">
              <w:rPr>
                <w:rFonts w:ascii="Times New Roman" w:eastAsia="Times New Roman" w:hAnsi="Times New Roman" w:cs="Times New Roman"/>
              </w:rPr>
              <w:t xml:space="preserve"> Міністерствам, іншим центральним та місцевим органам виконавчої влади:</w:t>
            </w:r>
          </w:p>
          <w:p w14:paraId="777A656B" w14:textId="77777777" w:rsidR="004572F5" w:rsidRPr="004572F5" w:rsidRDefault="004572F5" w:rsidP="004572F5">
            <w:pPr>
              <w:spacing w:after="0" w:line="240" w:lineRule="auto"/>
              <w:ind w:left="57" w:right="57" w:firstLine="558"/>
              <w:jc w:val="both"/>
              <w:rPr>
                <w:rFonts w:ascii="Times New Roman" w:eastAsia="Times New Roman" w:hAnsi="Times New Roman" w:cs="Times New Roman"/>
              </w:rPr>
            </w:pPr>
            <w:r w:rsidRPr="004572F5">
              <w:rPr>
                <w:rFonts w:ascii="Times New Roman" w:eastAsia="Times New Roman" w:hAnsi="Times New Roman" w:cs="Times New Roman"/>
              </w:rPr>
              <w:t>забезпечити виконання плану заходів;</w:t>
            </w:r>
          </w:p>
          <w:p w14:paraId="2D91A911" w14:textId="77777777" w:rsidR="004572F5" w:rsidRPr="004572F5" w:rsidRDefault="004572F5" w:rsidP="004572F5">
            <w:pPr>
              <w:spacing w:after="0" w:line="240" w:lineRule="auto"/>
              <w:ind w:left="57" w:right="57" w:firstLine="558"/>
              <w:jc w:val="both"/>
              <w:rPr>
                <w:rFonts w:ascii="Times New Roman" w:eastAsia="Times New Roman" w:hAnsi="Times New Roman" w:cs="Times New Roman"/>
              </w:rPr>
            </w:pPr>
            <w:r w:rsidRPr="004572F5">
              <w:rPr>
                <w:rFonts w:ascii="Times New Roman" w:eastAsia="Times New Roman" w:hAnsi="Times New Roman" w:cs="Times New Roman"/>
              </w:rPr>
              <w:t>подавати щопівроку до 30 числа місяця, що настає за звітним періодом, Державному агентству з енергоефективності та енергозбереження інформацію про стан виконання плану заходів.</w:t>
            </w:r>
          </w:p>
          <w:p w14:paraId="480FB9EE" w14:textId="57BBCD77" w:rsidR="004572F5" w:rsidRPr="004572F5" w:rsidRDefault="004572F5" w:rsidP="004572F5">
            <w:pPr>
              <w:pStyle w:val="ac"/>
              <w:numPr>
                <w:ilvl w:val="0"/>
                <w:numId w:val="6"/>
              </w:numPr>
              <w:spacing w:after="0" w:line="240" w:lineRule="auto"/>
              <w:ind w:left="39" w:right="57" w:firstLine="18"/>
              <w:jc w:val="both"/>
              <w:rPr>
                <w:rFonts w:ascii="Times New Roman" w:eastAsia="Times New Roman" w:hAnsi="Times New Roman" w:cs="Times New Roman"/>
              </w:rPr>
            </w:pPr>
            <w:r w:rsidRPr="004572F5">
              <w:rPr>
                <w:rFonts w:ascii="Times New Roman" w:eastAsia="Times New Roman" w:hAnsi="Times New Roman" w:cs="Times New Roman"/>
              </w:rPr>
              <w:t>Державному агентству з енергоефективності та енергозбереження щороку до 01 липня подавати на розгляд Кабінету Міністрів та опублікувати на власному вебсайті звіти про виконання Національного плану дій та плану заходів.</w:t>
            </w:r>
          </w:p>
          <w:p w14:paraId="19BAEB50" w14:textId="77777777" w:rsidR="009A7100" w:rsidRPr="003864E7" w:rsidRDefault="009A7100">
            <w:pPr>
              <w:spacing w:after="0" w:line="240" w:lineRule="auto"/>
              <w:ind w:left="57" w:right="57" w:firstLine="558"/>
              <w:jc w:val="both"/>
              <w:rPr>
                <w:rFonts w:ascii="Times New Roman" w:eastAsia="Times New Roman" w:hAnsi="Times New Roman" w:cs="Times New Roman"/>
              </w:rPr>
            </w:pPr>
          </w:p>
        </w:tc>
      </w:tr>
      <w:tr w:rsidR="009A7100" w:rsidRPr="003864E7" w14:paraId="311032DB"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24CB9AB2" w14:textId="77CCB03B" w:rsidR="009A7100" w:rsidRPr="003864E7" w:rsidRDefault="004572F5">
            <w:pPr>
              <w:spacing w:after="0" w:line="240" w:lineRule="auto"/>
              <w:ind w:left="57" w:right="57"/>
              <w:rPr>
                <w:rFonts w:ascii="Times New Roman" w:eastAsia="Times New Roman" w:hAnsi="Times New Roman" w:cs="Times New Roman"/>
              </w:rPr>
            </w:pPr>
            <w:r w:rsidRPr="004572F5">
              <w:rPr>
                <w:rFonts w:ascii="Times New Roman" w:eastAsia="Times New Roman" w:hAnsi="Times New Roman" w:cs="Times New Roman"/>
              </w:rPr>
              <w:t>В Україні вже існують або розробляються ряд нормативно-правових актів, що безпосередньо впливають на розвиток ВДЕ. Це Енергетична стратегія, План дій з виконання Національно визначеного внеску до Паризької угоди, Інтегрований план з клімату та енергетики, галузеві плани та стратегії. Ці документи мають узгоджуватися з Нацпланом з ВДЕ.</w:t>
            </w:r>
          </w:p>
        </w:tc>
        <w:tc>
          <w:tcPr>
            <w:tcW w:w="3969" w:type="dxa"/>
            <w:tcBorders>
              <w:top w:val="single" w:sz="6" w:space="0" w:color="000000"/>
              <w:left w:val="single" w:sz="6" w:space="0" w:color="000000"/>
              <w:bottom w:val="single" w:sz="6" w:space="0" w:color="000000"/>
              <w:right w:val="single" w:sz="6" w:space="0" w:color="000000"/>
            </w:tcBorders>
          </w:tcPr>
          <w:p w14:paraId="31FA66E5" w14:textId="38FE5684" w:rsidR="009A7100" w:rsidRPr="003864E7" w:rsidRDefault="004572F5">
            <w:pPr>
              <w:spacing w:after="80"/>
              <w:jc w:val="center"/>
              <w:rPr>
                <w:rFonts w:ascii="Times New Roman" w:eastAsia="Times New Roman" w:hAnsi="Times New Roman" w:cs="Times New Roman"/>
              </w:rPr>
            </w:pPr>
            <w:r>
              <w:rPr>
                <w:rFonts w:ascii="Times New Roman" w:eastAsia="Times New Roman" w:hAnsi="Times New Roman" w:cs="Times New Roman"/>
              </w:rPr>
              <w:t xml:space="preserve">Пропозиції до </w:t>
            </w:r>
            <w:r w:rsidR="005D0503">
              <w:rPr>
                <w:rFonts w:ascii="Times New Roman" w:eastAsia="Times New Roman" w:hAnsi="Times New Roman" w:cs="Times New Roman"/>
              </w:rPr>
              <w:t>проекту НПДВЕ в цілому</w:t>
            </w:r>
          </w:p>
        </w:tc>
        <w:tc>
          <w:tcPr>
            <w:tcW w:w="5812" w:type="dxa"/>
            <w:tcBorders>
              <w:top w:val="single" w:sz="6" w:space="0" w:color="000000"/>
              <w:left w:val="single" w:sz="6" w:space="0" w:color="000000"/>
              <w:bottom w:val="single" w:sz="6" w:space="0" w:color="000000"/>
              <w:right w:val="single" w:sz="6" w:space="0" w:color="000000"/>
            </w:tcBorders>
          </w:tcPr>
          <w:p w14:paraId="74C31CD5" w14:textId="514AD63D" w:rsidR="005D0503" w:rsidRDefault="005D0503" w:rsidP="005D0503">
            <w:pP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Не враховано.</w:t>
            </w:r>
          </w:p>
          <w:p w14:paraId="6E4A3CED" w14:textId="798EEAE2" w:rsidR="009A7100" w:rsidRPr="003864E7" w:rsidRDefault="005D0503" w:rsidP="005D0503">
            <w:pPr>
              <w:spacing w:after="0" w:line="240" w:lineRule="auto"/>
              <w:ind w:left="57" w:right="57"/>
              <w:jc w:val="both"/>
              <w:rPr>
                <w:rFonts w:ascii="Times New Roman" w:eastAsia="Times New Roman" w:hAnsi="Times New Roman" w:cs="Times New Roman"/>
              </w:rPr>
            </w:pPr>
            <w:r>
              <w:rPr>
                <w:rFonts w:ascii="Times New Roman" w:eastAsia="Times New Roman" w:hAnsi="Times New Roman" w:cs="Times New Roman"/>
              </w:rPr>
              <w:t>В розділі «Вступ» вже включено таке речення: «</w:t>
            </w:r>
            <w:r w:rsidRPr="005D0503">
              <w:rPr>
                <w:rFonts w:ascii="Times New Roman" w:eastAsia="Times New Roman" w:hAnsi="Times New Roman" w:cs="Times New Roman"/>
              </w:rPr>
              <w:t>Національний план дій з розвитку відновлюваної енергетики на період до 2030 року стане тим стратегічним документом, який визначить розвиток галузі на десятиріччя та увійде складовою частиною до Енергетичної Стратегії України та  Інтегрованого національного плану з питань енергетики та клімату на період до 2030 року, розробка якого передбачена Директивою ЄС 2018/2001.</w:t>
            </w:r>
            <w:r>
              <w:rPr>
                <w:rFonts w:ascii="Times New Roman" w:eastAsia="Times New Roman" w:hAnsi="Times New Roman" w:cs="Times New Roman"/>
              </w:rPr>
              <w:t>»</w:t>
            </w:r>
          </w:p>
        </w:tc>
      </w:tr>
    </w:tbl>
    <w:tbl>
      <w:tblPr>
        <w:tblStyle w:val="afffffff7"/>
        <w:tblW w:w="15466" w:type="dxa"/>
        <w:tblInd w:w="-30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43"/>
        <w:gridCol w:w="3969"/>
        <w:gridCol w:w="5954"/>
      </w:tblGrid>
      <w:tr w:rsidR="00B43B9E" w:rsidRPr="003864E7" w14:paraId="0A464384" w14:textId="77777777">
        <w:tc>
          <w:tcPr>
            <w:tcW w:w="15466" w:type="dxa"/>
            <w:gridSpan w:val="3"/>
            <w:tcBorders>
              <w:top w:val="single" w:sz="6" w:space="0" w:color="000000"/>
              <w:left w:val="single" w:sz="6" w:space="0" w:color="000000"/>
              <w:bottom w:val="single" w:sz="6" w:space="0" w:color="000000"/>
              <w:right w:val="single" w:sz="6" w:space="0" w:color="000000"/>
            </w:tcBorders>
          </w:tcPr>
          <w:p w14:paraId="5A0B9B00" w14:textId="77777777" w:rsidR="00B43B9E" w:rsidRPr="003864E7" w:rsidRDefault="00AF0BE5">
            <w:pPr>
              <w:pBdr>
                <w:top w:val="nil"/>
                <w:left w:val="nil"/>
                <w:bottom w:val="nil"/>
                <w:right w:val="nil"/>
                <w:between w:val="nil"/>
              </w:pBdr>
              <w:spacing w:after="0" w:line="240" w:lineRule="auto"/>
              <w:ind w:left="57" w:right="57" w:firstLine="558"/>
              <w:jc w:val="center"/>
              <w:rPr>
                <w:rFonts w:ascii="Times New Roman" w:eastAsia="Times New Roman" w:hAnsi="Times New Roman" w:cs="Times New Roman"/>
                <w:b/>
                <w:color w:val="000000"/>
              </w:rPr>
            </w:pPr>
            <w:r w:rsidRPr="003864E7">
              <w:rPr>
                <w:rFonts w:ascii="Times New Roman" w:eastAsia="Times New Roman" w:hAnsi="Times New Roman" w:cs="Times New Roman"/>
                <w:b/>
                <w:color w:val="000000"/>
              </w:rPr>
              <w:t>ДУ «Інститут економіки та прогнозування»</w:t>
            </w:r>
          </w:p>
        </w:tc>
      </w:tr>
      <w:tr w:rsidR="00B43B9E" w:rsidRPr="003864E7" w14:paraId="149858BF"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4498E3BD" w14:textId="77777777" w:rsidR="00B43B9E" w:rsidRPr="003864E7" w:rsidRDefault="00AF0BE5">
            <w:pPr>
              <w:spacing w:after="0" w:line="240" w:lineRule="auto"/>
              <w:ind w:left="57" w:right="57"/>
              <w:jc w:val="both"/>
              <w:rPr>
                <w:rFonts w:ascii="Times New Roman" w:eastAsia="Times New Roman" w:hAnsi="Times New Roman" w:cs="Times New Roman"/>
                <w:color w:val="000008"/>
              </w:rPr>
            </w:pPr>
            <w:r w:rsidRPr="003864E7">
              <w:rPr>
                <w:rFonts w:ascii="Times New Roman" w:eastAsia="Times New Roman" w:hAnsi="Times New Roman" w:cs="Times New Roman"/>
              </w:rPr>
              <w:t xml:space="preserve">Показники НПДЕЕ2030 включають в себе кінцеве споживання на тимчасово окупованих територіях окремих районів Донецької і Луганської областей та Автономної республіки Крим. В тексті затвердженого НПДЕЕ2030 про це ніде не зазначається, однак в звітах проєктів Енергетичного співтовариства, в рамках яких готувався НПДЕЕ2030, запропоновано припущення, що тимчасово окуповані території будуть повернуті під контроль Уряду України до 2025 року. Однак в Проєкті НПДВЕ2030 зазначається, що його показники не </w:t>
            </w:r>
            <w:r w:rsidRPr="003864E7">
              <w:rPr>
                <w:rFonts w:ascii="Times New Roman" w:eastAsia="Times New Roman" w:hAnsi="Times New Roman" w:cs="Times New Roman"/>
              </w:rPr>
              <w:lastRenderedPageBreak/>
              <w:t>враховують тимчасово окуповані території України, а відтак не відповідають даним НПДЕЕ2030</w:t>
            </w:r>
          </w:p>
        </w:tc>
        <w:tc>
          <w:tcPr>
            <w:tcW w:w="3969" w:type="dxa"/>
            <w:tcBorders>
              <w:top w:val="single" w:sz="6" w:space="0" w:color="000000"/>
              <w:left w:val="single" w:sz="6" w:space="0" w:color="000000"/>
              <w:bottom w:val="single" w:sz="6" w:space="0" w:color="000000"/>
              <w:right w:val="single" w:sz="6" w:space="0" w:color="000000"/>
            </w:tcBorders>
          </w:tcPr>
          <w:p w14:paraId="386599C2" w14:textId="77777777" w:rsidR="00B43B9E" w:rsidRPr="003864E7" w:rsidRDefault="00AF0BE5">
            <w:pPr>
              <w:shd w:val="clear" w:color="auto" w:fill="FFFFFF"/>
              <w:tabs>
                <w:tab w:val="left" w:pos="15168"/>
              </w:tabs>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Додаток 1 до проекту НПДВЕ 2030 «Очікуваний валовий кінцевий обсяг енергоспоживання до 2030 року»</w:t>
            </w:r>
          </w:p>
          <w:p w14:paraId="2CC887FC" w14:textId="77777777" w:rsidR="00B43B9E" w:rsidRPr="003864E7" w:rsidRDefault="00B43B9E">
            <w:pPr>
              <w:spacing w:after="0" w:line="240" w:lineRule="auto"/>
              <w:ind w:left="57" w:right="57" w:firstLine="708"/>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2415A697"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6DA4B2BD"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p>
          <w:p w14:paraId="6269EC3A"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 проекті акта передбачено перегляд показників розвитку відновлюваної енергетики після закінчення воєнних дій та інвентаризації стану енергетичної системи.</w:t>
            </w:r>
          </w:p>
        </w:tc>
      </w:tr>
      <w:tr w:rsidR="00B43B9E" w:rsidRPr="003864E7" w14:paraId="58A6E9C2"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33914B8A" w14:textId="77777777" w:rsidR="00B43B9E" w:rsidRPr="003864E7" w:rsidRDefault="00AF0BE5">
            <w:pPr>
              <w:spacing w:after="0" w:line="240" w:lineRule="auto"/>
              <w:ind w:left="57" w:right="57"/>
              <w:jc w:val="both"/>
              <w:rPr>
                <w:rFonts w:ascii="Times New Roman" w:eastAsia="Times New Roman" w:hAnsi="Times New Roman" w:cs="Times New Roman"/>
                <w:color w:val="000008"/>
              </w:rPr>
            </w:pPr>
            <w:r w:rsidRPr="003864E7">
              <w:rPr>
                <w:rFonts w:ascii="Times New Roman" w:eastAsia="Times New Roman" w:hAnsi="Times New Roman" w:cs="Times New Roman"/>
                <w:color w:val="000008"/>
              </w:rPr>
              <w:t>у проєкті вживається термін «рідких та газоподібних похідних біомаси» (с.20). У вітчизняному правовому полі відсутнє поняття «похідні біомаси», тож його доцільно замінити терміном вже наявним в законодавстві (напр., «біопаливо». Так, Законом України «Про альтернативні види палива» визначено, що «біологічні види палива (біопаливо) - тверде, рідке та газове паливо, виготовлене з біологічно відновлювальної сировини (біомаси), яке може використовуватися як паливо або компонент інших видів палива»)</w:t>
            </w:r>
          </w:p>
        </w:tc>
        <w:tc>
          <w:tcPr>
            <w:tcW w:w="3969" w:type="dxa"/>
            <w:tcBorders>
              <w:top w:val="single" w:sz="6" w:space="0" w:color="000000"/>
              <w:left w:val="single" w:sz="6" w:space="0" w:color="000000"/>
              <w:bottom w:val="single" w:sz="6" w:space="0" w:color="000000"/>
              <w:right w:val="single" w:sz="6" w:space="0" w:color="000000"/>
            </w:tcBorders>
          </w:tcPr>
          <w:p w14:paraId="680BB0CA" w14:textId="77777777" w:rsidR="00B43B9E" w:rsidRPr="003864E7" w:rsidRDefault="00AF0BE5">
            <w:pPr>
              <w:spacing w:after="0" w:line="240" w:lineRule="auto"/>
              <w:ind w:left="57" w:right="57"/>
              <w:jc w:val="center"/>
              <w:rPr>
                <w:rFonts w:ascii="Times New Roman" w:eastAsia="Times New Roman" w:hAnsi="Times New Roman" w:cs="Times New Roman"/>
              </w:rPr>
            </w:pPr>
            <w:r w:rsidRPr="003864E7">
              <w:rPr>
                <w:rFonts w:ascii="Times New Roman" w:eastAsia="Times New Roman" w:hAnsi="Times New Roman" w:cs="Times New Roman"/>
              </w:rPr>
              <w:t>сторінка 20 розділ «Використання відновлюваних джерел енергії в транспортному секторі»</w:t>
            </w:r>
          </w:p>
          <w:p w14:paraId="238A3669"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щодо застосування слів: </w:t>
            </w:r>
            <w:r w:rsidRPr="003864E7">
              <w:rPr>
                <w:rFonts w:ascii="Times New Roman" w:eastAsia="Times New Roman" w:hAnsi="Times New Roman" w:cs="Times New Roman"/>
                <w:color w:val="000008"/>
              </w:rPr>
              <w:t>«рідких та газоподібних похідних біомаси»</w:t>
            </w:r>
          </w:p>
        </w:tc>
        <w:tc>
          <w:tcPr>
            <w:tcW w:w="5954" w:type="dxa"/>
            <w:tcBorders>
              <w:top w:val="single" w:sz="6" w:space="0" w:color="000000"/>
              <w:left w:val="single" w:sz="6" w:space="0" w:color="000000"/>
              <w:bottom w:val="single" w:sz="6" w:space="0" w:color="000000"/>
              <w:right w:val="single" w:sz="6" w:space="0" w:color="000000"/>
            </w:tcBorders>
          </w:tcPr>
          <w:p w14:paraId="08562BBF"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Враховано.</w:t>
            </w:r>
          </w:p>
          <w:p w14:paraId="6CD8EA71"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rPr>
              <w:t>Пункт викладено у редакції “В умовах України використання енергії з відновлюваних джерел в транспортному секторі доцільно здійснювати за рахунок: електроенергії, виробленої з відновлюваних джерел; рідких та газоподібних біопалив; водню, виробленого з використанням електроенергії з відновлюваних джерел.”</w:t>
            </w:r>
          </w:p>
        </w:tc>
      </w:tr>
      <w:tr w:rsidR="00B43B9E" w:rsidRPr="003864E7" w14:paraId="568D1A74"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1662A94C" w14:textId="77777777" w:rsidR="00B43B9E" w:rsidRPr="003864E7" w:rsidRDefault="00AF0BE5">
            <w:pPr>
              <w:spacing w:after="0" w:line="240" w:lineRule="auto"/>
              <w:ind w:left="57" w:right="57"/>
              <w:jc w:val="both"/>
              <w:rPr>
                <w:rFonts w:ascii="Times New Roman" w:eastAsia="Times New Roman" w:hAnsi="Times New Roman" w:cs="Times New Roman"/>
                <w:color w:val="000008"/>
              </w:rPr>
            </w:pPr>
            <w:r w:rsidRPr="003864E7">
              <w:rPr>
                <w:rFonts w:ascii="Times New Roman" w:eastAsia="Times New Roman" w:hAnsi="Times New Roman" w:cs="Times New Roman"/>
                <w:color w:val="000008"/>
              </w:rPr>
              <w:t>у п. «Використання локального обладнання для виробництва енергії з відновлюваних джерел енергії» доцільно навести інформацію про наявну державну підтримку енергетичного машинобудування, яке існує у формі підтримки покупців/користувачів такого обладнання. В Україні цим інструментом є надбавка за місцеву складову;</w:t>
            </w:r>
          </w:p>
        </w:tc>
        <w:tc>
          <w:tcPr>
            <w:tcW w:w="3969" w:type="dxa"/>
            <w:tcBorders>
              <w:top w:val="single" w:sz="6" w:space="0" w:color="000000"/>
              <w:left w:val="single" w:sz="6" w:space="0" w:color="000000"/>
              <w:bottom w:val="single" w:sz="6" w:space="0" w:color="000000"/>
              <w:right w:val="single" w:sz="6" w:space="0" w:color="000000"/>
            </w:tcBorders>
          </w:tcPr>
          <w:p w14:paraId="620578B6"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локального обладнання для виробництва енергії з відновлюваних джерел енергії»</w:t>
            </w:r>
          </w:p>
          <w:p w14:paraId="06F4CF7D" w14:textId="77777777" w:rsidR="00B43B9E" w:rsidRPr="003864E7" w:rsidRDefault="00B43B9E">
            <w:pPr>
              <w:spacing w:after="0" w:line="240" w:lineRule="auto"/>
              <w:ind w:firstLine="709"/>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78C89B10"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42F1BEE8"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Розділ «Використання локального обладнання для виробництва енергії з відновлюваних джерел енергії» доповнено таким абзацом: </w:t>
            </w:r>
          </w:p>
          <w:p w14:paraId="4F359B21" w14:textId="77777777" w:rsidR="00B43B9E" w:rsidRPr="003864E7" w:rsidRDefault="00AF0BE5">
            <w:pPr>
              <w:spacing w:before="240" w:after="80" w:line="240" w:lineRule="auto"/>
              <w:ind w:firstLine="700"/>
              <w:jc w:val="both"/>
              <w:rPr>
                <w:rFonts w:ascii="Times New Roman" w:eastAsia="Times New Roman" w:hAnsi="Times New Roman" w:cs="Times New Roman"/>
              </w:rPr>
            </w:pPr>
            <w:r w:rsidRPr="003864E7">
              <w:rPr>
                <w:rFonts w:ascii="Times New Roman" w:eastAsia="Times New Roman" w:hAnsi="Times New Roman" w:cs="Times New Roman"/>
              </w:rPr>
              <w:t>“Одним з інструментів стимулювання  виробництва українського обладнання сфери відновлюваної електроенергетики є надбавка до «зеленого» тарифу чи до аукціонної ціни за дотримання на електростанції відповідного рівня використання обладнання українського виробництва.”</w:t>
            </w:r>
          </w:p>
        </w:tc>
      </w:tr>
      <w:tr w:rsidR="00B43B9E" w:rsidRPr="003864E7" w14:paraId="68C8BC62"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7E3CA955"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на с. 30 в першому абзаці зазначені терміни експлуатації обладнання («20-25 років вітрові та сонячні електростанції»). В третьому абзаці на цій же сторінці заначено, що «Враховуючи те, що у середньому термін експлуатації сонячних модулів становить 25-30 років,…». Бажано усунути невідповідність. Сучасні сонячні електростанції можуть мати строк продуктивної експлуатації 25-30 років, а іноземна наукова література визначає термін експлуатації до 40 років;</w:t>
            </w:r>
          </w:p>
        </w:tc>
        <w:tc>
          <w:tcPr>
            <w:tcW w:w="3969" w:type="dxa"/>
            <w:tcBorders>
              <w:top w:val="single" w:sz="6" w:space="0" w:color="000000"/>
              <w:left w:val="single" w:sz="6" w:space="0" w:color="000000"/>
              <w:bottom w:val="single" w:sz="6" w:space="0" w:color="000000"/>
              <w:right w:val="single" w:sz="6" w:space="0" w:color="000000"/>
            </w:tcBorders>
          </w:tcPr>
          <w:p w14:paraId="78390FDF" w14:textId="77777777" w:rsidR="00B43B9E" w:rsidRPr="003864E7" w:rsidRDefault="00AF0BE5">
            <w:pPr>
              <w:spacing w:after="0" w:line="240" w:lineRule="auto"/>
              <w:ind w:firstLine="709"/>
              <w:jc w:val="center"/>
              <w:rPr>
                <w:rFonts w:ascii="Times New Roman" w:eastAsia="Times New Roman" w:hAnsi="Times New Roman" w:cs="Times New Roman"/>
              </w:rPr>
            </w:pPr>
            <w:r w:rsidRPr="003864E7">
              <w:rPr>
                <w:rFonts w:ascii="Times New Roman" w:eastAsia="Times New Roman" w:hAnsi="Times New Roman" w:cs="Times New Roman"/>
              </w:rPr>
              <w:t>Абзац в розділі «Використання локального обладнання для виробництва енергії з відновлюваних джерел енергії»</w:t>
            </w:r>
          </w:p>
          <w:p w14:paraId="4022D0BA" w14:textId="77777777" w:rsidR="00B43B9E" w:rsidRPr="003864E7" w:rsidRDefault="00AF0BE5">
            <w:pPr>
              <w:spacing w:after="80"/>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«Враховуючи те, що потреба в «зеленій» енергії зростатиме відповідно зростатиме і потреба у обладнанні для виробництва енергії з відновлюваних джерел енергії, систем накопичення енергії, балансуючих потужностей тощо. Оскільки таке обладнання має кінцевий строк експлуатації (20-25 років вітрові та сонячні електростанції, </w:t>
            </w:r>
            <w:r w:rsidRPr="003864E7">
              <w:rPr>
                <w:rFonts w:ascii="Times New Roman" w:eastAsia="Times New Roman" w:hAnsi="Times New Roman" w:cs="Times New Roman"/>
              </w:rPr>
              <w:lastRenderedPageBreak/>
              <w:t xml:space="preserve">7-10 років системи накопичення енергії), Україна зацікавлена у створенні на своїй території потужностей для виробництва вітчизняного обладнання. Це дозволить створити нові робочі місця в середині держави та зменшити імпортну залежність від поставок обладнання. </w:t>
            </w:r>
          </w:p>
        </w:tc>
        <w:tc>
          <w:tcPr>
            <w:tcW w:w="5954" w:type="dxa"/>
            <w:tcBorders>
              <w:top w:val="single" w:sz="6" w:space="0" w:color="000000"/>
              <w:left w:val="single" w:sz="6" w:space="0" w:color="000000"/>
              <w:bottom w:val="single" w:sz="6" w:space="0" w:color="000000"/>
              <w:right w:val="single" w:sz="6" w:space="0" w:color="000000"/>
            </w:tcBorders>
          </w:tcPr>
          <w:p w14:paraId="12AE4D02"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w:t>
            </w:r>
          </w:p>
          <w:p w14:paraId="43CD0C9C" w14:textId="77777777" w:rsidR="00B43B9E" w:rsidRPr="003864E7" w:rsidRDefault="00AF0BE5">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Цифри та слова в дужках абзацу в розділі «Використання локального обладнання для виробництва енергії з відновлюваних джерел енергії» викладено у такій редакції: «(25-30 років вітрові та сонячні електростанції, 7-10 років системи накопичення енергії)»</w:t>
            </w:r>
          </w:p>
          <w:p w14:paraId="2C699012" w14:textId="77777777" w:rsidR="00B43B9E" w:rsidRPr="003864E7" w:rsidRDefault="00B43B9E">
            <w:pPr>
              <w:spacing w:after="0" w:line="240" w:lineRule="auto"/>
              <w:jc w:val="both"/>
              <w:rPr>
                <w:rFonts w:ascii="Times New Roman" w:eastAsia="Times New Roman" w:hAnsi="Times New Roman" w:cs="Times New Roman"/>
              </w:rPr>
            </w:pPr>
          </w:p>
        </w:tc>
      </w:tr>
      <w:tr w:rsidR="00B43B9E" w:rsidRPr="003864E7" w14:paraId="1F6C70C9" w14:textId="77777777" w:rsidTr="00943A0E">
        <w:trPr>
          <w:trHeight w:val="1431"/>
        </w:trPr>
        <w:tc>
          <w:tcPr>
            <w:tcW w:w="5543" w:type="dxa"/>
            <w:tcBorders>
              <w:top w:val="single" w:sz="6" w:space="0" w:color="000000"/>
              <w:left w:val="single" w:sz="6" w:space="0" w:color="000000"/>
              <w:bottom w:val="single" w:sz="6" w:space="0" w:color="000000"/>
              <w:right w:val="single" w:sz="6" w:space="0" w:color="000000"/>
            </w:tcBorders>
          </w:tcPr>
          <w:p w14:paraId="77EFDE21"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 xml:space="preserve">у Додатку 5 наведено дані про встановлені потужності електрогенеруючого обладнання та їхнє очікуване валове виробництво електроенергії. На основі цих даних можна стверджувати, що коефіцієнт використання встановленої потужності (КВВП) промислових СЕС та наземних ВЕС зростатиме, в той час як КВВП домашніх СЕС у 2023-2030 рр. знизиться до 9% (порівняно з 11% у 2020 р. та 10% у 2021-2022 рр.). Аналогічно передбачається зниження КВВП ГЕС до 10 МВт (26% у 2021-2022 рр. та 24% у 2023-2030 рр.). КВВП ГЕС понад 10 МВт становить 19% у 2021 р., після чого знизиться до 17% у 2022-2030 рр. Відповідно, необхідно </w:t>
            </w:r>
            <w:r w:rsidRPr="003864E7">
              <w:rPr>
                <w:rFonts w:ascii="Times New Roman" w:eastAsia="Times New Roman" w:hAnsi="Times New Roman" w:cs="Times New Roman"/>
              </w:rPr>
              <w:t>переглянути прогноз виробництва електроенергії цими потужностями;</w:t>
            </w:r>
          </w:p>
          <w:p w14:paraId="482992B8" w14:textId="77777777" w:rsidR="00B43B9E" w:rsidRPr="003864E7" w:rsidRDefault="00B43B9E">
            <w:pPr>
              <w:spacing w:after="0" w:line="240" w:lineRule="auto"/>
              <w:ind w:left="57" w:right="57"/>
              <w:rPr>
                <w:rFonts w:ascii="Times New Roman" w:eastAsia="Times New Roman" w:hAnsi="Times New Roman" w:cs="Times New Roman"/>
                <w:color w:val="000008"/>
              </w:rPr>
            </w:pPr>
          </w:p>
        </w:tc>
        <w:tc>
          <w:tcPr>
            <w:tcW w:w="3969" w:type="dxa"/>
            <w:tcBorders>
              <w:top w:val="single" w:sz="6" w:space="0" w:color="000000"/>
              <w:left w:val="single" w:sz="6" w:space="0" w:color="000000"/>
              <w:bottom w:val="single" w:sz="6" w:space="0" w:color="000000"/>
              <w:right w:val="single" w:sz="6" w:space="0" w:color="000000"/>
            </w:tcBorders>
          </w:tcPr>
          <w:p w14:paraId="7DEE8B0F" w14:textId="77777777" w:rsidR="00B43B9E" w:rsidRPr="003864E7" w:rsidRDefault="00AF0BE5">
            <w:pPr>
              <w:shd w:val="clear" w:color="auto" w:fill="FFFFFF"/>
              <w:spacing w:after="0" w:line="240" w:lineRule="auto"/>
              <w:ind w:right="448"/>
              <w:jc w:val="right"/>
              <w:rPr>
                <w:rFonts w:ascii="Times New Roman" w:eastAsia="Times New Roman" w:hAnsi="Times New Roman" w:cs="Times New Roman"/>
              </w:rPr>
            </w:pPr>
            <w:r w:rsidRPr="003864E7">
              <w:rPr>
                <w:rFonts w:ascii="Times New Roman" w:eastAsia="Times New Roman" w:hAnsi="Times New Roman" w:cs="Times New Roman"/>
              </w:rPr>
              <w:t xml:space="preserve">Додаток 5 до проекту НПДВЕ 2030 </w:t>
            </w:r>
          </w:p>
          <w:p w14:paraId="4359C612" w14:textId="77777777" w:rsidR="00B43B9E" w:rsidRPr="003864E7" w:rsidRDefault="00B43B9E">
            <w:pPr>
              <w:shd w:val="clear" w:color="auto" w:fill="FFFFFF"/>
              <w:spacing w:after="0" w:line="240" w:lineRule="auto"/>
              <w:ind w:left="450" w:right="448"/>
              <w:jc w:val="center"/>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661071AF"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rPr>
              <w:t>Частково в</w:t>
            </w:r>
            <w:r w:rsidRPr="003864E7">
              <w:rPr>
                <w:rFonts w:ascii="Times New Roman" w:eastAsia="Times New Roman" w:hAnsi="Times New Roman" w:cs="Times New Roman"/>
                <w:color w:val="000000"/>
              </w:rPr>
              <w:t>раховано</w:t>
            </w:r>
          </w:p>
          <w:p w14:paraId="1FE63BEA"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p>
          <w:p w14:paraId="5E9544B7"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Враховано в частиін виправлення прогнозних показинків потужностей сонячної енергетики відповідно до збільшення питомого виробництва електроенергії за 1 МВт потужності.</w:t>
            </w:r>
          </w:p>
          <w:p w14:paraId="1F7A0FFA"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p>
          <w:p w14:paraId="28C3A816"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Неварховано в частині перегляду прогнозних показників потужностей ГЕС.</w:t>
            </w:r>
          </w:p>
          <w:p w14:paraId="75142BA8"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 xml:space="preserve">Оскільки робота ГЕС залежить від водності річок, її коливання неможливо спрогнозувати. Так, у 2019 році був мінімум дебету річок і питоме річне виробництво електроенергії ГЕС на 1 МВт склало лише 1,33 млн кВт*год. </w:t>
            </w:r>
          </w:p>
          <w:p w14:paraId="21DBB9CE"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В прогнозах показниках робоит ГЕС було прийнято значення питомого річного виробництва електроенергії на рівні 1,46 млн кВт*год за 1 МВт.</w:t>
            </w:r>
          </w:p>
          <w:p w14:paraId="0573CB5D"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p>
          <w:p w14:paraId="464D52C0" w14:textId="77777777" w:rsidR="00B43B9E" w:rsidRPr="003864E7" w:rsidRDefault="00AF0BE5">
            <w:pP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Показники проекту НПДВЕ 2030 погоджено з Міненерго, а також були узгоджені на засіданнях Робочої групи з розробки НПДВЕ 2030.</w:t>
            </w:r>
          </w:p>
        </w:tc>
      </w:tr>
      <w:tr w:rsidR="00B43B9E" w:rsidRPr="003864E7" w14:paraId="2A71F6B1" w14:textId="77777777" w:rsidTr="00943A0E">
        <w:trPr>
          <w:trHeight w:val="1737"/>
        </w:trPr>
        <w:tc>
          <w:tcPr>
            <w:tcW w:w="5543" w:type="dxa"/>
            <w:tcBorders>
              <w:top w:val="single" w:sz="6" w:space="0" w:color="000000"/>
              <w:left w:val="single" w:sz="6" w:space="0" w:color="000000"/>
              <w:bottom w:val="single" w:sz="6" w:space="0" w:color="000000"/>
              <w:right w:val="single" w:sz="6" w:space="0" w:color="000000"/>
            </w:tcBorders>
          </w:tcPr>
          <w:p w14:paraId="1E2F8B1D"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за умови наявної фрагментарної регуляторної підтримки галузі вбачається недостатньо реалістичним більш ніж двократне зростання споживання біоетанолу (51,1 тис тне у 2020 р. та 110 тис тне у 2021 р.);</w:t>
            </w:r>
          </w:p>
        </w:tc>
        <w:tc>
          <w:tcPr>
            <w:tcW w:w="3969" w:type="dxa"/>
            <w:tcBorders>
              <w:top w:val="single" w:sz="6" w:space="0" w:color="000000"/>
              <w:left w:val="single" w:sz="6" w:space="0" w:color="000000"/>
              <w:bottom w:val="single" w:sz="6" w:space="0" w:color="000000"/>
              <w:right w:val="single" w:sz="6" w:space="0" w:color="000000"/>
            </w:tcBorders>
          </w:tcPr>
          <w:p w14:paraId="20F8A4F0" w14:textId="77777777" w:rsidR="00B43B9E" w:rsidRPr="003864E7" w:rsidRDefault="00AF0BE5">
            <w:pPr>
              <w:shd w:val="clear" w:color="auto" w:fill="FFFFFF"/>
              <w:spacing w:after="0" w:line="240" w:lineRule="auto"/>
              <w:ind w:right="283"/>
              <w:jc w:val="center"/>
              <w:rPr>
                <w:rFonts w:ascii="Times New Roman" w:eastAsia="Times New Roman" w:hAnsi="Times New Roman" w:cs="Times New Roman"/>
              </w:rPr>
            </w:pPr>
            <w:r w:rsidRPr="003864E7">
              <w:rPr>
                <w:rFonts w:ascii="Times New Roman" w:eastAsia="Times New Roman" w:hAnsi="Times New Roman" w:cs="Times New Roman"/>
              </w:rPr>
              <w:t>Додаток 6 до проекту НПДВЕ 2030 Розрахункова частка відновлюваної енергії у транспортному секторі</w:t>
            </w:r>
          </w:p>
        </w:tc>
        <w:tc>
          <w:tcPr>
            <w:tcW w:w="5954" w:type="dxa"/>
            <w:tcBorders>
              <w:top w:val="single" w:sz="6" w:space="0" w:color="000000"/>
              <w:left w:val="single" w:sz="6" w:space="0" w:color="000000"/>
              <w:bottom w:val="single" w:sz="6" w:space="0" w:color="000000"/>
              <w:right w:val="single" w:sz="6" w:space="0" w:color="000000"/>
            </w:tcBorders>
          </w:tcPr>
          <w:p w14:paraId="7DDC5703" w14:textId="77777777" w:rsidR="00B43B9E" w:rsidRPr="003864E7" w:rsidRDefault="00AF0BE5">
            <w:pPr>
              <w:spacing w:after="0" w:line="240" w:lineRule="auto"/>
              <w:ind w:left="60" w:right="57" w:firstLine="365"/>
              <w:jc w:val="both"/>
              <w:rPr>
                <w:rFonts w:ascii="Times New Roman" w:eastAsia="Times New Roman" w:hAnsi="Times New Roman" w:cs="Times New Roman"/>
              </w:rPr>
            </w:pPr>
            <w:r w:rsidRPr="003864E7">
              <w:rPr>
                <w:rFonts w:ascii="Times New Roman" w:eastAsia="Times New Roman" w:hAnsi="Times New Roman" w:cs="Times New Roman"/>
              </w:rPr>
              <w:t>Враховано .</w:t>
            </w:r>
          </w:p>
          <w:p w14:paraId="09030767" w14:textId="77777777" w:rsidR="00B43B9E" w:rsidRPr="003864E7" w:rsidRDefault="00B43B9E">
            <w:pPr>
              <w:spacing w:after="0" w:line="240" w:lineRule="auto"/>
              <w:ind w:left="60" w:right="57" w:firstLine="365"/>
              <w:jc w:val="both"/>
              <w:rPr>
                <w:rFonts w:ascii="Times New Roman" w:eastAsia="Times New Roman" w:hAnsi="Times New Roman" w:cs="Times New Roman"/>
                <w:color w:val="FF0000"/>
              </w:rPr>
            </w:pPr>
          </w:p>
          <w:p w14:paraId="543FB0E4" w14:textId="77777777" w:rsidR="00B43B9E" w:rsidRPr="003864E7" w:rsidRDefault="00AF0BE5">
            <w:pPr>
              <w:spacing w:after="0" w:line="240" w:lineRule="auto"/>
              <w:ind w:left="60" w:right="57" w:firstLine="365"/>
              <w:jc w:val="both"/>
              <w:rPr>
                <w:rFonts w:ascii="Times New Roman" w:eastAsia="Times New Roman" w:hAnsi="Times New Roman" w:cs="Times New Roman"/>
              </w:rPr>
            </w:pPr>
            <w:r w:rsidRPr="003864E7">
              <w:rPr>
                <w:rFonts w:ascii="Times New Roman" w:eastAsia="Times New Roman" w:hAnsi="Times New Roman" w:cs="Times New Roman"/>
              </w:rPr>
              <w:t>Показники Додатку 6 щодо використання біоетанолу у 2021 році зменшено та встановлено на рівні 2019 року -  85 тис. т н.е.</w:t>
            </w:r>
          </w:p>
        </w:tc>
      </w:tr>
      <w:tr w:rsidR="00B43B9E" w:rsidRPr="003864E7" w14:paraId="737BAE88"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7111B24C"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lastRenderedPageBreak/>
              <w:t>при доопрацюванні Проєкту пропонується також врахувати такі редакційні пропозиції:</w:t>
            </w:r>
          </w:p>
          <w:p w14:paraId="4EF2112F"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t xml:space="preserve">С.1 – «Перед Україною, як і перед іншими країнами світу, зважаючи на глобальні зміни клімату, забруднення навколишнього середовища та зменшення біорізноманіття, актуальним постало питання </w:t>
            </w:r>
            <w:r w:rsidRPr="003864E7">
              <w:rPr>
                <w:rFonts w:ascii="Times New Roman" w:eastAsia="Times New Roman" w:hAnsi="Times New Roman" w:cs="Times New Roman"/>
                <w:strike/>
              </w:rPr>
              <w:t>досягнення</w:t>
            </w:r>
            <w:r w:rsidRPr="003864E7">
              <w:rPr>
                <w:rFonts w:ascii="Times New Roman" w:eastAsia="Times New Roman" w:hAnsi="Times New Roman" w:cs="Times New Roman"/>
              </w:rPr>
              <w:t xml:space="preserve"> сталого розвитку»</w:t>
            </w:r>
          </w:p>
          <w:p w14:paraId="378A106A"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t xml:space="preserve">С.1 – «Використання відновлюваних джерел енергії є одним із найбільш важливих напрямів енергетичної політики України, спрямованої на заощадження традиційних паливно-енергетичних ресурсів, поліпшення стану </w:t>
            </w:r>
            <w:r w:rsidRPr="003864E7">
              <w:rPr>
                <w:rFonts w:ascii="Times New Roman" w:eastAsia="Times New Roman" w:hAnsi="Times New Roman" w:cs="Times New Roman"/>
                <w:strike/>
              </w:rPr>
              <w:t xml:space="preserve">оточуючого </w:t>
            </w:r>
            <w:r w:rsidRPr="003864E7">
              <w:rPr>
                <w:rFonts w:ascii="Times New Roman" w:eastAsia="Times New Roman" w:hAnsi="Times New Roman" w:cs="Times New Roman"/>
              </w:rPr>
              <w:t>навколишнього природного середовища, запобігання зміні клімату».</w:t>
            </w:r>
          </w:p>
          <w:p w14:paraId="46A49244"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t>C.4, абзац 1 – зайвий, або матеріал викладений недостатньо послідовно (немає логічного зв’язку з наступними параграфами);</w:t>
            </w:r>
          </w:p>
          <w:p w14:paraId="328C19CA"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t>С.5 – «Зростання обсягів встановленої потужності та обсягів генерації об’єктами відновлюваної електроенергетики протягом 2014-2020 років в Україні відбувалося завдяки створенню державою правових, організаційних та економічних стимулів, а саме запровадженню моделі фіксованого «зеленого» тарифу Законом України «Про альтернативні джерела енергії»».</w:t>
            </w:r>
          </w:p>
          <w:p w14:paraId="43C6211D"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t>С.6 – «Окрім фінансових викликів мають місце ризики технічного характеру, пов’язані зі складністю забезпечення операційної безпеки об’єднаної енергетичної системи України в умовах суттєвої частки відновлюваних джерел енергії.»</w:t>
            </w:r>
          </w:p>
          <w:p w14:paraId="22F1415C"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t>С.7-9 – текст може бути оптимізовано або навіть видалено, що не призведе до втрати змісту і актуальності НПДЕЕ2030.</w:t>
            </w:r>
          </w:p>
          <w:p w14:paraId="1C652883"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t>С.8 – «Одночасно такі виробники матимуть право на отримання від гарантованого покупця надбавки у вигляді різниці між встановленим «зеленим» тарифом або аукціонною ціною та розрахунковою ринковою ціною.»</w:t>
            </w:r>
          </w:p>
          <w:p w14:paraId="6FCFE501"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lastRenderedPageBreak/>
              <w:t>С.9 – «Враховуючи тенденції до будівництва споживачами енергії об’єктів відновлюваної енергетики для покриття власного споживання, гарантії походження електричної енергії з відновлюваних джерел енергії мають також видаватися споживачам на електроенергію, яка не відпущена в мережу».</w:t>
            </w:r>
          </w:p>
          <w:p w14:paraId="15915924"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t xml:space="preserve">С.11 – «Планується, що виробництво електричної енергії з енергії сонячного випромінювання може бути збільшено до 10,5 ТВт*год у 2030 році (загальною потужністю близько 10 ГВт, з яких 7 ГВт промислових виробників та 3ГВт домогосподарств). </w:t>
            </w:r>
          </w:p>
        </w:tc>
        <w:tc>
          <w:tcPr>
            <w:tcW w:w="3969" w:type="dxa"/>
            <w:tcBorders>
              <w:top w:val="single" w:sz="6" w:space="0" w:color="000000"/>
              <w:left w:val="single" w:sz="6" w:space="0" w:color="000000"/>
              <w:bottom w:val="single" w:sz="6" w:space="0" w:color="000000"/>
              <w:right w:val="single" w:sz="6" w:space="0" w:color="000000"/>
            </w:tcBorders>
          </w:tcPr>
          <w:p w14:paraId="041584A3"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Пропозиції до тексту проекту НПД ВЕ 2030</w:t>
            </w:r>
          </w:p>
        </w:tc>
        <w:tc>
          <w:tcPr>
            <w:tcW w:w="5954" w:type="dxa"/>
            <w:tcBorders>
              <w:top w:val="single" w:sz="6" w:space="0" w:color="000000"/>
              <w:left w:val="single" w:sz="6" w:space="0" w:color="000000"/>
              <w:bottom w:val="single" w:sz="6" w:space="0" w:color="000000"/>
              <w:right w:val="single" w:sz="6" w:space="0" w:color="000000"/>
            </w:tcBorders>
          </w:tcPr>
          <w:p w14:paraId="488E0A6D"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0C32CDB2"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Текст викладено у такій редакції:</w:t>
            </w:r>
          </w:p>
          <w:p w14:paraId="1409CDD4"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t>речення на ст. 1 – «Перед Україною, як і перед іншими країнами світу, зважаючи на глобальні зміни клімату, забруднення навколишнього природного середовища та зменшення біорізноманіття, актуальним постало питання сталого розвитку»</w:t>
            </w:r>
          </w:p>
          <w:p w14:paraId="5729FF47"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t>речення на ст. 1 – «Використання відновлюваних джерел енергії є одним із найбільш важливих напрямів енергетичної політики України, спрямованої на заощадження традиційних паливно-енергетичних ресурсів, поліпшення стану</w:t>
            </w:r>
            <w:r w:rsidRPr="003864E7">
              <w:rPr>
                <w:rFonts w:ascii="Times New Roman" w:eastAsia="Times New Roman" w:hAnsi="Times New Roman" w:cs="Times New Roman"/>
                <w:strike/>
              </w:rPr>
              <w:t xml:space="preserve"> </w:t>
            </w:r>
            <w:r w:rsidRPr="003864E7">
              <w:rPr>
                <w:rFonts w:ascii="Times New Roman" w:eastAsia="Times New Roman" w:hAnsi="Times New Roman" w:cs="Times New Roman"/>
              </w:rPr>
              <w:t>навколишнього природного середовища, запобігання зміні клімату».</w:t>
            </w:r>
          </w:p>
          <w:p w14:paraId="013328A7"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 абзац на ст. 4 - «Директивою ЄС від 11.12.2018 2018/2001  «Про заохочення використання енергії з відновлюваних джерел» встановлено ціль для Європейського Союзу до 2030 року на рівні 32 % частки енергії з відновлюваних джерел у валовому кінцевому споживанні енергії</w:t>
            </w:r>
            <w:r w:rsidRPr="003864E7">
              <w:rPr>
                <w:rFonts w:ascii="Times New Roman" w:eastAsia="Times New Roman" w:hAnsi="Times New Roman" w:cs="Times New Roman"/>
              </w:rPr>
              <w:t>. Наразі Європейською Комісією зважаючи на наслідки російської агресії розглядається питання підвищення зазначеної цілі до 40 %.»</w:t>
            </w:r>
          </w:p>
          <w:p w14:paraId="22AB4AB0"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t>речення ст. 5 – «Зростання обсягів встановленої потужності та обсягів генерації об’єктами відновлюваної електроенергетики протягом 2014-2020 років в Україні відбувалося завдяки створенню державою правових, організаційних та економічних стимулів, а саме запровадженню моделі фіксованого «зеленого» тарифу Законом України «Про альтернативні джерела енергії»».</w:t>
            </w:r>
          </w:p>
          <w:p w14:paraId="205D0860"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t>речення ст 6 – «Окрім фінансових викликів мають місце ризики технічного характеру, пов’язані зі складністю забезпечення операційної безпеки об’єднаної енергетичної системи України в умовах суттєвої частки відновлюваних джерел енергії.»</w:t>
            </w:r>
          </w:p>
          <w:p w14:paraId="2C16FFF7"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t>текст на ст.7-9 скорочено.</w:t>
            </w:r>
          </w:p>
          <w:p w14:paraId="09666197"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t>речення на ст 8 – «Одночасно такі виробники матимуть право на отримання від гарантованого покупця надбавки у вигляді різниці між встановленим «зеленим» тарифом або аукціонною ціною та розрахунковою ринковою ціною.»</w:t>
            </w:r>
          </w:p>
          <w:p w14:paraId="37BA9830" w14:textId="77777777" w:rsidR="00B43B9E" w:rsidRPr="003864E7" w:rsidRDefault="00AF0BE5">
            <w:pPr>
              <w:tabs>
                <w:tab w:val="left" w:pos="406"/>
              </w:tabs>
              <w:spacing w:after="0" w:line="240" w:lineRule="auto"/>
              <w:ind w:right="139"/>
              <w:jc w:val="both"/>
              <w:rPr>
                <w:rFonts w:ascii="Times New Roman" w:eastAsia="Times New Roman" w:hAnsi="Times New Roman" w:cs="Times New Roman"/>
              </w:rPr>
            </w:pPr>
            <w:r w:rsidRPr="003864E7">
              <w:rPr>
                <w:rFonts w:ascii="Times New Roman" w:eastAsia="Times New Roman" w:hAnsi="Times New Roman" w:cs="Times New Roman"/>
              </w:rPr>
              <w:lastRenderedPageBreak/>
              <w:t>речення на ст. 9 – «Враховуючи тенденції до будівництва споживачами енергії об’єктів відновлюваної енергетики для покриття власного споживання, гарантії походження електричної енергії з відновлюваних джерел енергії мають також видаватися споживачам на електроенергію, яка не відпущена в мережу».</w:t>
            </w:r>
          </w:p>
          <w:p w14:paraId="0C6D3FB9"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rPr>
              <w:t xml:space="preserve">речення на ст. </w:t>
            </w:r>
            <w:r w:rsidRPr="003864E7">
              <w:rPr>
                <w:rFonts w:ascii="Times New Roman" w:eastAsia="Times New Roman" w:hAnsi="Times New Roman" w:cs="Times New Roman"/>
                <w:color w:val="000000"/>
              </w:rPr>
              <w:t>11 – «Планується, що виробництво електричної енергії з енергії сонячного випромінювання може бути збільшено до 10,5 ТВт*год у 2030 році (загальною потужністю близько 10 ГВт, з яких 7 ГВт промислових виробників та 3ГВт сп</w:t>
            </w:r>
            <w:r w:rsidRPr="003864E7">
              <w:rPr>
                <w:rFonts w:ascii="Times New Roman" w:eastAsia="Times New Roman" w:hAnsi="Times New Roman" w:cs="Times New Roman"/>
              </w:rPr>
              <w:t xml:space="preserve">оживачів, у тому числі. </w:t>
            </w:r>
            <w:r w:rsidRPr="003864E7">
              <w:rPr>
                <w:rFonts w:ascii="Times New Roman" w:eastAsia="Times New Roman" w:hAnsi="Times New Roman" w:cs="Times New Roman"/>
                <w:color w:val="000000"/>
              </w:rPr>
              <w:t>домогосподарств).</w:t>
            </w:r>
          </w:p>
          <w:p w14:paraId="56324292"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6130B4E0"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2497ED6A"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bl>
    <w:tbl>
      <w:tblPr>
        <w:tblStyle w:val="afffffff8"/>
        <w:tblW w:w="15452" w:type="dxa"/>
        <w:tblInd w:w="-29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29"/>
        <w:gridCol w:w="3969"/>
        <w:gridCol w:w="5954"/>
      </w:tblGrid>
      <w:tr w:rsidR="00B43B9E" w:rsidRPr="003864E7" w14:paraId="1C582160"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367E8164" w14:textId="77777777" w:rsidR="00B43B9E" w:rsidRPr="003864E7" w:rsidRDefault="00AF0BE5">
            <w:pPr>
              <w:spacing w:after="0" w:line="240" w:lineRule="auto"/>
              <w:ind w:left="57" w:right="57"/>
              <w:jc w:val="both"/>
              <w:rPr>
                <w:rFonts w:ascii="Times New Roman" w:eastAsia="Times New Roman" w:hAnsi="Times New Roman" w:cs="Times New Roman"/>
                <w:color w:val="000008"/>
              </w:rPr>
            </w:pPr>
            <w:r w:rsidRPr="003864E7">
              <w:rPr>
                <w:rFonts w:ascii="Times New Roman" w:eastAsia="Times New Roman" w:hAnsi="Times New Roman" w:cs="Times New Roman"/>
                <w:color w:val="000008"/>
              </w:rPr>
              <w:t>На сторінці 4 зазначається, що проведення розрахунків показників розвитку відновлюваної енергетики на період до 2030 року в межах підготовки НПДВЕ2030 було отримано шляхом проведення моделювання з використанням прогнозних показників економічного розвитку держави, можливості відповідної інфраструктури, доступності енергії для населення, попиту на електроенергію тощо. Однак, відсутність детальної інформації щодо використаних моделей не дає можливості оцінити достовірність розрахунку відповідних показників. Крім того, не зрозумілим є як зміниться структура кінцевого споживання та виробництва електроенергії та тепла, якщо будуть досягнуті запропоновані частки ВДЕ за напрямами їх використання</w:t>
            </w:r>
          </w:p>
        </w:tc>
        <w:tc>
          <w:tcPr>
            <w:tcW w:w="3969" w:type="dxa"/>
            <w:tcBorders>
              <w:top w:val="single" w:sz="6" w:space="0" w:color="000000"/>
              <w:left w:val="single" w:sz="6" w:space="0" w:color="000000"/>
              <w:bottom w:val="single" w:sz="6" w:space="0" w:color="000000"/>
              <w:right w:val="single" w:sz="6" w:space="0" w:color="000000"/>
            </w:tcBorders>
          </w:tcPr>
          <w:p w14:paraId="2E36A562"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Сторінка 4 проекту НПДВЕ 2030</w:t>
            </w:r>
          </w:p>
        </w:tc>
        <w:tc>
          <w:tcPr>
            <w:tcW w:w="5954" w:type="dxa"/>
            <w:tcBorders>
              <w:top w:val="single" w:sz="6" w:space="0" w:color="000000"/>
              <w:left w:val="single" w:sz="6" w:space="0" w:color="000000"/>
              <w:bottom w:val="single" w:sz="6" w:space="0" w:color="000000"/>
              <w:right w:val="single" w:sz="6" w:space="0" w:color="000000"/>
            </w:tcBorders>
          </w:tcPr>
          <w:p w14:paraId="01736218"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4286DCC1"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Показники проекту НПДВЕ 2030 погоджено з Міненерго та Мінрегіоном, а також були узгоджені на засіданнях Робочих груп з розробки НПДВЕ 2030.</w:t>
            </w:r>
          </w:p>
          <w:p w14:paraId="4ACFAE22"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350E1F5D"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7C051D3D"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Розрахунки показників проекту НПДВЕ2030 базуються на показниках енергоефективного сценарію Національного плану дій з енергоефективності на період до 2030 року (НПДЕЕ2030), однак, останній не враховував такі частки ВДЕ, а відтак показники валового кінцевого енергоспоживання можуть змінитися як в сторону зростання, так і падіння</w:t>
            </w:r>
          </w:p>
        </w:tc>
        <w:tc>
          <w:tcPr>
            <w:tcW w:w="3969" w:type="dxa"/>
            <w:tcBorders>
              <w:top w:val="single" w:sz="6" w:space="0" w:color="000000"/>
              <w:left w:val="single" w:sz="6" w:space="0" w:color="000000"/>
              <w:bottom w:val="single" w:sz="6" w:space="0" w:color="000000"/>
              <w:right w:val="single" w:sz="6" w:space="0" w:color="000000"/>
            </w:tcBorders>
          </w:tcPr>
          <w:p w14:paraId="6B3FA44B" w14:textId="77777777" w:rsidR="00B43B9E" w:rsidRPr="003864E7" w:rsidRDefault="00AF0BE5">
            <w:pPr>
              <w:shd w:val="clear" w:color="auto" w:fill="FFFFFF"/>
              <w:tabs>
                <w:tab w:val="left" w:pos="15168"/>
              </w:tabs>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Додаток 1 до проекту НПДВЕ 2030 «Очікуваний валовий кінцевий обсяг енергоспоживання до 2030 року»</w:t>
            </w:r>
          </w:p>
          <w:p w14:paraId="038ECA42" w14:textId="77777777" w:rsidR="00B43B9E" w:rsidRPr="003864E7" w:rsidRDefault="00B43B9E">
            <w:pPr>
              <w:spacing w:after="0" w:line="240" w:lineRule="auto"/>
              <w:ind w:left="57" w:right="57" w:firstLine="708"/>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17F206F1"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3B011189"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Показники проекту НПДВЕ 2030 були узгоджені на засіданнях Робочих груп з розробки НПДВЕ 2030 з Мінрегіоном, Мініфраструктури, НКРЕКП, а також погодженно з Міненерго.</w:t>
            </w:r>
          </w:p>
          <w:p w14:paraId="330A8146"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При цьому в проекті акта передбачено перегляд показників розвитку відновлюваної енергетики після </w:t>
            </w:r>
            <w:r w:rsidRPr="003864E7">
              <w:rPr>
                <w:rFonts w:ascii="Times New Roman" w:eastAsia="Times New Roman" w:hAnsi="Times New Roman" w:cs="Times New Roman"/>
                <w:color w:val="000000"/>
              </w:rPr>
              <w:lastRenderedPageBreak/>
              <w:t>закінчення воєнних дій та інвентаризації стану енергетичної системи.</w:t>
            </w:r>
          </w:p>
        </w:tc>
      </w:tr>
      <w:tr w:rsidR="00B43B9E" w:rsidRPr="003864E7" w14:paraId="427BFD29"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79D610D1"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зрозумілим є наскільки або чи взагалі використовувався Звіт з оцінки відповідності (достатності) генеруючих потужностей, що щорічно готується НЕК "Укренерго", при підготовці НПДВЕ 2030</w:t>
            </w:r>
          </w:p>
          <w:p w14:paraId="2450208E" w14:textId="77777777" w:rsidR="00B43B9E" w:rsidRPr="003864E7" w:rsidRDefault="00B43B9E">
            <w:pPr>
              <w:spacing w:after="0" w:line="240" w:lineRule="auto"/>
              <w:ind w:left="57" w:right="57"/>
              <w:rPr>
                <w:rFonts w:ascii="Times New Roman" w:eastAsia="Times New Roman" w:hAnsi="Times New Roman" w:cs="Times New Roman"/>
                <w:color w:val="000008"/>
              </w:rPr>
            </w:pPr>
          </w:p>
        </w:tc>
        <w:tc>
          <w:tcPr>
            <w:tcW w:w="3969" w:type="dxa"/>
            <w:tcBorders>
              <w:top w:val="single" w:sz="6" w:space="0" w:color="000000"/>
              <w:left w:val="single" w:sz="6" w:space="0" w:color="000000"/>
              <w:bottom w:val="single" w:sz="6" w:space="0" w:color="000000"/>
              <w:right w:val="single" w:sz="6" w:space="0" w:color="000000"/>
            </w:tcBorders>
          </w:tcPr>
          <w:p w14:paraId="30FDC087"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Пропозиції до проекту НПДВЕ 2030</w:t>
            </w:r>
          </w:p>
        </w:tc>
        <w:tc>
          <w:tcPr>
            <w:tcW w:w="5954" w:type="dxa"/>
            <w:tcBorders>
              <w:top w:val="single" w:sz="6" w:space="0" w:color="000000"/>
              <w:left w:val="single" w:sz="6" w:space="0" w:color="000000"/>
              <w:bottom w:val="single" w:sz="6" w:space="0" w:color="000000"/>
              <w:right w:val="single" w:sz="6" w:space="0" w:color="000000"/>
            </w:tcBorders>
          </w:tcPr>
          <w:p w14:paraId="11CFC5D3"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Враховано </w:t>
            </w:r>
          </w:p>
          <w:p w14:paraId="6AE4EDC4"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Показники проекту НПДВЕ 2030 були узгоджені на засіданнях Робочих груп з розробки НПДВЕ 2030 з Мінрегіоном, Мініфраструктури, НКРЕКП, а також отримано погодженн</w:t>
            </w:r>
            <w:r w:rsidRPr="003864E7">
              <w:rPr>
                <w:rFonts w:ascii="Times New Roman" w:eastAsia="Times New Roman" w:hAnsi="Times New Roman" w:cs="Times New Roman"/>
              </w:rPr>
              <w:t>я</w:t>
            </w:r>
            <w:r w:rsidRPr="003864E7">
              <w:rPr>
                <w:rFonts w:ascii="Times New Roman" w:eastAsia="Times New Roman" w:hAnsi="Times New Roman" w:cs="Times New Roman"/>
                <w:color w:val="000000"/>
              </w:rPr>
              <w:t xml:space="preserve"> Міненерго.</w:t>
            </w:r>
          </w:p>
          <w:p w14:paraId="6B82684B"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color w:val="000000"/>
              </w:rPr>
              <w:t>Зауважень від ПрАТ «НЕК «Укренерго» щодо відповідності показників проекту НПД ВЕ 2030 показникам Звіту з оцінки відповідності (достатності) генеруючих потужностей</w:t>
            </w:r>
            <w:r w:rsidRPr="003864E7">
              <w:rPr>
                <w:rFonts w:ascii="Times New Roman" w:eastAsia="Times New Roman" w:hAnsi="Times New Roman" w:cs="Times New Roman"/>
              </w:rPr>
              <w:t xml:space="preserve"> не надходило.</w:t>
            </w:r>
          </w:p>
          <w:p w14:paraId="04E7FB43" w14:textId="77777777" w:rsidR="00B43B9E" w:rsidRPr="003864E7" w:rsidRDefault="00AF0BE5">
            <w:pPr>
              <w:spacing w:after="80"/>
              <w:ind w:firstLine="709"/>
              <w:jc w:val="both"/>
              <w:rPr>
                <w:rFonts w:ascii="Times New Roman" w:eastAsia="Times New Roman" w:hAnsi="Times New Roman" w:cs="Times New Roman"/>
              </w:rPr>
            </w:pPr>
            <w:r w:rsidRPr="003864E7">
              <w:rPr>
                <w:rFonts w:ascii="Times New Roman" w:eastAsia="Times New Roman" w:hAnsi="Times New Roman" w:cs="Times New Roman"/>
              </w:rPr>
              <w:t>Цільовим сценарієм Звіту з оцінки з оцінки відповідності (достатності) генеруючих потужностей для покриття прогнозованого попиту на електричну енергію та забезпечення необхідного резерву, затвердженим постановою НКРЕКП від 20.04.2022 № 394 визначено досягнення 25,4 % виробництва електричної енергії з ВДЕ та ГЕС у 2030 році. НПД ВЕ 2030 передбачає досягнення показника &gt;25% у 2030 році. Також, Звіто визначена необхідність будівництва у максимально стислі строки високоманевреної генерації з можливістю швидкого пуску в обсязі щонайменше 1,45 ГВт та установок зберігання енергії в обсязі 0,74 ГВт, що враховано в НПД ВЕ 2030.</w:t>
            </w:r>
          </w:p>
          <w:p w14:paraId="529EF01D" w14:textId="77777777" w:rsidR="00B43B9E" w:rsidRPr="003864E7" w:rsidRDefault="00B43B9E">
            <w:pPr>
              <w:pBdr>
                <w:top w:val="nil"/>
                <w:left w:val="nil"/>
                <w:bottom w:val="nil"/>
                <w:right w:val="nil"/>
                <w:between w:val="nil"/>
              </w:pBdr>
              <w:spacing w:after="0" w:line="240" w:lineRule="auto"/>
              <w:ind w:left="57" w:right="57" w:firstLine="537"/>
              <w:jc w:val="both"/>
              <w:rPr>
                <w:rFonts w:ascii="Times New Roman" w:eastAsia="Times New Roman" w:hAnsi="Times New Roman" w:cs="Times New Roman"/>
              </w:rPr>
            </w:pPr>
          </w:p>
          <w:p w14:paraId="366E59E8"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5ED633B8"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29ABEC9B"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зрозумілим є яким чином розрахована частка (35 % в 2030 р.) відновлюваних джерел у валовому кінцевому обсязі споживання енергії в системах опалення та охолодження і які обсяги електроенергії та тепла будуть відновлюваними й яка частка ВДЕ безпосередньо споживатиметься кінцевими споживачами, наприклад, біопалива</w:t>
            </w:r>
          </w:p>
        </w:tc>
        <w:tc>
          <w:tcPr>
            <w:tcW w:w="3969" w:type="dxa"/>
            <w:tcBorders>
              <w:top w:val="single" w:sz="6" w:space="0" w:color="000000"/>
              <w:left w:val="single" w:sz="6" w:space="0" w:color="000000"/>
              <w:bottom w:val="single" w:sz="6" w:space="0" w:color="000000"/>
              <w:right w:val="single" w:sz="6" w:space="0" w:color="000000"/>
            </w:tcBorders>
          </w:tcPr>
          <w:p w14:paraId="43A0C090"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Додатки 1-4 проекту НПДВЕ 2030</w:t>
            </w:r>
          </w:p>
        </w:tc>
        <w:tc>
          <w:tcPr>
            <w:tcW w:w="5954" w:type="dxa"/>
            <w:tcBorders>
              <w:top w:val="single" w:sz="6" w:space="0" w:color="000000"/>
              <w:left w:val="single" w:sz="6" w:space="0" w:color="000000"/>
              <w:bottom w:val="single" w:sz="6" w:space="0" w:color="000000"/>
              <w:right w:val="single" w:sz="6" w:space="0" w:color="000000"/>
            </w:tcBorders>
          </w:tcPr>
          <w:p w14:paraId="09082E61"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Враховано </w:t>
            </w:r>
          </w:p>
          <w:p w14:paraId="19E7FF74"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Показники частки енергії, виробленої з відновлюваних джерел в споживанні теплової енергії було розраховано за правилами Директиви 2009/28/ЄС «Про сприяння використання енергії з відновлюваних джерел». Показники проекту НПДВЕ 2030 були узгоджені на засіданнях Робочих груп з розробки НПДВЕ 2030 з Мінрегіоном, Мініфраструктури, НКРЕКП, а також погодженно з Міненерго.</w:t>
            </w:r>
          </w:p>
          <w:p w14:paraId="743FD22A"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rPr>
              <w:t xml:space="preserve">Крім того, враховано стратегічні цілі Концепції реалізації державної політики у сфері теплопостачання, </w:t>
            </w:r>
            <w:r w:rsidRPr="003864E7">
              <w:rPr>
                <w:rFonts w:ascii="Times New Roman" w:eastAsia="Times New Roman" w:hAnsi="Times New Roman" w:cs="Times New Roman"/>
              </w:rPr>
              <w:lastRenderedPageBreak/>
              <w:t>схваленої розпорядженням Кабінету Міністрів України від 18 серпня 2017 року № 569-р, щодо досягнення частки використання альтернативних джерел енергії (відновлювані джерела енергії та вторинні енергетичні ресурси) у виробництві теплової енергії об’єктами у сфері теплопостачання у 2025 році – 30 %, у 2035 році – 40 %.</w:t>
            </w:r>
          </w:p>
          <w:p w14:paraId="4F6E8AF8"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p>
        </w:tc>
      </w:tr>
      <w:tr w:rsidR="00B43B9E" w:rsidRPr="003864E7" w14:paraId="0DA40902"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5A8AFBB3"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Проєкт НПДВЕ2030 не містить розрахунків скорочення викидів парникових газів від його реалізації, що наразі є вкрай важливим для оцінки можливостей досягнення цілі оновленого Національно визначеного внеску України до Паризької угоди</w:t>
            </w:r>
          </w:p>
        </w:tc>
        <w:tc>
          <w:tcPr>
            <w:tcW w:w="3969" w:type="dxa"/>
            <w:tcBorders>
              <w:top w:val="single" w:sz="6" w:space="0" w:color="000000"/>
              <w:left w:val="single" w:sz="6" w:space="0" w:color="000000"/>
              <w:bottom w:val="single" w:sz="6" w:space="0" w:color="000000"/>
              <w:right w:val="single" w:sz="6" w:space="0" w:color="000000"/>
            </w:tcBorders>
          </w:tcPr>
          <w:p w14:paraId="20E6E469"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Пропозиції до проекту НПДВЕ 2030</w:t>
            </w:r>
          </w:p>
        </w:tc>
        <w:tc>
          <w:tcPr>
            <w:tcW w:w="5954" w:type="dxa"/>
            <w:tcBorders>
              <w:top w:val="single" w:sz="6" w:space="0" w:color="000000"/>
              <w:left w:val="single" w:sz="6" w:space="0" w:color="000000"/>
              <w:bottom w:val="single" w:sz="6" w:space="0" w:color="000000"/>
              <w:right w:val="single" w:sz="6" w:space="0" w:color="000000"/>
            </w:tcBorders>
          </w:tcPr>
          <w:p w14:paraId="54D55694"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17673BB8"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Визначення впливу на навколишнє природне середовище буде проведено під час розроблення Стратегічної екологічної оцінки проекту НПДВЕ 2030.</w:t>
            </w:r>
          </w:p>
          <w:p w14:paraId="6E6AAE0D"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1F87AAC3"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68FA54EF"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rPr>
              <w:t>Доцільно запропонувати стимули або інструменти державної підтримки для виробників електричної енергії з відновлюваних джерел, які мають «впроваджувати нові підходи та технології прогнозування, системи накопичення енергії та керування попитом» (с.8). Наразі єдиним інструментом стимулювання для встановлення таких потужностей може бути участь у балансуючому ринку та ринку допоміжних послуг, однак вона може стосуватися лише виробників електроенергії з біомаси, враховуючи прогнозований характер виробництва електроенергії. Крім того, відповідно до Правил ринку, потужність такого обладнання має перевищувати 50 МВт;</w:t>
            </w:r>
          </w:p>
        </w:tc>
        <w:tc>
          <w:tcPr>
            <w:tcW w:w="3969" w:type="dxa"/>
            <w:tcBorders>
              <w:top w:val="single" w:sz="6" w:space="0" w:color="000000"/>
              <w:left w:val="single" w:sz="6" w:space="0" w:color="000000"/>
              <w:bottom w:val="single" w:sz="6" w:space="0" w:color="000000"/>
              <w:right w:val="single" w:sz="6" w:space="0" w:color="000000"/>
            </w:tcBorders>
          </w:tcPr>
          <w:p w14:paraId="66995267"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Пропозиції до Плану заходів проекту НПД ВЕ 2030</w:t>
            </w:r>
          </w:p>
        </w:tc>
        <w:tc>
          <w:tcPr>
            <w:tcW w:w="5954" w:type="dxa"/>
            <w:tcBorders>
              <w:top w:val="single" w:sz="6" w:space="0" w:color="000000"/>
              <w:left w:val="single" w:sz="6" w:space="0" w:color="000000"/>
              <w:bottom w:val="single" w:sz="6" w:space="0" w:color="000000"/>
              <w:right w:val="single" w:sz="6" w:space="0" w:color="000000"/>
            </w:tcBorders>
          </w:tcPr>
          <w:p w14:paraId="22FB23BE"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17970033"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 метою створення умов для розвитку систем накопичення енергії та керування попитом Планом заходів проекту НПД ВЕ 2030 передбачається проведення конкурсів на будівництво нової генеруючої потужності та на виконання заходів з управління попитом, відповідно до потреб енергосистеми.</w:t>
            </w:r>
          </w:p>
          <w:p w14:paraId="16EF65A5"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Крім того, поступове введення плати за небаланси спонукатиме виробників енергії з </w:t>
            </w:r>
            <w:r w:rsidRPr="003864E7">
              <w:rPr>
                <w:rFonts w:ascii="Times New Roman" w:eastAsia="Times New Roman" w:hAnsi="Times New Roman" w:cs="Times New Roman"/>
              </w:rPr>
              <w:t>відновлюваних джерел</w:t>
            </w:r>
            <w:r w:rsidRPr="003864E7">
              <w:rPr>
                <w:rFonts w:ascii="Times New Roman" w:eastAsia="Times New Roman" w:hAnsi="Times New Roman" w:cs="Times New Roman"/>
                <w:color w:val="000000"/>
              </w:rPr>
              <w:t xml:space="preserve"> вживати заходи з  покращення якості прогнозування вироблення електроенергії, або використання засобів накопичення енергії.</w:t>
            </w:r>
          </w:p>
          <w:p w14:paraId="791B187F"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rPr>
              <w:t>Також, 15.02.2022 Верховною Радою України прийнято Закон України № 2046-IX “Про внесення змін до деяких законів України щодо розвитку установок зберігання енергії”, яким врегульовано питання можливості використання системи накопичення енергії споживачами, а також виробниками електричної енергії, зокрема, виробниками електричної енергії з відновлювальних джерел енергії.</w:t>
            </w:r>
          </w:p>
        </w:tc>
      </w:tr>
      <w:tr w:rsidR="00B43B9E" w:rsidRPr="003864E7" w14:paraId="0CE3010F"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32AEC099"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у реченні «…надбавки виробникам з альтернативних джерел (різниці між «зеленим» тарифом або аукціонною та ринковою ціною» (с.9)), необхідне уточнення поняття «ринковою ціною», зокрема, який ринок мається на увазі (ринок двосторонніх договорів)</w:t>
            </w:r>
          </w:p>
        </w:tc>
        <w:tc>
          <w:tcPr>
            <w:tcW w:w="3969" w:type="dxa"/>
            <w:tcBorders>
              <w:top w:val="single" w:sz="6" w:space="0" w:color="000000"/>
              <w:left w:val="single" w:sz="6" w:space="0" w:color="000000"/>
              <w:bottom w:val="single" w:sz="6" w:space="0" w:color="000000"/>
              <w:right w:val="single" w:sz="6" w:space="0" w:color="000000"/>
            </w:tcBorders>
          </w:tcPr>
          <w:p w14:paraId="751F8B8A" w14:textId="77777777" w:rsidR="00B43B9E" w:rsidRPr="003864E7" w:rsidRDefault="00AF0BE5">
            <w:pPr>
              <w:spacing w:after="80"/>
              <w:ind w:firstLine="709"/>
              <w:jc w:val="both"/>
              <w:rPr>
                <w:rFonts w:ascii="Times New Roman" w:eastAsia="Times New Roman" w:hAnsi="Times New Roman" w:cs="Times New Roman"/>
              </w:rPr>
            </w:pPr>
            <w:r w:rsidRPr="003864E7">
              <w:rPr>
                <w:rFonts w:ascii="Times New Roman" w:eastAsia="Times New Roman" w:hAnsi="Times New Roman" w:cs="Times New Roman"/>
              </w:rPr>
              <w:t>Речення на сторінці 9 розділу «Використання відновлюваних джерел енергії в електроенергетичному комплексі»:</w:t>
            </w:r>
          </w:p>
          <w:p w14:paraId="563924CB" w14:textId="77777777" w:rsidR="00B43B9E" w:rsidRPr="003864E7" w:rsidRDefault="00AF0BE5">
            <w:pPr>
              <w:spacing w:after="80"/>
              <w:jc w:val="both"/>
              <w:rPr>
                <w:rFonts w:ascii="Times New Roman" w:eastAsia="Times New Roman" w:hAnsi="Times New Roman" w:cs="Times New Roman"/>
              </w:rPr>
            </w:pPr>
            <w:r w:rsidRPr="003864E7">
              <w:rPr>
                <w:rFonts w:ascii="Times New Roman" w:eastAsia="Times New Roman" w:hAnsi="Times New Roman" w:cs="Times New Roman"/>
              </w:rPr>
              <w:lastRenderedPageBreak/>
              <w:t>«Крім того, запровадження системи видачі гарантій походження дозволить збільшити вартість електроенергії з альтернативних джерел енергії та відповідно зменшити обсяг витрат гарантованого покупця, необхідних для сплати надбавки виробникам з альтернативних джерел (різниці між «зеленим» тарифом або аукціонною та ринковою ціною). Відповідно це вплине на розміри тарифу на послуги з передачі електроенергії у бік зменшення та позитивно відобразиться на вартості електричної енергії для усіх споживачів.»</w:t>
            </w:r>
          </w:p>
        </w:tc>
        <w:tc>
          <w:tcPr>
            <w:tcW w:w="5954" w:type="dxa"/>
            <w:tcBorders>
              <w:top w:val="single" w:sz="6" w:space="0" w:color="000000"/>
              <w:left w:val="single" w:sz="6" w:space="0" w:color="000000"/>
              <w:bottom w:val="single" w:sz="6" w:space="0" w:color="000000"/>
              <w:right w:val="single" w:sz="6" w:space="0" w:color="000000"/>
            </w:tcBorders>
          </w:tcPr>
          <w:p w14:paraId="69455CBB"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Не враховано</w:t>
            </w:r>
          </w:p>
          <w:p w14:paraId="25035BBC"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Всі умови запровадження зазначеної надбавки будуть визначені первинним законодавством.</w:t>
            </w:r>
          </w:p>
        </w:tc>
      </w:tr>
      <w:tr w:rsidR="00B43B9E" w:rsidRPr="003864E7" w14:paraId="28D7D32A"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7BAC540B"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rPr>
              <w:t>необхідно передбачити інструменти стимулювання для встановлення засобів накопичення енергії проз’юмерами (с. 15)</w:t>
            </w:r>
          </w:p>
        </w:tc>
        <w:tc>
          <w:tcPr>
            <w:tcW w:w="3969" w:type="dxa"/>
            <w:tcBorders>
              <w:top w:val="single" w:sz="6" w:space="0" w:color="000000"/>
              <w:left w:val="single" w:sz="6" w:space="0" w:color="000000"/>
              <w:bottom w:val="single" w:sz="6" w:space="0" w:color="000000"/>
              <w:right w:val="single" w:sz="6" w:space="0" w:color="000000"/>
            </w:tcBorders>
          </w:tcPr>
          <w:p w14:paraId="1D2121A9"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Пропозиції до Плану заходів проекту НПДВЕ 2030</w:t>
            </w:r>
          </w:p>
        </w:tc>
        <w:tc>
          <w:tcPr>
            <w:tcW w:w="5954" w:type="dxa"/>
            <w:tcBorders>
              <w:top w:val="single" w:sz="6" w:space="0" w:color="000000"/>
              <w:left w:val="single" w:sz="6" w:space="0" w:color="000000"/>
              <w:bottom w:val="single" w:sz="6" w:space="0" w:color="000000"/>
              <w:right w:val="single" w:sz="6" w:space="0" w:color="000000"/>
            </w:tcBorders>
          </w:tcPr>
          <w:p w14:paraId="1B150705"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10BB0E41"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 метою створення умов для розвитку систем накопичення енергії та керування попитом Планом заходів проекту НПД ВЕ 2030 передбачається:</w:t>
            </w:r>
          </w:p>
          <w:p w14:paraId="731E995E"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розроблення та подання Кабінетові Міністрів України проекту Закону України щодо удосконалення умов підтримки виробництва електричної енергії з альтернативних джерел енергії генеруючими установками споживачів, у тому числі енергетичних кооперативів та приватних домогосподарств;</w:t>
            </w:r>
          </w:p>
          <w:p w14:paraId="77EEAF78"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проведення конкурсів на будівництво нової генеруючої потужності та на виконання заходів з управління попитом, відповідно до потреб енергосистеми.</w:t>
            </w:r>
          </w:p>
          <w:p w14:paraId="1ACE8668"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Крім того, 15.02.2022 Верховною Радою України прийнято Закон України № 2046-IX “Про внесення змін до деяких законів України щодо розвитку установок зберігання енергії”, яким врегульовано питання можливості використання системи накопичення енергії споживачами, а також виробниками електричної енергії, зокрема, виробниками електричної енергії з відновлювальних джерел енергії.</w:t>
            </w:r>
          </w:p>
          <w:p w14:paraId="00070858"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38010669"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7ACCB8C3"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передбачається істотне збільшення споживання біопалива І-го та ІІ поколінь в транспортному секторі (с.20), проте в проєкті НПДВЕ2030 не зазначено за рахунок яких інструментів підтримки та стимулювання галузі це буде досягнуто. В світовій практиці найбільш дієвим інструментом стимулювання галузі є вимога домішування біологічного компоненту палива. Така вимога діяла і в Україні до 2015 р. Бажано уточнити чи передбачається нарощування імпорту біологічного компонента палива, чи збільшення внутрішнього виробництва. Аналогічно, необхідно зазначити які інструменти стимулювання передбачені для моторного біопалива ІІ покоління. Крім того, на 2030 р. передбачається чотирикратне зростання споживання біоетанолу І покоління (порівняно з 2020 р.). Як відомо з Директиви 2009/28/EC, що вже втратила чинність, біоетанол з харчових та кормових культур (І покоління) сприяє незначному скороченню викидів парникових газів (16%-52%), тож Директива RED II накладає обмеження в обсязі 7% на таке біопаливо і воно має бути виведене з ринку до 2030 р. Директива RED II вже є обов’язковою для імплементації в Україні і визначає, що скорочення викидів парникових газів від біопалива має скласти не менше 60% для потужностей, введених в експлуатацію у період з 15.10.2015 р. до 31.12.2020 р., і не менше 65% для потужностей, введених в експлуатацію з 2023 р ;</w:t>
            </w:r>
          </w:p>
        </w:tc>
        <w:tc>
          <w:tcPr>
            <w:tcW w:w="3969" w:type="dxa"/>
            <w:tcBorders>
              <w:top w:val="single" w:sz="6" w:space="0" w:color="000000"/>
              <w:left w:val="single" w:sz="6" w:space="0" w:color="000000"/>
              <w:bottom w:val="single" w:sz="6" w:space="0" w:color="000000"/>
              <w:right w:val="single" w:sz="6" w:space="0" w:color="000000"/>
            </w:tcBorders>
          </w:tcPr>
          <w:p w14:paraId="1AD91BC2" w14:textId="77777777" w:rsidR="00B43B9E" w:rsidRPr="003864E7" w:rsidRDefault="00AF0BE5">
            <w:pPr>
              <w:spacing w:after="0" w:line="240" w:lineRule="auto"/>
              <w:ind w:left="57" w:right="57"/>
              <w:jc w:val="center"/>
              <w:rPr>
                <w:rFonts w:ascii="Times New Roman" w:eastAsia="Times New Roman" w:hAnsi="Times New Roman" w:cs="Times New Roman"/>
              </w:rPr>
            </w:pPr>
            <w:r w:rsidRPr="003864E7">
              <w:rPr>
                <w:rFonts w:ascii="Times New Roman" w:eastAsia="Times New Roman" w:hAnsi="Times New Roman" w:cs="Times New Roman"/>
              </w:rPr>
              <w:t xml:space="preserve">Щодо збільшення споживання рідкого біопалива у транспортному секторів розділ «Використання відновлюваних джерел енергії в транспортному секторі» </w:t>
            </w:r>
          </w:p>
        </w:tc>
        <w:tc>
          <w:tcPr>
            <w:tcW w:w="5954" w:type="dxa"/>
            <w:tcBorders>
              <w:top w:val="single" w:sz="6" w:space="0" w:color="000000"/>
              <w:left w:val="single" w:sz="6" w:space="0" w:color="000000"/>
              <w:bottom w:val="single" w:sz="6" w:space="0" w:color="000000"/>
              <w:right w:val="single" w:sz="6" w:space="0" w:color="000000"/>
            </w:tcBorders>
          </w:tcPr>
          <w:p w14:paraId="160AB254" w14:textId="77777777" w:rsidR="00B43B9E" w:rsidRPr="003864E7" w:rsidRDefault="00AF0BE5">
            <w:pPr>
              <w:pBdr>
                <w:top w:val="nil"/>
                <w:left w:val="nil"/>
                <w:bottom w:val="nil"/>
                <w:right w:val="nil"/>
                <w:between w:val="nil"/>
              </w:pBdr>
              <w:spacing w:after="0" w:line="240" w:lineRule="auto"/>
              <w:ind w:left="60" w:right="57" w:firstLine="36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3367F39E" w14:textId="77777777" w:rsidR="00B43B9E" w:rsidRPr="003864E7" w:rsidRDefault="00AF0BE5">
            <w:pPr>
              <w:pBdr>
                <w:top w:val="nil"/>
                <w:left w:val="nil"/>
                <w:bottom w:val="nil"/>
                <w:right w:val="nil"/>
                <w:between w:val="nil"/>
              </w:pBdr>
              <w:spacing w:after="0" w:line="240" w:lineRule="auto"/>
              <w:ind w:left="60" w:right="57" w:firstLine="36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 метою сприяння розвитку використання рідкого біопалива Планом заходів проекту НПДВЕ 2030 передбачається:</w:t>
            </w:r>
          </w:p>
          <w:p w14:paraId="35F9C998" w14:textId="77777777" w:rsidR="00B43B9E" w:rsidRPr="003864E7" w:rsidRDefault="00AF0BE5">
            <w:pPr>
              <w:numPr>
                <w:ilvl w:val="0"/>
                <w:numId w:val="3"/>
              </w:numPr>
              <w:pBdr>
                <w:top w:val="nil"/>
                <w:left w:val="nil"/>
                <w:bottom w:val="nil"/>
                <w:right w:val="nil"/>
                <w:between w:val="nil"/>
              </w:pBdr>
              <w:spacing w:after="0" w:line="240" w:lineRule="auto"/>
              <w:ind w:left="60" w:firstLine="365"/>
              <w:jc w:val="both"/>
              <w:rPr>
                <w:rFonts w:ascii="Times New Roman" w:hAnsi="Times New Roman" w:cs="Times New Roman"/>
                <w:color w:val="000000"/>
              </w:rPr>
            </w:pPr>
            <w:r w:rsidRPr="003864E7">
              <w:rPr>
                <w:rFonts w:ascii="Times New Roman" w:eastAsia="Times New Roman" w:hAnsi="Times New Roman" w:cs="Times New Roman"/>
                <w:color w:val="000000"/>
              </w:rPr>
              <w:t>супроводження у Верховній Раді України проекту Закону України «Про внесення змін до деяких законодавчих актів України щодо обов'язковості використання рідкого біопалива (біокомпонентів) у галузі транспорту» (реєстр. № 3356-д від 05.11.2020)</w:t>
            </w:r>
            <w:r w:rsidRPr="003864E7">
              <w:rPr>
                <w:rFonts w:ascii="Times New Roman" w:eastAsia="Times New Roman" w:hAnsi="Times New Roman" w:cs="Times New Roman"/>
              </w:rPr>
              <w:t>.</w:t>
            </w:r>
          </w:p>
          <w:p w14:paraId="4AB793DA" w14:textId="77777777" w:rsidR="00B43B9E" w:rsidRPr="003864E7" w:rsidRDefault="00AF0BE5">
            <w:pPr>
              <w:shd w:val="clear" w:color="auto" w:fill="FFFFFF"/>
              <w:spacing w:after="0" w:line="240" w:lineRule="auto"/>
              <w:ind w:left="60" w:firstLine="365"/>
              <w:jc w:val="both"/>
              <w:rPr>
                <w:rFonts w:ascii="Times New Roman" w:eastAsia="Times New Roman" w:hAnsi="Times New Roman" w:cs="Times New Roman"/>
              </w:rPr>
            </w:pPr>
            <w:r w:rsidRPr="003864E7">
              <w:rPr>
                <w:rFonts w:ascii="Times New Roman" w:eastAsia="Times New Roman" w:hAnsi="Times New Roman" w:cs="Times New Roman"/>
              </w:rPr>
              <w:t>Прийняття законопроекту № 3356-д сприятиме ·залученню інвестиції у виробництво рідкого біопалива; стимулюванню будівництва нових потужностей із виробництва біоетанолу;  підвищенню рівня завантаженості спиртових заводів та виробничого потенціалу суміжних сфер;</w:t>
            </w:r>
          </w:p>
          <w:p w14:paraId="7FAFDE8B" w14:textId="77777777" w:rsidR="00B43B9E" w:rsidRPr="003864E7" w:rsidRDefault="00AF0BE5">
            <w:pPr>
              <w:shd w:val="clear" w:color="auto" w:fill="FFFFFF"/>
              <w:spacing w:after="0" w:line="240" w:lineRule="auto"/>
              <w:ind w:left="60" w:firstLine="365"/>
              <w:jc w:val="both"/>
              <w:rPr>
                <w:rFonts w:ascii="Times New Roman" w:eastAsia="Times New Roman" w:hAnsi="Times New Roman" w:cs="Times New Roman"/>
              </w:rPr>
            </w:pPr>
            <w:r w:rsidRPr="003864E7">
              <w:rPr>
                <w:rFonts w:ascii="Times New Roman" w:eastAsia="Times New Roman" w:hAnsi="Times New Roman" w:cs="Times New Roman"/>
              </w:rPr>
              <w:t>Для подальшого стимулювання розвитку виробництва рідкого біопалива Планом заходів проекту НПДВЕ 2030 передбачається розроблення та подання Кабінетові Міністрів України проекту Закону України щодо сприяння виробництву рідкого біопалива.</w:t>
            </w:r>
          </w:p>
          <w:p w14:paraId="18F97E39" w14:textId="77777777" w:rsidR="00B43B9E" w:rsidRPr="003864E7" w:rsidRDefault="00B43B9E">
            <w:pPr>
              <w:shd w:val="clear" w:color="auto" w:fill="FFFFFF"/>
              <w:spacing w:after="0" w:line="240" w:lineRule="auto"/>
              <w:ind w:firstLine="566"/>
              <w:jc w:val="both"/>
              <w:rPr>
                <w:rFonts w:ascii="Times New Roman" w:eastAsia="Times New Roman" w:hAnsi="Times New Roman" w:cs="Times New Roman"/>
              </w:rPr>
            </w:pPr>
          </w:p>
          <w:p w14:paraId="366C10C6" w14:textId="77777777" w:rsidR="00B43B9E" w:rsidRPr="003864E7" w:rsidRDefault="00B43B9E">
            <w:pPr>
              <w:pBdr>
                <w:top w:val="nil"/>
                <w:left w:val="nil"/>
                <w:bottom w:val="nil"/>
                <w:right w:val="nil"/>
                <w:between w:val="nil"/>
              </w:pBdr>
              <w:spacing w:after="0" w:line="240" w:lineRule="auto"/>
              <w:ind w:firstLine="566"/>
              <w:jc w:val="both"/>
              <w:rPr>
                <w:rFonts w:ascii="Times New Roman" w:eastAsia="Times New Roman" w:hAnsi="Times New Roman" w:cs="Times New Roman"/>
              </w:rPr>
            </w:pPr>
          </w:p>
          <w:p w14:paraId="6ACC3B04" w14:textId="77777777" w:rsidR="00B43B9E" w:rsidRPr="003864E7" w:rsidRDefault="00B43B9E">
            <w:pPr>
              <w:pBdr>
                <w:top w:val="nil"/>
                <w:left w:val="nil"/>
                <w:bottom w:val="nil"/>
                <w:right w:val="nil"/>
                <w:between w:val="nil"/>
              </w:pBdr>
              <w:spacing w:after="0" w:line="240" w:lineRule="auto"/>
              <w:ind w:left="502"/>
              <w:jc w:val="both"/>
              <w:rPr>
                <w:rFonts w:ascii="Times New Roman" w:eastAsia="Times New Roman" w:hAnsi="Times New Roman" w:cs="Times New Roman"/>
              </w:rPr>
            </w:pPr>
          </w:p>
        </w:tc>
      </w:tr>
      <w:tr w:rsidR="00B43B9E" w:rsidRPr="003864E7" w14:paraId="2A9208C8"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1A5FAAA9"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 xml:space="preserve">у Додатку 5 наведено дані про встановлені потужності електрогенеруючого обладнання та їхнє очікуване валове виробництво електроенергії. На основі цих даних можна стверджувати, що коефіцієнт використання встановленої потужності (КВВП) промислових СЕС та наземних ВЕС зростатиме, в той час як КВВП домашніх СЕС у 2023-2030 рр. знизиться до 9% (порівняно з 11% у 2020 р. та 10% у 2021-2022 рр.). Аналогічно передбачається зниження КВВП ГЕС </w:t>
            </w:r>
            <w:r w:rsidRPr="003864E7">
              <w:rPr>
                <w:rFonts w:ascii="Times New Roman" w:eastAsia="Times New Roman" w:hAnsi="Times New Roman" w:cs="Times New Roman"/>
                <w:color w:val="000008"/>
              </w:rPr>
              <w:lastRenderedPageBreak/>
              <w:t xml:space="preserve">до 10 МВт (26% у 2021-2022 рр. та 24% у 2023-2030 рр.). КВВП ГЕС понад 10 МВт становить 19% у 2021 р., після чого знизиться до 17% у 2022-2030 рр. Відповідно, необхідно </w:t>
            </w:r>
            <w:r w:rsidRPr="003864E7">
              <w:rPr>
                <w:rFonts w:ascii="Times New Roman" w:eastAsia="Times New Roman" w:hAnsi="Times New Roman" w:cs="Times New Roman"/>
              </w:rPr>
              <w:t>переглянути прогноз виробництва електроенергії цими потужностями;</w:t>
            </w:r>
          </w:p>
          <w:p w14:paraId="6322D7EE" w14:textId="77777777" w:rsidR="00B43B9E" w:rsidRPr="003864E7" w:rsidRDefault="00B43B9E">
            <w:pPr>
              <w:spacing w:after="0" w:line="240" w:lineRule="auto"/>
              <w:ind w:left="57" w:right="57"/>
              <w:rPr>
                <w:rFonts w:ascii="Times New Roman" w:eastAsia="Times New Roman" w:hAnsi="Times New Roman" w:cs="Times New Roman"/>
                <w:color w:val="000008"/>
              </w:rPr>
            </w:pPr>
          </w:p>
        </w:tc>
        <w:tc>
          <w:tcPr>
            <w:tcW w:w="3969" w:type="dxa"/>
            <w:tcBorders>
              <w:top w:val="single" w:sz="6" w:space="0" w:color="000000"/>
              <w:left w:val="single" w:sz="6" w:space="0" w:color="000000"/>
              <w:bottom w:val="single" w:sz="6" w:space="0" w:color="000000"/>
              <w:right w:val="single" w:sz="6" w:space="0" w:color="000000"/>
            </w:tcBorders>
          </w:tcPr>
          <w:p w14:paraId="4AC2AAB0" w14:textId="77777777" w:rsidR="00B43B9E" w:rsidRPr="003864E7" w:rsidRDefault="00AF0BE5">
            <w:pPr>
              <w:shd w:val="clear" w:color="auto" w:fill="FFFFFF"/>
              <w:spacing w:after="0" w:line="240" w:lineRule="auto"/>
              <w:ind w:right="448"/>
              <w:jc w:val="right"/>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Додаток 5 до проекту НПДВЕ 2030 </w:t>
            </w:r>
          </w:p>
          <w:p w14:paraId="291B0AFD" w14:textId="77777777" w:rsidR="00B43B9E" w:rsidRPr="003864E7" w:rsidRDefault="00B43B9E">
            <w:pPr>
              <w:shd w:val="clear" w:color="auto" w:fill="FFFFFF"/>
              <w:spacing w:after="0" w:line="240" w:lineRule="auto"/>
              <w:ind w:left="450" w:right="448"/>
              <w:jc w:val="center"/>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0D8158B7"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Частково враховано</w:t>
            </w:r>
          </w:p>
          <w:p w14:paraId="36351EED" w14:textId="77777777" w:rsidR="00B43B9E" w:rsidRPr="003864E7" w:rsidRDefault="00B43B9E">
            <w:pPr>
              <w:spacing w:after="0" w:line="240" w:lineRule="auto"/>
              <w:ind w:left="57" w:right="57" w:firstLine="558"/>
              <w:jc w:val="both"/>
              <w:rPr>
                <w:rFonts w:ascii="Times New Roman" w:eastAsia="Times New Roman" w:hAnsi="Times New Roman" w:cs="Times New Roman"/>
              </w:rPr>
            </w:pPr>
          </w:p>
          <w:p w14:paraId="2EF037A6"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Враховано в частиін виправлення прогнозних показинків потужностей сонячної енергетики відповідно до збільшення питомого виробництва електроенергії за 1 МВт потужності.</w:t>
            </w:r>
          </w:p>
          <w:p w14:paraId="5093B511" w14:textId="77777777" w:rsidR="00B43B9E" w:rsidRPr="003864E7" w:rsidRDefault="00B43B9E">
            <w:pPr>
              <w:spacing w:after="0" w:line="240" w:lineRule="auto"/>
              <w:ind w:left="57" w:right="57" w:firstLine="558"/>
              <w:jc w:val="both"/>
              <w:rPr>
                <w:rFonts w:ascii="Times New Roman" w:eastAsia="Times New Roman" w:hAnsi="Times New Roman" w:cs="Times New Roman"/>
              </w:rPr>
            </w:pPr>
          </w:p>
          <w:p w14:paraId="4D963E3E"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Неварховано в частині перегляду прогнозних показників потужностей ГЕС.</w:t>
            </w:r>
          </w:p>
          <w:p w14:paraId="17DEAE09"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Оскільки робота ГЕС залежить від водності річок, її коливання неможливо спрогнозувати. Так, у 2019 році був мінімум дебету річок і питоме річне виробництво електроенергії ГЕС на 1 МВт склало лише 1,33 млн кВт*год. </w:t>
            </w:r>
          </w:p>
          <w:p w14:paraId="54C75D1E"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В прогнозах показниках робоит ГЕС було прийнято значення питомого річного виробництва електроенергії на рівні 1,46 млн кВт*год за 1 МВт.</w:t>
            </w:r>
          </w:p>
          <w:p w14:paraId="7F4C3D88" w14:textId="77777777" w:rsidR="00B43B9E" w:rsidRPr="003864E7" w:rsidRDefault="00B43B9E">
            <w:pPr>
              <w:spacing w:after="0" w:line="240" w:lineRule="auto"/>
              <w:ind w:left="57" w:right="57" w:firstLine="558"/>
              <w:jc w:val="both"/>
              <w:rPr>
                <w:rFonts w:ascii="Times New Roman" w:eastAsia="Times New Roman" w:hAnsi="Times New Roman" w:cs="Times New Roman"/>
              </w:rPr>
            </w:pPr>
          </w:p>
          <w:p w14:paraId="2AE1915B" w14:textId="77777777" w:rsidR="00B43B9E" w:rsidRPr="003864E7" w:rsidRDefault="00AF0BE5">
            <w:pP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Показники проекту НПДВЕ 2030 погоджено з Міненерго, а також були узгоджені на засіданнях Робочої групи з розробки НПДВЕ 2030.</w:t>
            </w:r>
          </w:p>
        </w:tc>
      </w:tr>
      <w:tr w:rsidR="00B43B9E" w:rsidRPr="003864E7" w14:paraId="53780565"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3F67A764" w14:textId="77777777" w:rsidR="00B43B9E" w:rsidRPr="003864E7" w:rsidRDefault="00AF0BE5">
            <w:pPr>
              <w:spacing w:after="0" w:line="240" w:lineRule="auto"/>
              <w:ind w:left="57" w:right="57"/>
              <w:jc w:val="both"/>
              <w:rPr>
                <w:rFonts w:ascii="Times New Roman" w:eastAsia="Times New Roman" w:hAnsi="Times New Roman" w:cs="Times New Roman"/>
              </w:rPr>
            </w:pPr>
            <w:bookmarkStart w:id="2" w:name="_Hlk121077602"/>
            <w:r w:rsidRPr="003864E7">
              <w:rPr>
                <w:rFonts w:ascii="Times New Roman" w:eastAsia="Times New Roman" w:hAnsi="Times New Roman" w:cs="Times New Roman"/>
              </w:rPr>
              <w:t>доцільно брати до уваги наміри України виробляти «зелений» водень. Відповідно, проєкт НПДВЕ2030 має враховувати встановлені потужності ВДЕ саме для потреб виробництва «зеленого» водню;</w:t>
            </w:r>
          </w:p>
          <w:p w14:paraId="068D6CCA" w14:textId="77777777" w:rsidR="00B43B9E" w:rsidRPr="003864E7" w:rsidRDefault="00B43B9E">
            <w:pPr>
              <w:spacing w:after="0" w:line="240" w:lineRule="auto"/>
              <w:ind w:left="57" w:right="57" w:firstLine="709"/>
              <w:jc w:val="both"/>
              <w:rPr>
                <w:rFonts w:ascii="Times New Roman" w:eastAsia="Times New Roman" w:hAnsi="Times New Roman" w:cs="Times New Roman"/>
                <w:color w:val="000008"/>
              </w:rPr>
            </w:pPr>
          </w:p>
        </w:tc>
        <w:tc>
          <w:tcPr>
            <w:tcW w:w="3969" w:type="dxa"/>
            <w:tcBorders>
              <w:top w:val="single" w:sz="6" w:space="0" w:color="000000"/>
              <w:left w:val="single" w:sz="6" w:space="0" w:color="000000"/>
              <w:bottom w:val="single" w:sz="6" w:space="0" w:color="000000"/>
              <w:right w:val="single" w:sz="6" w:space="0" w:color="000000"/>
            </w:tcBorders>
          </w:tcPr>
          <w:p w14:paraId="7A934377"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Підрозділ «Зелений» водень»</w:t>
            </w:r>
          </w:p>
        </w:tc>
        <w:tc>
          <w:tcPr>
            <w:tcW w:w="5954" w:type="dxa"/>
            <w:tcBorders>
              <w:top w:val="single" w:sz="6" w:space="0" w:color="000000"/>
              <w:left w:val="single" w:sz="6" w:space="0" w:color="000000"/>
              <w:bottom w:val="single" w:sz="6" w:space="0" w:color="000000"/>
              <w:right w:val="single" w:sz="6" w:space="0" w:color="000000"/>
            </w:tcBorders>
          </w:tcPr>
          <w:p w14:paraId="7E90345F"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7D36225C"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З метою розвитку водневої енергетики передбачається розробка Міненерго проекту </w:t>
            </w:r>
            <w:r w:rsidRPr="003864E7">
              <w:rPr>
                <w:rFonts w:ascii="Times New Roman" w:eastAsia="Times New Roman" w:hAnsi="Times New Roman" w:cs="Times New Roman"/>
                <w:color w:val="202124"/>
              </w:rPr>
              <w:t>Водневої стратегії</w:t>
            </w:r>
            <w:r w:rsidRPr="003864E7">
              <w:rPr>
                <w:rFonts w:ascii="Times New Roman" w:eastAsia="Times New Roman" w:hAnsi="Times New Roman" w:cs="Times New Roman"/>
              </w:rPr>
              <w:t>, яким буде визначено цілі, показники, плани розвитку водневої енергетики до 2030 року, а також окреслено орієнтири до 2050 року а також необхідні заходи для реалізації.</w:t>
            </w:r>
          </w:p>
          <w:p w14:paraId="20D11B62"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p w14:paraId="1114511A"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rPr>
              <w:t>Показники проекту НПДВЕ 2030 погодженно з Міненерго, а також були узгоджені на засіданнях Робочої групи з розробки НПДВЕ 2030.</w:t>
            </w:r>
          </w:p>
        </w:tc>
      </w:tr>
    </w:tbl>
    <w:tbl>
      <w:tblPr>
        <w:tblStyle w:val="afffffff9"/>
        <w:tblW w:w="15466" w:type="dxa"/>
        <w:tblInd w:w="-30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43"/>
        <w:gridCol w:w="3969"/>
        <w:gridCol w:w="5954"/>
      </w:tblGrid>
      <w:tr w:rsidR="00B43B9E" w:rsidRPr="003864E7" w14:paraId="169387CB" w14:textId="77777777">
        <w:tc>
          <w:tcPr>
            <w:tcW w:w="15466" w:type="dxa"/>
            <w:gridSpan w:val="3"/>
            <w:tcBorders>
              <w:top w:val="single" w:sz="6" w:space="0" w:color="000000"/>
              <w:left w:val="single" w:sz="6" w:space="0" w:color="000000"/>
              <w:bottom w:val="single" w:sz="6" w:space="0" w:color="000000"/>
              <w:right w:val="single" w:sz="6" w:space="0" w:color="000000"/>
            </w:tcBorders>
          </w:tcPr>
          <w:bookmarkEnd w:id="2"/>
          <w:p w14:paraId="7E9789EF" w14:textId="77777777" w:rsidR="00B43B9E" w:rsidRPr="003864E7" w:rsidRDefault="00AF0BE5">
            <w:pPr>
              <w:pBdr>
                <w:top w:val="nil"/>
                <w:left w:val="nil"/>
                <w:bottom w:val="nil"/>
                <w:right w:val="nil"/>
                <w:between w:val="nil"/>
              </w:pBdr>
              <w:spacing w:after="0" w:line="240" w:lineRule="auto"/>
              <w:ind w:left="57" w:right="57" w:firstLine="558"/>
              <w:jc w:val="center"/>
              <w:rPr>
                <w:rFonts w:ascii="Times New Roman" w:eastAsia="Times New Roman" w:hAnsi="Times New Roman" w:cs="Times New Roman"/>
                <w:b/>
                <w:color w:val="000000"/>
              </w:rPr>
            </w:pPr>
            <w:r w:rsidRPr="003864E7">
              <w:rPr>
                <w:rFonts w:ascii="Times New Roman" w:eastAsia="Times New Roman" w:hAnsi="Times New Roman" w:cs="Times New Roman"/>
                <w:b/>
                <w:color w:val="000000"/>
              </w:rPr>
              <w:t>ГС «Українська вітроенергетична асоціація»</w:t>
            </w:r>
          </w:p>
        </w:tc>
      </w:tr>
      <w:tr w:rsidR="00B43B9E" w:rsidRPr="003864E7" w14:paraId="1B9758FF"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34CD34DD" w14:textId="77777777" w:rsidR="00B43B9E" w:rsidRPr="003864E7" w:rsidRDefault="00AF0BE5">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 xml:space="preserve">Зазначена ціль не є актуально з декількох причин: </w:t>
            </w:r>
          </w:p>
          <w:p w14:paraId="3F71CC04" w14:textId="77777777" w:rsidR="00B43B9E" w:rsidRPr="003864E7" w:rsidRDefault="00AF0BE5">
            <w:pPr>
              <w:spacing w:after="0" w:line="240" w:lineRule="auto"/>
              <w:ind w:right="345" w:firstLine="708"/>
              <w:jc w:val="both"/>
              <w:rPr>
                <w:rFonts w:ascii="Times New Roman" w:eastAsia="Times New Roman" w:hAnsi="Times New Roman" w:cs="Times New Roman"/>
              </w:rPr>
            </w:pPr>
            <w:r w:rsidRPr="003864E7">
              <w:rPr>
                <w:rFonts w:ascii="Times New Roman" w:eastAsia="Times New Roman" w:hAnsi="Times New Roman" w:cs="Times New Roman"/>
              </w:rPr>
              <w:t xml:space="preserve">1) ціль застаріла та була оновлена положенням </w:t>
            </w:r>
            <w:hyperlink r:id="rId8">
              <w:r w:rsidRPr="003864E7">
                <w:rPr>
                  <w:rFonts w:ascii="Times New Roman" w:eastAsia="Times New Roman" w:hAnsi="Times New Roman" w:cs="Times New Roman"/>
                  <w:color w:val="0000FF"/>
                  <w:u w:val="single"/>
                </w:rPr>
                <w:t>Директиви (ЄС) 2018/2001 про сприяння використанню енергії з відновлювальних джерел</w:t>
              </w:r>
            </w:hyperlink>
            <w:r w:rsidRPr="003864E7">
              <w:rPr>
                <w:rFonts w:ascii="Times New Roman" w:eastAsia="Times New Roman" w:hAnsi="Times New Roman" w:cs="Times New Roman"/>
              </w:rPr>
              <w:t xml:space="preserve"> від 11 грудня 2018 року, якою встановлено ціль не менше 32%. Але ЄК (Європейська Комісія) вже запропонувала підвищення цілі встановленої в Директиві (ЄС) 2018/2001 до 40% в рамках її перегляду (</w:t>
            </w:r>
            <w:hyperlink r:id="rId9" w:anchor="documents">
              <w:r w:rsidRPr="003864E7">
                <w:rPr>
                  <w:rFonts w:ascii="Times New Roman" w:eastAsia="Times New Roman" w:hAnsi="Times New Roman" w:cs="Times New Roman"/>
                  <w:color w:val="0000FF"/>
                  <w:u w:val="single"/>
                </w:rPr>
                <w:t>RED III</w:t>
              </w:r>
            </w:hyperlink>
            <w:r w:rsidRPr="003864E7">
              <w:rPr>
                <w:rFonts w:ascii="Times New Roman" w:eastAsia="Times New Roman" w:hAnsi="Times New Roman" w:cs="Times New Roman"/>
              </w:rPr>
              <w:t xml:space="preserve">). Варто також зазначити, що згадані цілі – загальноєвропейські, тому не обов'язково передбачають встановлення ідентичних індикаторів на національному рівні в Україні. </w:t>
            </w:r>
          </w:p>
          <w:p w14:paraId="0BAC851B"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rPr>
              <w:t xml:space="preserve">2) Україна не зобов'язана впроваджувати положення ані інформаційного повідомлення ЄК, ані ціль для Європейського Союзу, передбачену Директивою (ЄС) </w:t>
            </w:r>
            <w:r w:rsidRPr="003864E7">
              <w:rPr>
                <w:rFonts w:ascii="Times New Roman" w:eastAsia="Times New Roman" w:hAnsi="Times New Roman" w:cs="Times New Roman"/>
              </w:rPr>
              <w:lastRenderedPageBreak/>
              <w:t xml:space="preserve">2018/2001. Для України така ціль встановлюватиметься на рівні Енергетичного Співтовариства відповідно до </w:t>
            </w:r>
            <w:hyperlink r:id="rId10">
              <w:r w:rsidRPr="003864E7">
                <w:rPr>
                  <w:rFonts w:ascii="Times New Roman" w:eastAsia="Times New Roman" w:hAnsi="Times New Roman" w:cs="Times New Roman"/>
                  <w:color w:val="0000FF"/>
                  <w:u w:val="single"/>
                </w:rPr>
                <w:t>Директиви (ЄС) 2018/2001 адаптованої рішенням Ради Міністрів Енергетичного Співтовариства від 30 листопада 2021 року</w:t>
              </w:r>
            </w:hyperlink>
          </w:p>
        </w:tc>
        <w:tc>
          <w:tcPr>
            <w:tcW w:w="3969" w:type="dxa"/>
            <w:tcBorders>
              <w:top w:val="single" w:sz="6" w:space="0" w:color="000000"/>
              <w:left w:val="single" w:sz="6" w:space="0" w:color="000000"/>
              <w:bottom w:val="single" w:sz="6" w:space="0" w:color="000000"/>
              <w:right w:val="single" w:sz="6" w:space="0" w:color="000000"/>
            </w:tcBorders>
          </w:tcPr>
          <w:p w14:paraId="747B1381"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lastRenderedPageBreak/>
              <w:t>Абзац 1 Вступ</w:t>
            </w:r>
          </w:p>
          <w:p w14:paraId="30A82CA2" w14:textId="77777777" w:rsidR="00B43B9E" w:rsidRPr="003864E7" w:rsidRDefault="00AF0BE5">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 xml:space="preserve">«В інформаційному повідомленні Європейської Комісії від 22 січня 2014 року під назвою «Рамкова кліматична та енергетична політика на період з 2020 до 2030 року» було встановлено основні положення майбутньої енергетичної та кліматичної політики Союзу та викладено принципи взаєморозуміння щодо розробки таких політик після 2020 року. Комісія запропонувала встановити мету на 2030 рік щодо частки споживання енергії з відновлюваних джерел на рівні не менше 27%. Ця пропозиція була </w:t>
            </w:r>
            <w:r w:rsidRPr="003864E7">
              <w:rPr>
                <w:rFonts w:ascii="Times New Roman" w:eastAsia="Times New Roman" w:hAnsi="Times New Roman" w:cs="Times New Roman"/>
              </w:rPr>
              <w:lastRenderedPageBreak/>
              <w:t>схвалена Європейською радою у її висновках від 23 та 24 жовтня 2014 року»</w:t>
            </w:r>
          </w:p>
        </w:tc>
        <w:tc>
          <w:tcPr>
            <w:tcW w:w="5954" w:type="dxa"/>
            <w:tcBorders>
              <w:top w:val="single" w:sz="6" w:space="0" w:color="000000"/>
              <w:left w:val="single" w:sz="6" w:space="0" w:color="000000"/>
              <w:bottom w:val="single" w:sz="6" w:space="0" w:color="000000"/>
              <w:right w:val="single" w:sz="6" w:space="0" w:color="000000"/>
            </w:tcBorders>
          </w:tcPr>
          <w:p w14:paraId="3EC50490"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w:t>
            </w:r>
          </w:p>
          <w:p w14:paraId="274CED9E"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4D44900D"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Перший абзац на ст. 4 Вступу викладено у такій редакції: «Директивою ЄС від 11.12.2018 2018/2001  «Про заохочення використання енергії з відновлюваних джерел» встановлено ціль для Європейського Союзу до 2030 року на рівні 32 % частки енергії з відновлюваних джерел у валовому кінцевому споживанні енергії. Наразі Європейською Комісією зважаючи на наслідки російської агресії розглядається питання підвищення зазначеної цілі до 40 %. »</w:t>
            </w:r>
          </w:p>
          <w:p w14:paraId="5A5731C4"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5E1D0D62"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1D239C9B"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183DF3CC"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t>Слід додати доцільність гібридного використання ВДЕ (наприклад комбінованих вітро-сонячних установок)</w:t>
            </w:r>
          </w:p>
          <w:p w14:paraId="1BBEA5B0"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7BE71CD6"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Для виробництва електричної енергії в умовах України доцільно використовувати такі види відновлюваних джерел: енергія вітру, енергія сонячного випромінювання, енергія потоку річок, енергія біомаси, термальна енергія Землі, гібридне використання різних джерел ВДЕ (наприклад, за допомогою комбінованих вітро-сонячних установок).</w:t>
            </w:r>
          </w:p>
          <w:p w14:paraId="6C4A3E04" w14:textId="77777777" w:rsidR="00B43B9E" w:rsidRPr="003864E7" w:rsidRDefault="00B43B9E">
            <w:pPr>
              <w:spacing w:after="0" w:line="240" w:lineRule="auto"/>
              <w:ind w:firstLine="709"/>
              <w:jc w:val="both"/>
              <w:rPr>
                <w:rFonts w:ascii="Times New Roman" w:eastAsia="Times New Roman" w:hAnsi="Times New Roman" w:cs="Times New Roman"/>
                <w:color w:val="000000"/>
              </w:rPr>
            </w:pPr>
          </w:p>
        </w:tc>
        <w:tc>
          <w:tcPr>
            <w:tcW w:w="3969" w:type="dxa"/>
            <w:tcBorders>
              <w:top w:val="single" w:sz="6" w:space="0" w:color="000000"/>
              <w:left w:val="single" w:sz="6" w:space="0" w:color="000000"/>
              <w:bottom w:val="single" w:sz="6" w:space="0" w:color="000000"/>
              <w:right w:val="single" w:sz="6" w:space="0" w:color="000000"/>
            </w:tcBorders>
          </w:tcPr>
          <w:p w14:paraId="773A1E74"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джерел енергії в електроенергетичному комплексі»</w:t>
            </w:r>
          </w:p>
          <w:p w14:paraId="0BAF43DA"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«Для виробництва електричної енергії в умовах України доцільно використовувати такі види відновлюваних джерел: енергія вітру, енергія сонячного випромінювання, енергія потоку річок, енергія біомаси, термальна енергія Землі»</w:t>
            </w:r>
          </w:p>
          <w:p w14:paraId="5DCAB179"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44076066"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6A0A030B" w14:textId="77777777" w:rsidR="00B43B9E" w:rsidRPr="003864E7" w:rsidRDefault="00AF0BE5">
            <w:pPr>
              <w:spacing w:after="0" w:line="240" w:lineRule="auto"/>
              <w:ind w:firstLine="709"/>
              <w:jc w:val="both"/>
              <w:rPr>
                <w:rFonts w:ascii="Times New Roman" w:eastAsia="Times New Roman" w:hAnsi="Times New Roman" w:cs="Times New Roman"/>
                <w:color w:val="000000"/>
              </w:rPr>
            </w:pPr>
            <w:r w:rsidRPr="003864E7">
              <w:rPr>
                <w:rFonts w:ascii="Times New Roman" w:eastAsia="Times New Roman" w:hAnsi="Times New Roman" w:cs="Times New Roman"/>
              </w:rPr>
              <w:t>Абзац 1 Розділу «Використання відновлюваних джерел енергії в електроенергетичному комплексі» викладено у такій редакції: «Для виробництва електричної енергії в умовах України доцільно використовувати такі види відновлюваних джерел: енергія вітру, енергія сонячного випромінювання, енергія потоку річок, енергія біомаси, термальна енергія Землі, а також   технології комбінованого (гібридного) використання різних відновлюваних джерел (наприклад, за допомогою комбінованих вітро-сонячних установок і т.п.).</w:t>
            </w:r>
            <w:r w:rsidRPr="003864E7">
              <w:rPr>
                <w:rFonts w:ascii="Times New Roman" w:eastAsia="Times New Roman" w:hAnsi="Times New Roman" w:cs="Times New Roman"/>
                <w:color w:val="000000"/>
              </w:rPr>
              <w:t>»</w:t>
            </w:r>
          </w:p>
        </w:tc>
      </w:tr>
      <w:tr w:rsidR="00B43B9E" w:rsidRPr="003864E7" w14:paraId="755E6CAC"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7A3BB774"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Необхідно оновити дані станом на початок 2022 р. </w:t>
            </w:r>
          </w:p>
          <w:p w14:paraId="5FF9D27A"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Відповідно до даних НКРЕКП, встановлена потужність сектору ВДЕ склала 8450,8 МВт (без врахування дСЕС);</w:t>
            </w:r>
          </w:p>
          <w:p w14:paraId="0E0C7D8C"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 З урахуванням дСЕС (дані Деренергоефективності) загальна встанвлена потужність сектору ВДЕ становить 9517,95 МВт </w:t>
            </w:r>
          </w:p>
          <w:p w14:paraId="10391491"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78D6B4B2"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w:t>
            </w:r>
          </w:p>
          <w:p w14:paraId="5FDF0F71"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На кінець 2021 року, встановлена потужність об’єктів відновлюваної енергетики, без урахування об'єктів, розташованих на тимчасово окупованих територіях, щодо яких було отримано «зелений» тариф, склала 9 517,95  МВт, з них:</w:t>
            </w:r>
          </w:p>
          <w:p w14:paraId="0B6048C8" w14:textId="77777777" w:rsidR="00B43B9E" w:rsidRPr="003864E7" w:rsidRDefault="00AF0BE5">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сонячні електростанції суб’єктів господарювання (виробників) – 6381,1 МВт;</w:t>
            </w:r>
          </w:p>
          <w:p w14:paraId="07D4D542" w14:textId="77777777" w:rsidR="00B43B9E" w:rsidRPr="003864E7" w:rsidRDefault="00AF0BE5">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сонячні електростанції приватних домогосподарств (споживачів) – 1205,15 МВт;</w:t>
            </w:r>
          </w:p>
          <w:p w14:paraId="0B060C16" w14:textId="77777777" w:rsidR="00B43B9E" w:rsidRPr="003864E7" w:rsidRDefault="00AF0BE5">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вітрові електростанції – 1 534,9 МВт;</w:t>
            </w:r>
          </w:p>
          <w:p w14:paraId="020A69EF" w14:textId="77777777" w:rsidR="00B43B9E" w:rsidRPr="003864E7" w:rsidRDefault="00AF0BE5">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електростанції на біомасі – 151,8 МВт;</w:t>
            </w:r>
          </w:p>
          <w:p w14:paraId="648EA34E" w14:textId="77777777" w:rsidR="00B43B9E" w:rsidRPr="003864E7" w:rsidRDefault="00AF0BE5">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електростанції на біогазі – 124,1 МВт;</w:t>
            </w:r>
          </w:p>
          <w:p w14:paraId="4F1BCAFE" w14:textId="77777777" w:rsidR="00B43B9E" w:rsidRPr="003864E7" w:rsidRDefault="00AF0BE5">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малі гідроелектростанції – 120,9 МВт.</w:t>
            </w:r>
          </w:p>
        </w:tc>
        <w:tc>
          <w:tcPr>
            <w:tcW w:w="3969" w:type="dxa"/>
            <w:tcBorders>
              <w:top w:val="single" w:sz="6" w:space="0" w:color="000000"/>
              <w:left w:val="single" w:sz="6" w:space="0" w:color="000000"/>
              <w:bottom w:val="single" w:sz="6" w:space="0" w:color="000000"/>
              <w:right w:val="single" w:sz="6" w:space="0" w:color="000000"/>
            </w:tcBorders>
          </w:tcPr>
          <w:p w14:paraId="78475314"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lastRenderedPageBreak/>
              <w:t>Пропозиції до Розділу «Використання відновлюваних джерел енергії в електроенергетичному комплексі»</w:t>
            </w:r>
          </w:p>
          <w:p w14:paraId="634B1A2E"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w:t>
            </w:r>
          </w:p>
          <w:p w14:paraId="5338308D"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На початок 2021 року, встановлена потужність об’єктів відновлюваної енергетики, без урахування об'єктів, розташованих на тимчасово окупованих територіях, щодо яких було отримано «зелений» тариф, склала 8 516 МВт, з них:</w:t>
            </w:r>
          </w:p>
          <w:p w14:paraId="2DAB62E5" w14:textId="77777777" w:rsidR="00B43B9E" w:rsidRPr="003864E7" w:rsidRDefault="00AF0BE5">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сонячні електростанції суб’єктів господарювання (виробників) – 6094 МВт;</w:t>
            </w:r>
          </w:p>
          <w:p w14:paraId="22FDC495" w14:textId="77777777" w:rsidR="00B43B9E" w:rsidRPr="003864E7" w:rsidRDefault="00AF0BE5">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сонячні електростанції приватних домогосподарств (споживачів) – 779 МВт;</w:t>
            </w:r>
          </w:p>
          <w:p w14:paraId="7C6B565A" w14:textId="77777777" w:rsidR="00B43B9E" w:rsidRPr="003864E7" w:rsidRDefault="00AF0BE5">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вітрові електростанції – 1314 МВт;</w:t>
            </w:r>
          </w:p>
          <w:p w14:paraId="3CDCACD0" w14:textId="77777777" w:rsidR="00B43B9E" w:rsidRPr="003864E7" w:rsidRDefault="00AF0BE5">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електростанції на біомасі – 109 МВт;</w:t>
            </w:r>
          </w:p>
          <w:p w14:paraId="78DE739D" w14:textId="77777777" w:rsidR="00B43B9E" w:rsidRPr="003864E7" w:rsidRDefault="00AF0BE5">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електростанції на біогазі – 103 МВт;</w:t>
            </w:r>
          </w:p>
          <w:p w14:paraId="090635E4" w14:textId="77777777" w:rsidR="00B43B9E" w:rsidRPr="003864E7" w:rsidRDefault="00AF0BE5">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малі гідроелектростанції – 117 МВт.</w:t>
            </w:r>
          </w:p>
        </w:tc>
        <w:tc>
          <w:tcPr>
            <w:tcW w:w="5954" w:type="dxa"/>
            <w:tcBorders>
              <w:top w:val="single" w:sz="6" w:space="0" w:color="000000"/>
              <w:left w:val="single" w:sz="6" w:space="0" w:color="000000"/>
              <w:bottom w:val="single" w:sz="6" w:space="0" w:color="000000"/>
              <w:right w:val="single" w:sz="6" w:space="0" w:color="000000"/>
            </w:tcBorders>
          </w:tcPr>
          <w:p w14:paraId="4E4E1603"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w:t>
            </w:r>
          </w:p>
          <w:p w14:paraId="24AF550C" w14:textId="77777777" w:rsidR="00B43B9E" w:rsidRPr="003864E7" w:rsidRDefault="00AF0BE5">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Показники Розділу «Використання відновлюваних джерел енергії в електроенергетичному комплексі» оновлено відповідно до офіційних даних НКРЕКП щодо потужностей об’єктів відновлюваної енергетики, які працюють за «зеленим» тарифом, а також інформації операторів системи розподілу щодо роботи сонячних електростанцій приватних домогосподарств.</w:t>
            </w:r>
          </w:p>
        </w:tc>
      </w:tr>
      <w:tr w:rsidR="00B43B9E" w:rsidRPr="003864E7" w14:paraId="262EFC59"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427BEEFB"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t>Вважаємо, що акцент на тому, що вартість виробленої «зеленої» електроенергії висока не є обґрунтованою. Вона є адекватною з огляду на ризики країни та вартість капіталу для України</w:t>
            </w:r>
          </w:p>
          <w:p w14:paraId="278BEDA0" w14:textId="77777777" w:rsidR="00B43B9E" w:rsidRPr="003864E7" w:rsidRDefault="00B43B9E">
            <w:pPr>
              <w:widowControl w:val="0"/>
              <w:spacing w:after="0" w:line="240" w:lineRule="auto"/>
              <w:ind w:firstLine="709"/>
              <w:jc w:val="both"/>
              <w:rPr>
                <w:rFonts w:ascii="Times New Roman" w:eastAsia="Times New Roman" w:hAnsi="Times New Roman" w:cs="Times New Roman"/>
              </w:rPr>
            </w:pPr>
          </w:p>
          <w:p w14:paraId="3E27CFD1"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185C63B6"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ab/>
              <w:t>…</w:t>
            </w:r>
          </w:p>
          <w:p w14:paraId="2B6A0E57"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Стрімке, більш ніж втричі протягом 2019-2020 років, зростання обсягів виробництва електричної енергії з альтернативних джерел енергії, створило ряд економічних і технічних викликів, пов’язаних, як з відсутністю сталої фінансової системи оплати електроенергії, виробленої з ВДЕ, так і з обмеженими можливостями об’єднаної енергетичної системи України до інтеграції таких об’єктів.</w:t>
            </w:r>
          </w:p>
        </w:tc>
        <w:tc>
          <w:tcPr>
            <w:tcW w:w="3969" w:type="dxa"/>
            <w:tcBorders>
              <w:top w:val="single" w:sz="6" w:space="0" w:color="000000"/>
              <w:left w:val="single" w:sz="6" w:space="0" w:color="000000"/>
              <w:bottom w:val="single" w:sz="6" w:space="0" w:color="000000"/>
              <w:right w:val="single" w:sz="6" w:space="0" w:color="000000"/>
            </w:tcBorders>
          </w:tcPr>
          <w:p w14:paraId="1EB4F58D"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Абзац на ст.5 розділу «Використання відновлюваних джерел енергії в електроенергетичному комплексі»</w:t>
            </w:r>
          </w:p>
          <w:p w14:paraId="1F3CE2D0"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 той же час, система підтримки за моделлю «зеленого» тарифу, через відсутність зворотних зв’язків та ринкових механізмів ціноутворення, не сформувала сталого підходу до розвитку відновлюваної енергетики в Україні. Стрімке, більш ніж втричі протягом 2019-2020 років, зростання обсягів виробництва електричної енергії з альтернативних джерел енергії, створило ряд економічних і технічних викликів, пов’язаних, як з високою вартістю виробленої «зеленої» електроенергії,  так і з обмеженими можливостями об’єднаної енергетичної системи України до інтеграції таких об’єктів.»</w:t>
            </w:r>
          </w:p>
        </w:tc>
        <w:tc>
          <w:tcPr>
            <w:tcW w:w="5954" w:type="dxa"/>
            <w:tcBorders>
              <w:top w:val="single" w:sz="6" w:space="0" w:color="000000"/>
              <w:left w:val="single" w:sz="6" w:space="0" w:color="000000"/>
              <w:bottom w:val="single" w:sz="6" w:space="0" w:color="000000"/>
              <w:right w:val="single" w:sz="6" w:space="0" w:color="000000"/>
            </w:tcBorders>
          </w:tcPr>
          <w:p w14:paraId="7DD60F10"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180CE049"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Абзац на ст.5 розділу «Використання відновлюваних джерел енергії в електроенергетичному комплексі» викладено в такій редакції:</w:t>
            </w:r>
          </w:p>
          <w:p w14:paraId="4105139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rPr>
              <w:t xml:space="preserve">«В той же час, система підтримки за моделлю «зеленого» тарифу, через відсутність зворотних зв’язків та ринкових механізмів ціноутворення, не сформувала сталого підходу до розвитку відновлюваної енергетики в Україні. </w:t>
            </w:r>
            <w:r w:rsidRPr="003864E7">
              <w:rPr>
                <w:rFonts w:ascii="Times New Roman" w:eastAsia="Times New Roman" w:hAnsi="Times New Roman" w:cs="Times New Roman"/>
                <w:color w:val="000000"/>
              </w:rPr>
              <w:t xml:space="preserve">Стрімке, більш ніж втричі протягом 2019-2020 років, зростання обсягів виробництва електричної енергії з альтернативних джерел енергії, створило ряд економічних і технічних викликів, пов’язаних, як </w:t>
            </w:r>
            <w:r w:rsidRPr="003864E7">
              <w:rPr>
                <w:rFonts w:ascii="Times New Roman" w:eastAsia="Times New Roman" w:hAnsi="Times New Roman" w:cs="Times New Roman"/>
              </w:rPr>
              <w:t>з відсутністю сталої фінансової системи оплати електроенергії, виробленої з ВДЕ</w:t>
            </w:r>
            <w:r w:rsidRPr="003864E7">
              <w:rPr>
                <w:rFonts w:ascii="Times New Roman" w:eastAsia="Times New Roman" w:hAnsi="Times New Roman" w:cs="Times New Roman"/>
                <w:color w:val="000000"/>
              </w:rPr>
              <w:t>, так і з обмеженими можливостями об’єднаної енергетичної системи України до інтеграції об’єктів відновлюваної електроенергетики.»</w:t>
            </w:r>
          </w:p>
          <w:p w14:paraId="7ACD0468"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p>
        </w:tc>
      </w:tr>
      <w:tr w:rsidR="00B43B9E" w:rsidRPr="003864E7" w14:paraId="0DE89075"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7393B1D4" w14:textId="77777777" w:rsidR="00B43B9E" w:rsidRPr="003864E7" w:rsidRDefault="00AF0BE5">
            <w:pPr>
              <w:spacing w:after="0" w:line="240" w:lineRule="auto"/>
              <w:rPr>
                <w:rFonts w:ascii="Times New Roman" w:eastAsia="Times New Roman" w:hAnsi="Times New Roman" w:cs="Times New Roman"/>
              </w:rPr>
            </w:pPr>
            <w:r w:rsidRPr="003864E7">
              <w:rPr>
                <w:rFonts w:ascii="Times New Roman" w:eastAsia="Times New Roman" w:hAnsi="Times New Roman" w:cs="Times New Roman"/>
              </w:rPr>
              <w:t xml:space="preserve">Слід також зазначити, що формування заборгованості також виникло через загальні проблеми ринку електричної енергії (обґрунтованість тарифів, дії учасників ринку та інш. </w:t>
            </w:r>
          </w:p>
          <w:p w14:paraId="041A0782"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759EB282" w14:textId="77777777" w:rsidR="00B43B9E" w:rsidRPr="003864E7" w:rsidRDefault="00AF0BE5">
            <w:pPr>
              <w:spacing w:after="0" w:line="240" w:lineRule="auto"/>
              <w:rPr>
                <w:rFonts w:ascii="Times New Roman" w:eastAsia="Times New Roman" w:hAnsi="Times New Roman" w:cs="Times New Roman"/>
              </w:rPr>
            </w:pPr>
            <w:r w:rsidRPr="003864E7">
              <w:rPr>
                <w:rFonts w:ascii="Times New Roman" w:eastAsia="Times New Roman" w:hAnsi="Times New Roman" w:cs="Times New Roman"/>
              </w:rPr>
              <w:t>…</w:t>
            </w:r>
          </w:p>
          <w:p w14:paraId="64330C7A"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Це призвело до значного збільшення виплат виробникам електричної енергії за «зеленим» тарифом та спричинило зростання обсягу субсидіювання, яке реалізоване через покладання спеціальних обов’язків на </w:t>
            </w:r>
            <w:r w:rsidRPr="003864E7">
              <w:rPr>
                <w:rFonts w:ascii="Times New Roman" w:eastAsia="Times New Roman" w:hAnsi="Times New Roman" w:cs="Times New Roman"/>
              </w:rPr>
              <w:lastRenderedPageBreak/>
              <w:t>державні компанії ДП «Гарантований покупець» та ПрАТ «НЕК «Укренерго», через загальні проблеми ринку електричної енергії (обґрунтованість тарифів, дії учасників ринку та інш.), що призвело до формування заборгованості ДП «Гарантований покупець» перед виробниками за «зеленим» тарифом.</w:t>
            </w:r>
          </w:p>
        </w:tc>
        <w:tc>
          <w:tcPr>
            <w:tcW w:w="3969" w:type="dxa"/>
            <w:tcBorders>
              <w:top w:val="single" w:sz="6" w:space="0" w:color="000000"/>
              <w:left w:val="single" w:sz="6" w:space="0" w:color="000000"/>
              <w:bottom w:val="single" w:sz="6" w:space="0" w:color="000000"/>
              <w:right w:val="single" w:sz="6" w:space="0" w:color="000000"/>
            </w:tcBorders>
          </w:tcPr>
          <w:p w14:paraId="157289DA"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lastRenderedPageBreak/>
              <w:t>Абзац на ст. 6 розділу «Використання відновлюваних джерел енергії в електроенергетичному комплексі»</w:t>
            </w:r>
          </w:p>
          <w:p w14:paraId="661F2864" w14:textId="77777777" w:rsidR="00B43B9E" w:rsidRPr="003864E7" w:rsidRDefault="00AF0BE5">
            <w:pPr>
              <w:spacing w:after="0" w:line="240" w:lineRule="auto"/>
              <w:rPr>
                <w:rFonts w:ascii="Times New Roman" w:eastAsia="Times New Roman" w:hAnsi="Times New Roman" w:cs="Times New Roman"/>
              </w:rPr>
            </w:pPr>
            <w:r w:rsidRPr="003864E7">
              <w:rPr>
                <w:rFonts w:ascii="Times New Roman" w:eastAsia="Times New Roman" w:hAnsi="Times New Roman" w:cs="Times New Roman"/>
              </w:rPr>
              <w:t>…</w:t>
            </w:r>
          </w:p>
          <w:p w14:paraId="545D6702"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Це призвело до значного збільшення виплат виробникам електричної енергії за «зеленим» тарифом та спричинило зростання обсягу субсидіювання, яке реалізоване через покладання спеціальних </w:t>
            </w:r>
            <w:r w:rsidRPr="003864E7">
              <w:rPr>
                <w:rFonts w:ascii="Times New Roman" w:eastAsia="Times New Roman" w:hAnsi="Times New Roman" w:cs="Times New Roman"/>
              </w:rPr>
              <w:lastRenderedPageBreak/>
              <w:t>обов’язків на державні компанії ДП «Гарантований покупець» та ПрАТ «НЕК «Укренерго», що призвело до формування заборгованості ДП «Гарантований покупець» перед виробниками за «зеленим» тарифом.</w:t>
            </w:r>
          </w:p>
          <w:p w14:paraId="1E459A09"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6F330ABB"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w:t>
            </w:r>
          </w:p>
          <w:p w14:paraId="142FA25F"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Абзац на ст. 6 розділу «Використання відновлюваних джерел енергії в електроенергетичному комплексі» викладено у такій редакції:</w:t>
            </w:r>
          </w:p>
          <w:p w14:paraId="0274C280"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 xml:space="preserve">Це призвело до значного збільшення виплат виробникам електричної енергії за «зеленим» тарифом та спричинило проблеми на ринку електричної енергії (обґрунтованість тарифів, дії учасників ринку та інш.) і зростання обсягу субсидіювання, яке реалізоване через покладання спеціальних обов’язків на державні компанії ДП «Гарантований покупець» та ПрАТ «НЕК «Укренерго», що </w:t>
            </w:r>
            <w:r w:rsidRPr="003864E7">
              <w:rPr>
                <w:rFonts w:ascii="Times New Roman" w:eastAsia="Times New Roman" w:hAnsi="Times New Roman" w:cs="Times New Roman"/>
              </w:rPr>
              <w:lastRenderedPageBreak/>
              <w:t>призвело до формування заборгованості ДП «Гарантований покупець» перед виробниками за «зеленим» тарифом.</w:t>
            </w:r>
          </w:p>
          <w:p w14:paraId="54564D83"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5B13D9B6"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3C1CA322"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t>Слід зазначити, що вищезазначена Постанова потребує оновлення враховуючи останні зміни у законодавстві та плани впровадження Feed-in-Premium.</w:t>
            </w:r>
          </w:p>
          <w:p w14:paraId="31AB3555"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1029B986" w14:textId="77777777" w:rsidR="00B43B9E" w:rsidRPr="003864E7" w:rsidRDefault="00AF0BE5">
            <w:pPr>
              <w:spacing w:after="0" w:line="240" w:lineRule="auto"/>
              <w:rPr>
                <w:rFonts w:ascii="Times New Roman" w:eastAsia="Times New Roman" w:hAnsi="Times New Roman" w:cs="Times New Roman"/>
              </w:rPr>
            </w:pPr>
            <w:r w:rsidRPr="003864E7">
              <w:rPr>
                <w:rFonts w:ascii="Times New Roman" w:eastAsia="Times New Roman" w:hAnsi="Times New Roman" w:cs="Times New Roman"/>
              </w:rPr>
              <w:t>…</w:t>
            </w:r>
          </w:p>
          <w:p w14:paraId="2BBF13A3"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rPr>
              <w:t>Кабінетом Міністрів України прийнято постанову від 27 грудня 2019 року № 1175 «Про запровадження конкурентних умов стимулювання виробництва електричної енергії з альтернативних джерел енергії», якою затверджено Порядок проведення аукціонів з розподілу квоти підтримки, Порядок відбору операторів електронних майданчиків для забезпечення проведення аукціонів з розподілу квоти підтримки та визначено ДП «Прозорро.Продажі» адміністратором електронної торгової системи, у якій проводитимуться аукціони. Вищезазначена Постанова потребує оновлень відповідно до змін, передбачених у Законі «Про альтернативні джерела енергії», також її необхідно оновити у разі запровадження системи Feed-in-Premium</w:t>
            </w:r>
          </w:p>
        </w:tc>
        <w:tc>
          <w:tcPr>
            <w:tcW w:w="3969" w:type="dxa"/>
            <w:tcBorders>
              <w:top w:val="single" w:sz="6" w:space="0" w:color="000000"/>
              <w:left w:val="single" w:sz="6" w:space="0" w:color="000000"/>
              <w:bottom w:val="single" w:sz="6" w:space="0" w:color="000000"/>
              <w:right w:val="single" w:sz="6" w:space="0" w:color="000000"/>
            </w:tcBorders>
          </w:tcPr>
          <w:p w14:paraId="5C611267"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«Відновлюваних джерел енергії в електроенергетичному комплексі»</w:t>
            </w:r>
          </w:p>
          <w:p w14:paraId="130BF07B" w14:textId="77777777" w:rsidR="00B43B9E" w:rsidRPr="003864E7" w:rsidRDefault="00AF0BE5">
            <w:pPr>
              <w:spacing w:after="0" w:line="240" w:lineRule="auto"/>
              <w:rPr>
                <w:rFonts w:ascii="Times New Roman" w:eastAsia="Times New Roman" w:hAnsi="Times New Roman" w:cs="Times New Roman"/>
              </w:rPr>
            </w:pPr>
            <w:r w:rsidRPr="003864E7">
              <w:rPr>
                <w:rFonts w:ascii="Times New Roman" w:eastAsia="Times New Roman" w:hAnsi="Times New Roman" w:cs="Times New Roman"/>
              </w:rPr>
              <w:t>…</w:t>
            </w:r>
          </w:p>
          <w:p w14:paraId="4C156A36"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Кабінетом Міністрів України прийнято постанову від 27 грудня 2019 року № 1175 «Про запровадження конкурентних умов стимулювання виробництва електричної енергії з альтернативних джерел енергії», якою затверджено Порядок проведення аукціонів з розподілу квоти підтримки, Порядок відбору операторів електронних майданчиків для забезпечення проведення аукціонів з розподілу квоти підтримки та визначено ДП «Прозорро.Продажі» адміністратором електронної торгової системи, у якій проводитимуться аукціони.</w:t>
            </w:r>
          </w:p>
        </w:tc>
        <w:tc>
          <w:tcPr>
            <w:tcW w:w="5954" w:type="dxa"/>
            <w:tcBorders>
              <w:top w:val="single" w:sz="6" w:space="0" w:color="000000"/>
              <w:left w:val="single" w:sz="6" w:space="0" w:color="000000"/>
              <w:bottom w:val="single" w:sz="6" w:space="0" w:color="000000"/>
              <w:right w:val="single" w:sz="6" w:space="0" w:color="000000"/>
            </w:tcBorders>
          </w:tcPr>
          <w:p w14:paraId="6C98770D"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301C1AF8"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41436FA4"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Абзац на ст. 7 розділу «Відновлюваних джерел енергії в електроенергетичному комплексі викладено у такій редакції:</w:t>
            </w:r>
          </w:p>
          <w:p w14:paraId="531EAE5C" w14:textId="77777777" w:rsidR="00B43B9E" w:rsidRPr="003864E7" w:rsidRDefault="00AF0BE5">
            <w:pP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rPr>
              <w:t>“Кабінетом Міністрів України прийнято постанову від 27 грудня 2019 року № 1175 «Про запровадження конкурентних умов стимулювання виробництва електричної енергії з альтернативних джерел енергії», якою затверджено Порядок проведення аукціонів з розподілу квоти підтримки, Порядок відбору операторів електронних майданчиків для забезпечення проведення аукціонів з розподілу квоти підтримки та визначено ДП «Прозорро.Продажі» адміністратором електронної торгової системи, у якій проводитимуться аукціони. З метою приведення зазначеної постанови до положень Закону України від 21.07.2020 № 810-ІХ «Про внесення змін до деяких законів України щодо удосконалення умов підтримки виробництва електричної енергії з альтернативних джерел енергії»  та вдосконалення аукціонної моделі підтримки відновлюваної енергетики Міненерго розробило  відповідні зміни.”</w:t>
            </w:r>
          </w:p>
        </w:tc>
      </w:tr>
      <w:tr w:rsidR="00B43B9E" w:rsidRPr="003864E7" w14:paraId="5EB857C6"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2393F03D"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t>Слід зазначити, що така система також необхідна для ефективної реалізації Corporate PPAs.</w:t>
            </w:r>
          </w:p>
          <w:p w14:paraId="7D7414D2"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694FB320"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w:t>
            </w:r>
          </w:p>
          <w:p w14:paraId="3197AFC3"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Питання створення системи видачі гарантій походження електричної енергії є актуальним для споживачів, в першу чергу експортерів, з огляду на майбутнє запровадження механізму вуглецевого </w:t>
            </w:r>
            <w:r w:rsidRPr="003864E7">
              <w:rPr>
                <w:rFonts w:ascii="Times New Roman" w:eastAsia="Times New Roman" w:hAnsi="Times New Roman" w:cs="Times New Roman"/>
              </w:rPr>
              <w:lastRenderedPageBreak/>
              <w:t>коригування на кордоні з ЄС (CBAM), а також для ефективної реалізації Corporate PPAs. Придбавши «зелену» електроенергію разом із гарантією походження, українські експортери матимуть змогу підтвердити, що продукція вироблена з відновлюваних джерел та уникнути оподаткування за викиди вуглецю.</w:t>
            </w:r>
          </w:p>
        </w:tc>
        <w:tc>
          <w:tcPr>
            <w:tcW w:w="3969" w:type="dxa"/>
            <w:tcBorders>
              <w:top w:val="single" w:sz="6" w:space="0" w:color="000000"/>
              <w:left w:val="single" w:sz="6" w:space="0" w:color="000000"/>
              <w:bottom w:val="single" w:sz="6" w:space="0" w:color="000000"/>
              <w:right w:val="single" w:sz="6" w:space="0" w:color="000000"/>
            </w:tcBorders>
          </w:tcPr>
          <w:p w14:paraId="233E9D37"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lastRenderedPageBreak/>
              <w:t>Абзац на ст 9 Розділу «Використання відновлюваних джерел енергії в електроенергетичному комплексі»</w:t>
            </w:r>
          </w:p>
          <w:p w14:paraId="3422047F"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w:t>
            </w:r>
          </w:p>
          <w:p w14:paraId="18135AD9"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Питання створення системи видачі гарантій походження електричної енергії є актуальним для споживачів, в першу чергу експортерів, з огляду на </w:t>
            </w:r>
            <w:r w:rsidRPr="003864E7">
              <w:rPr>
                <w:rFonts w:ascii="Times New Roman" w:eastAsia="Times New Roman" w:hAnsi="Times New Roman" w:cs="Times New Roman"/>
              </w:rPr>
              <w:lastRenderedPageBreak/>
              <w:t>майбутнє запровадження механізму вуглецевого коригування на кордоні з ЄС (CBAM). Придбавши «зелену» електроенергію разом із гарантією походження, українські експортери матимуть змогу підтвердити, що продукція вироблена з відновлюваних джерел та уникнути оподаткування за викиди вуглецю.</w:t>
            </w:r>
          </w:p>
        </w:tc>
        <w:tc>
          <w:tcPr>
            <w:tcW w:w="5954" w:type="dxa"/>
            <w:tcBorders>
              <w:top w:val="single" w:sz="6" w:space="0" w:color="000000"/>
              <w:left w:val="single" w:sz="6" w:space="0" w:color="000000"/>
              <w:bottom w:val="single" w:sz="6" w:space="0" w:color="000000"/>
              <w:right w:val="single" w:sz="6" w:space="0" w:color="000000"/>
            </w:tcBorders>
          </w:tcPr>
          <w:p w14:paraId="39910116"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w:t>
            </w:r>
          </w:p>
          <w:p w14:paraId="0AE3830F"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552796A9"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Абзац на ст 9 Розділу «Використання відновлюваних джерел енергії в електроенергетичному комплексі» викладено у такій редакції:</w:t>
            </w:r>
          </w:p>
          <w:p w14:paraId="6ACBC4C8"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rPr>
              <w:t xml:space="preserve">«Питання створення системи видачі гарантій походження електричної енергії є актуальним для споживачів, в першу чергу експортерів, з огляду на майбутнє запровадження механізму вуглецевого </w:t>
            </w:r>
            <w:r w:rsidRPr="003864E7">
              <w:rPr>
                <w:rFonts w:ascii="Times New Roman" w:eastAsia="Times New Roman" w:hAnsi="Times New Roman" w:cs="Times New Roman"/>
              </w:rPr>
              <w:lastRenderedPageBreak/>
              <w:t>коригування на кордоні з ЄС (CBAM), а також для ефективної реалізації Corporate PPAs. Придбавши «зелену» електроенергію разом із гарантією походження, українські експортери матимуть змогу підтвердити, що продукція вироблена з відновлюваних джерел та знизити  оподаткування за викиди вуглецю.</w:t>
            </w:r>
          </w:p>
          <w:p w14:paraId="2649225F"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p>
        </w:tc>
      </w:tr>
      <w:tr w:rsidR="00B43B9E" w:rsidRPr="003864E7" w14:paraId="1DE113F1"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610C28C9" w14:textId="77777777" w:rsidR="00B43B9E" w:rsidRPr="003864E7" w:rsidRDefault="00AF0BE5">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Коментар: регулювання видачі гарантій походження електроенергії зараз обговорюється з метою запуску процесу видачі гарантій походження в Україні. Але враховуючи практику країн ЄС, гарантії походження реалізуються на окремих електронних платформах окремо від ринку електричної енергії та вартість гарантій не входить у фактичну вартість або ціну електричної енергії. Крім того, твердження про вплив гарантій походження на вартість електроенергії з ВДЕ може призвести до хибних висновків про високу вартість електроенергії із ВДЕ, що не відповідає дійсності.</w:t>
            </w:r>
          </w:p>
          <w:p w14:paraId="2A858967" w14:textId="77777777" w:rsidR="00B43B9E" w:rsidRPr="003864E7" w:rsidRDefault="00AF0BE5">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 xml:space="preserve">Гарантії походження корисні для розвитку нової генерації без системи підтримки та для споживачів, які зацікавленні в отриманні інформації щодо походження електричної енергії. У той же час варто врахувати в системі гарантій походження особливості використання гарантій для виробників за «зеленим» тарифом та гарантій походження для проектів ВДЕ без «зелених» тарифів та аукціонів. Зокрема, гарантії погодження за електричну енергію по «зеленому» тарифу повинні надаватись споживачам за окремою процедурою, щоб не призводити до зниження вартості гарантій походження для виробників ВДЕ без «зеленого» тарифу. </w:t>
            </w:r>
          </w:p>
        </w:tc>
        <w:tc>
          <w:tcPr>
            <w:tcW w:w="3969" w:type="dxa"/>
            <w:tcBorders>
              <w:top w:val="single" w:sz="6" w:space="0" w:color="000000"/>
              <w:left w:val="single" w:sz="6" w:space="0" w:color="000000"/>
              <w:bottom w:val="single" w:sz="6" w:space="0" w:color="000000"/>
              <w:right w:val="single" w:sz="6" w:space="0" w:color="000000"/>
            </w:tcBorders>
          </w:tcPr>
          <w:p w14:paraId="5FF4FAD9"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color w:val="000000"/>
              </w:rPr>
              <w:t xml:space="preserve">Абзац 4 на ст. 9 розділу </w:t>
            </w: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54484D25"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w:t>
            </w:r>
          </w:p>
          <w:p w14:paraId="74C45702"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Крім того, запровадження системи видачі гарантій походження дозволить збільшити вартість електроенергії з альтернативних джерел енергії та відповідно зменшити обсяг витрат гарантованого покупця, необхідних для сплати надбавки виробникам з альтернативних джерел (різниці між «зеленим» тарифом або аукціонною та ринковою ціною). Відповідно це вплине на розміри тарифу на послуги з передачі електроенергії у бік зменшення та позитивно відобразиться на вартості електричної енергії для усіх споживачів. </w:t>
            </w:r>
          </w:p>
          <w:p w14:paraId="2B4AEE60"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74A79C1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5D1BCF3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Абзац 4 на ст. 9 розділу «Використання відновлювальних джерел енергії в електроенергетичному комплексі» викладено у  такій редакції: «Крім того, запровадження гарантій походження дозволить збільшити попит на електроенергію з альтернативних джерел енергії, дохід виробників енергії з ВДЕ, які продають електроенергію на ринку, за рахунок реалізації гарантій походження  та зменшити обсяг витрат гарантованого покупця, необхідних для сплати надбавки виробникам з альтернативних джерел (за рахунок отримання коштів за реалізацію гарантій походження на обсяг електроенергії, яка реалізується за «зеленим» тарифом або аукціонною ціною).»</w:t>
            </w:r>
          </w:p>
          <w:p w14:paraId="0EE90E95"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p>
        </w:tc>
      </w:tr>
      <w:tr w:rsidR="00B43B9E" w:rsidRPr="003864E7" w14:paraId="18B5209B"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5EC6C5A9"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Пропонуємо додати інформацію щодо видів Corporate PPAs (фізичні та фінансові) та кроків, які необхідні для їх успішної імплементації та подолання </w:t>
            </w:r>
            <w:r w:rsidRPr="003864E7">
              <w:rPr>
                <w:rFonts w:ascii="Times New Roman" w:eastAsia="Times New Roman" w:hAnsi="Times New Roman" w:cs="Times New Roman"/>
              </w:rPr>
              <w:lastRenderedPageBreak/>
              <w:t xml:space="preserve">складнощів з їх використанням в Україні (вимоги до договорів, виключення з регулювання, яке застосовується до ринків капіталу, видача гарантій походження та інш.) </w:t>
            </w:r>
          </w:p>
          <w:p w14:paraId="0A99DEAE"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4C007D78"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 </w:t>
            </w:r>
          </w:p>
          <w:p w14:paraId="49DA50A4"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Високий попит на «зелену» електроенергію створює умови для розвитку сегменту прямих договорів (Corporate PPA’s, фізичних і фінансових) – договорів купівлі-продажу електричної енергії, відповідно до яких покупцем електричної є приватний споживач, а не держава в особі гарантованого покупця. </w:t>
            </w:r>
          </w:p>
        </w:tc>
        <w:tc>
          <w:tcPr>
            <w:tcW w:w="3969" w:type="dxa"/>
            <w:tcBorders>
              <w:top w:val="single" w:sz="6" w:space="0" w:color="000000"/>
              <w:left w:val="single" w:sz="6" w:space="0" w:color="000000"/>
              <w:bottom w:val="single" w:sz="6" w:space="0" w:color="000000"/>
              <w:right w:val="single" w:sz="6" w:space="0" w:color="000000"/>
            </w:tcBorders>
          </w:tcPr>
          <w:p w14:paraId="57547A92"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Пропозиції до Розділу «Використання відновлюваних джерел енергії в електроенергетичному </w:t>
            </w:r>
            <w:r w:rsidRPr="003864E7">
              <w:rPr>
                <w:rFonts w:ascii="Times New Roman" w:eastAsia="Times New Roman" w:hAnsi="Times New Roman" w:cs="Times New Roman"/>
              </w:rPr>
              <w:lastRenderedPageBreak/>
              <w:t>комплексі»</w:t>
            </w:r>
          </w:p>
          <w:p w14:paraId="5EEF0875"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 </w:t>
            </w:r>
          </w:p>
          <w:p w14:paraId="13244D0B"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Високий попит на «зелену» електроенергію створює умови для розвитку сегменту прямих договорів (Corporate PPA’s) – договорів купівлі-продажу електричної енергії, відповідно до яких покупцем електричної є приватний споживач, а не держава в особі гарантованого покупця. </w:t>
            </w:r>
          </w:p>
          <w:p w14:paraId="72AC5EFB"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59C4C808"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Враховано</w:t>
            </w:r>
          </w:p>
          <w:p w14:paraId="6D3AB6B1"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Абзаци на ст. 9-10 розділу «Використання відновлювальних джерел енергії в електроенергетичному комплексі» </w:t>
            </w:r>
            <w:r w:rsidRPr="003864E7">
              <w:rPr>
                <w:rFonts w:ascii="Times New Roman" w:eastAsia="Times New Roman" w:hAnsi="Times New Roman" w:cs="Times New Roman"/>
                <w:color w:val="000000"/>
              </w:rPr>
              <w:lastRenderedPageBreak/>
              <w:t>викладено у такій редакції та доповнено новим абзацом:  «Високий попит на «зелену» електроенергію створює умови для розвитку сегменту прямих договорів (Corporate PPA’s) різних типів, у тому числі фізичних (physical corporate PPA), «з рукавом» (“sleeved” PPA) та віртуальних (virtual/synthetic PPA).   Покупцем електроенергії відповідно до такіх договорів є приватний споживач, а не держава в особі гарантованого покупця. Світовий ринок Corporate PPA’s за останні декілька років суттєво зріс, лише за 2019 рік було підписано Corporate PPA’s на загальну потужність 19,5 ГВт.</w:t>
            </w:r>
          </w:p>
          <w:p w14:paraId="007F91B3"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Українські виробники альтернативної енергії можуть бути зацікавленими у переході від продажу електроенергії за «зеленим» тарифом на її експорт за прямими договорами та з гарантією походження. Тому вимоги щодо регулювання сРРА повинні бути гармонізовані з вимогами щодо сРРА в ЄС та вимогами щодо фінансової та банківської привабливості (bankability).</w:t>
            </w:r>
          </w:p>
          <w:p w14:paraId="39053AFF"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Застосування Corporate PPA’s дозволить збільшити частку відновлюваних джерел енергії в енергобалансі без додаткового фінансового навантаження на державу».</w:t>
            </w:r>
          </w:p>
        </w:tc>
      </w:tr>
      <w:tr w:rsidR="00B43B9E" w:rsidRPr="003864E7" w14:paraId="3B01E3B5"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77B0A2B0"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Пропонуємо додатково зазначити, щодо розвитку офшорної вітроенергетики в Чорноморському та Азовському морях.</w:t>
            </w:r>
          </w:p>
          <w:p w14:paraId="4E5E259C"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0CD5AC43"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 </w:t>
            </w:r>
          </w:p>
          <w:p w14:paraId="7C3E50F7"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Сприятливою територією для розвитку відновлюваної енергетики є зона відчуження Чорнобильської АЕС, яка має розвинуту електроенергетичну інфраструктуру та знаходиться у енергодефіцитному регіоні.</w:t>
            </w:r>
          </w:p>
          <w:p w14:paraId="7DB510A2"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Сприятливою територією для розвитку офшорної вітроенергетики є мілководні території великих акваторій – Азовського та Чорного морів, затоки Сиваш, водосховищ Дніпровського каскаду гідроелектростанцій, лиманів</w:t>
            </w:r>
          </w:p>
        </w:tc>
        <w:tc>
          <w:tcPr>
            <w:tcW w:w="3969" w:type="dxa"/>
            <w:tcBorders>
              <w:top w:val="single" w:sz="6" w:space="0" w:color="000000"/>
              <w:left w:val="single" w:sz="6" w:space="0" w:color="000000"/>
              <w:bottom w:val="single" w:sz="6" w:space="0" w:color="000000"/>
              <w:right w:val="single" w:sz="6" w:space="0" w:color="000000"/>
            </w:tcBorders>
          </w:tcPr>
          <w:p w14:paraId="264C0F43"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Останній абзац на ст.10 розділу «Використання відновлюваних джерел енергії в електроенергетичному комплексі»</w:t>
            </w:r>
          </w:p>
          <w:p w14:paraId="4EF25348"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 </w:t>
            </w:r>
          </w:p>
          <w:p w14:paraId="4171D81C"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Сприятливою територією для розвитку відновлюваної енергетики є зона відчуження Чорнобильської АЕС, яка має розвинуту електроенергетичну інфраструктуру та знаходиться у енергодефіцитному регіоні.</w:t>
            </w:r>
          </w:p>
          <w:p w14:paraId="477C73AD"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0C6E94F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09553E12"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Розділ «Використання відновлюваних джерел енергії в електроенергетичному комплексі» доповнено абзацем такого змісту:</w:t>
            </w:r>
          </w:p>
          <w:p w14:paraId="263ADB7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«Для розвитку офшорної вітроенергетики сприятливою територією є мілководні території великих акваторій  Азовського та Чорного морів, затоки Сиваш, водосховищ Дніпровського каскаду гідроелектростанцій, лиманів.»</w:t>
            </w:r>
          </w:p>
        </w:tc>
      </w:tr>
      <w:tr w:rsidR="00B43B9E" w:rsidRPr="003864E7" w14:paraId="7F6206A6"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5289662D" w14:textId="77777777" w:rsidR="00B43B9E" w:rsidRPr="003864E7" w:rsidRDefault="00AF0BE5">
            <w:pPr>
              <w:spacing w:after="0" w:line="240" w:lineRule="auto"/>
              <w:ind w:right="345"/>
              <w:rPr>
                <w:rFonts w:ascii="Times New Roman" w:eastAsia="Times New Roman" w:hAnsi="Times New Roman" w:cs="Times New Roman"/>
              </w:rPr>
            </w:pPr>
            <w:r w:rsidRPr="003864E7">
              <w:rPr>
                <w:rFonts w:ascii="Times New Roman" w:eastAsia="Times New Roman" w:hAnsi="Times New Roman" w:cs="Times New Roman"/>
              </w:rPr>
              <w:lastRenderedPageBreak/>
              <w:t>Пропонуємо актуалізувати дані, станом на початок 2022 року</w:t>
            </w:r>
          </w:p>
          <w:p w14:paraId="7C21BADD"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FF"/>
                <w:u w:val="single"/>
              </w:rPr>
            </w:pPr>
            <w:r w:rsidRPr="003864E7">
              <w:rPr>
                <w:rFonts w:ascii="Times New Roman" w:eastAsia="Times New Roman" w:hAnsi="Times New Roman" w:cs="Times New Roman"/>
                <w:color w:val="000000"/>
              </w:rPr>
              <w:t>До прикладу, відповідно до даних Держенергоефективності, на початку 2021 року встановлена потужність вітрових електростанцій сягала 1593 МВт  (</w:t>
            </w:r>
            <w:hyperlink r:id="rId11">
              <w:r w:rsidRPr="003864E7">
                <w:rPr>
                  <w:rFonts w:ascii="Times New Roman" w:eastAsia="Times New Roman" w:hAnsi="Times New Roman" w:cs="Times New Roman"/>
                  <w:color w:val="0000FF"/>
                  <w:u w:val="single"/>
                </w:rPr>
                <w:t>Встановлена потужність об’єктів ВДЕ в Україні за І півріччя 2021р збільшилась на 8,3% - до 9225 МВт — EXPRO Consulting</w:t>
              </w:r>
            </w:hyperlink>
            <w:r w:rsidRPr="003864E7">
              <w:rPr>
                <w:rFonts w:ascii="Times New Roman" w:eastAsia="Times New Roman" w:hAnsi="Times New Roman" w:cs="Times New Roman"/>
                <w:color w:val="0000FF"/>
                <w:u w:val="single"/>
              </w:rPr>
              <w:t>)</w:t>
            </w:r>
          </w:p>
          <w:p w14:paraId="350AAD6B"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75ABA288"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 </w:t>
            </w:r>
          </w:p>
          <w:p w14:paraId="5487323E"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rPr>
              <w:t>Україна має значний потенціал подальшого розвитку вітроенергетики. Найбільш перспективними для цього є південні та південно-східні регіони країни, де середня швидкість вітру на висоті осі ротора сучасних вітрових електроустановок сягає від 7 метрів за секунду і вище. На початок 2022 року встановлена потужність об’єктів вітроенергетики становила 1 534,9 МВт (без урахування об’єктів розташованих на тимчасово окупованих територіях).</w:t>
            </w:r>
          </w:p>
        </w:tc>
        <w:tc>
          <w:tcPr>
            <w:tcW w:w="3969" w:type="dxa"/>
            <w:tcBorders>
              <w:top w:val="single" w:sz="6" w:space="0" w:color="000000"/>
              <w:left w:val="single" w:sz="6" w:space="0" w:color="000000"/>
              <w:bottom w:val="single" w:sz="6" w:space="0" w:color="000000"/>
              <w:right w:val="single" w:sz="6" w:space="0" w:color="000000"/>
            </w:tcBorders>
          </w:tcPr>
          <w:p w14:paraId="619F51A8"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джерел енергії в електроенергетичному комплексі»</w:t>
            </w:r>
          </w:p>
          <w:p w14:paraId="380C91C4"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 </w:t>
            </w:r>
          </w:p>
          <w:p w14:paraId="5540F015"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Вітрова енергетика</w:t>
            </w:r>
          </w:p>
          <w:p w14:paraId="37473457"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Україна має значний потенціал подальшого розвитку вітроенергетики. Найбільш перспективними для цього є південні та південно-східні регіони країни, де середня швидкість вітру на висоті осі ротора сучасних вітрових електроустановок сягає від 7 метрів за секунду і вище. На початок 2021 року встановлена потужність об’єктів вітроенергетики становила 1 314МВт (без урахування об’єктів розташованих на тимчасово окупованих територіях).</w:t>
            </w:r>
          </w:p>
          <w:p w14:paraId="41AFB7DC"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0D2D4CFD"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w:t>
            </w:r>
          </w:p>
          <w:p w14:paraId="1DEF4620"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Показники розділу «Використання відновлюваних джерел енергії в електроенергетичному комплексі» оновлено відповідно до офіційних даних НКРЕКП щодо потужностей об’єктів відновлюваної енергетики, які працюють за «зеленим» тарифом, а також інформації операторів системи розподілу щодо роботи сонячних електростанцій приватних домогосподарств.</w:t>
            </w:r>
          </w:p>
        </w:tc>
      </w:tr>
      <w:tr w:rsidR="00B43B9E" w:rsidRPr="003864E7" w14:paraId="4F1B7525"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6EA60404" w14:textId="77777777" w:rsidR="00B43B9E" w:rsidRPr="003864E7" w:rsidRDefault="00AF0BE5">
            <w:pPr>
              <w:spacing w:after="0" w:line="240" w:lineRule="auto"/>
              <w:ind w:right="345"/>
              <w:rPr>
                <w:rFonts w:ascii="Times New Roman" w:eastAsia="Times New Roman" w:hAnsi="Times New Roman" w:cs="Times New Roman"/>
              </w:rPr>
            </w:pPr>
            <w:r w:rsidRPr="003864E7">
              <w:rPr>
                <w:rFonts w:ascii="Times New Roman" w:eastAsia="Times New Roman" w:hAnsi="Times New Roman" w:cs="Times New Roman"/>
              </w:rPr>
              <w:t>Пропонуємо актуалізувати дані.</w:t>
            </w:r>
          </w:p>
          <w:p w14:paraId="71F4F514"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t>До прикладу, відповідно до даних Держенергоефктивності, валовий кінцевий обсяг споживання енергії з відновлюваних джерел у транспортному секторі становив 148  тис. т н. е. (</w:t>
            </w:r>
            <w:hyperlink r:id="rId12">
              <w:r w:rsidRPr="003864E7">
                <w:rPr>
                  <w:rFonts w:ascii="Times New Roman" w:eastAsia="Times New Roman" w:hAnsi="Times New Roman" w:cs="Times New Roman"/>
                  <w:color w:val="0000FF"/>
                  <w:u w:val="single"/>
                </w:rPr>
                <w:t>Держенергоефективності України (saee.gov.ua)</w:t>
              </w:r>
            </w:hyperlink>
            <w:r w:rsidRPr="003864E7">
              <w:rPr>
                <w:rFonts w:ascii="Times New Roman" w:eastAsia="Times New Roman" w:hAnsi="Times New Roman" w:cs="Times New Roman"/>
                <w:color w:val="000000"/>
              </w:rPr>
              <w:t>)</w:t>
            </w:r>
          </w:p>
          <w:p w14:paraId="5D6AE232"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транспортному секторі</w:t>
            </w:r>
          </w:p>
          <w:p w14:paraId="68748196"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w:t>
            </w:r>
          </w:p>
          <w:p w14:paraId="589C4722"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 2020 році валовий кінцевий обсяг споживання енергії з відновлюваних джерел у транспортному секторі становив 148 тис. т н. е., а саме:</w:t>
            </w:r>
          </w:p>
        </w:tc>
        <w:tc>
          <w:tcPr>
            <w:tcW w:w="3969" w:type="dxa"/>
            <w:tcBorders>
              <w:top w:val="single" w:sz="6" w:space="0" w:color="000000"/>
              <w:left w:val="single" w:sz="6" w:space="0" w:color="000000"/>
              <w:bottom w:val="single" w:sz="6" w:space="0" w:color="000000"/>
              <w:right w:val="single" w:sz="6" w:space="0" w:color="000000"/>
            </w:tcBorders>
          </w:tcPr>
          <w:p w14:paraId="7E61D5EA"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джерел енергії в транспортному секторі»</w:t>
            </w:r>
          </w:p>
          <w:p w14:paraId="0A5867CC"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w:t>
            </w:r>
          </w:p>
          <w:p w14:paraId="7C92C543"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 2020 році валовий кінцевий обсяг споживання енергії з відновлюваних джерел у транспортному секторі становив 95 тис. т н. е., а саме:</w:t>
            </w:r>
          </w:p>
          <w:p w14:paraId="25A69879" w14:textId="77777777" w:rsidR="00B43B9E" w:rsidRPr="003864E7" w:rsidRDefault="00AF0BE5">
            <w:pPr>
              <w:numPr>
                <w:ilvl w:val="0"/>
                <w:numId w:val="1"/>
              </w:num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біоетанол/етилтретбутиловий ефір, вироблений з біоетанолу – 51,1 тис. т н. е.;</w:t>
            </w:r>
          </w:p>
          <w:p w14:paraId="03341AA0" w14:textId="77777777" w:rsidR="00B43B9E" w:rsidRPr="003864E7" w:rsidRDefault="00AF0BE5">
            <w:pPr>
              <w:numPr>
                <w:ilvl w:val="0"/>
                <w:numId w:val="1"/>
              </w:num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електроенергія з відновлюваних джерел – 43,9 тис. т н. е., у тому чіслі:</w:t>
            </w:r>
          </w:p>
          <w:p w14:paraId="00EE163D" w14:textId="77777777" w:rsidR="00B43B9E" w:rsidRPr="003864E7" w:rsidRDefault="00AF0BE5">
            <w:pPr>
              <w:numPr>
                <w:ilvl w:val="0"/>
                <w:numId w:val="8"/>
              </w:numPr>
              <w:spacing w:after="80" w:line="240" w:lineRule="auto"/>
              <w:ind w:left="284" w:hanging="283"/>
              <w:jc w:val="both"/>
              <w:rPr>
                <w:rFonts w:ascii="Times New Roman" w:eastAsia="Times New Roman" w:hAnsi="Times New Roman" w:cs="Times New Roman"/>
              </w:rPr>
            </w:pPr>
            <w:r w:rsidRPr="003864E7">
              <w:rPr>
                <w:rFonts w:ascii="Times New Roman" w:eastAsia="Times New Roman" w:hAnsi="Times New Roman" w:cs="Times New Roman"/>
              </w:rPr>
              <w:t xml:space="preserve">споживана електроенергія з відновлюваних джерел залізничним транспортом (без урахування </w:t>
            </w:r>
            <w:r w:rsidRPr="003864E7">
              <w:rPr>
                <w:rFonts w:ascii="Times New Roman" w:eastAsia="Times New Roman" w:hAnsi="Times New Roman" w:cs="Times New Roman"/>
              </w:rPr>
              <w:lastRenderedPageBreak/>
              <w:t>мультиплікаційного коефіцієнту за Директивою 2009/28/ЄC – 2,5) – 35,4 тис. т н. е.,</w:t>
            </w:r>
          </w:p>
          <w:p w14:paraId="48D7D8C9" w14:textId="77777777" w:rsidR="00B43B9E" w:rsidRPr="003864E7" w:rsidRDefault="00AF0BE5">
            <w:pPr>
              <w:numPr>
                <w:ilvl w:val="0"/>
                <w:numId w:val="8"/>
              </w:numPr>
              <w:spacing w:after="80" w:line="240" w:lineRule="auto"/>
              <w:ind w:left="284" w:hanging="283"/>
              <w:jc w:val="both"/>
              <w:rPr>
                <w:rFonts w:ascii="Times New Roman" w:eastAsia="Times New Roman" w:hAnsi="Times New Roman" w:cs="Times New Roman"/>
              </w:rPr>
            </w:pPr>
            <w:r w:rsidRPr="003864E7">
              <w:rPr>
                <w:rFonts w:ascii="Times New Roman" w:eastAsia="Times New Roman" w:hAnsi="Times New Roman" w:cs="Times New Roman"/>
              </w:rPr>
              <w:t>споживана електроенергія з відновлюваних джерел іншими видами транспорту – 8,5  тис. т н. е.</w:t>
            </w:r>
          </w:p>
          <w:p w14:paraId="1BA47174"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0EA13F18"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 xml:space="preserve">Враховано </w:t>
            </w:r>
          </w:p>
          <w:p w14:paraId="5AFE27ED" w14:textId="77777777" w:rsidR="00B43B9E" w:rsidRPr="003864E7" w:rsidRDefault="00AF0BE5">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Абзац в розділі «Використання відновлюваних джерел енергії в транспортному секторі» викладено в такій редакції: «В 2020 році валовий кінцевий обсяг споживання енергії з відновлюваних джерел у транспортному секторі становив 95 тис. т н. е. (148 тис. т н. е. з урахуванням мультиплакаторів за Директивою 2009/28/ЄС ), а саме:</w:t>
            </w:r>
          </w:p>
          <w:p w14:paraId="634E8F61" w14:textId="77777777" w:rsidR="00B43B9E" w:rsidRPr="003864E7" w:rsidRDefault="00AF0BE5">
            <w:pPr>
              <w:numPr>
                <w:ilvl w:val="0"/>
                <w:numId w:val="5"/>
              </w:numPr>
              <w:pBdr>
                <w:top w:val="nil"/>
                <w:left w:val="nil"/>
                <w:bottom w:val="nil"/>
                <w:right w:val="nil"/>
                <w:between w:val="nil"/>
              </w:pBdr>
              <w:spacing w:after="0" w:line="240" w:lineRule="auto"/>
              <w:ind w:left="434"/>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біоетанол/етилтретбутиловий ефір, вироблений з біоетанолу – 51,1 тис. т н. е.;</w:t>
            </w:r>
          </w:p>
          <w:p w14:paraId="57DF65BC" w14:textId="77777777" w:rsidR="00B43B9E" w:rsidRPr="003864E7" w:rsidRDefault="00AF0BE5">
            <w:pPr>
              <w:numPr>
                <w:ilvl w:val="0"/>
                <w:numId w:val="5"/>
              </w:numPr>
              <w:pBdr>
                <w:top w:val="nil"/>
                <w:left w:val="nil"/>
                <w:bottom w:val="nil"/>
                <w:right w:val="nil"/>
                <w:between w:val="nil"/>
              </w:pBdr>
              <w:spacing w:after="0" w:line="240" w:lineRule="auto"/>
              <w:ind w:left="434"/>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електроенергія з відновлюваних джерел – 43,9 тис. т н. е. (97 тис. т н. е. з урахуванням мультиплікаторів), у тому </w:t>
            </w:r>
            <w:r w:rsidRPr="003864E7">
              <w:rPr>
                <w:rFonts w:ascii="Times New Roman" w:eastAsia="Times New Roman" w:hAnsi="Times New Roman" w:cs="Times New Roman"/>
              </w:rPr>
              <w:t>числі</w:t>
            </w:r>
            <w:r w:rsidRPr="003864E7">
              <w:rPr>
                <w:rFonts w:ascii="Times New Roman" w:eastAsia="Times New Roman" w:hAnsi="Times New Roman" w:cs="Times New Roman"/>
                <w:color w:val="000000"/>
              </w:rPr>
              <w:t>:</w:t>
            </w:r>
          </w:p>
          <w:p w14:paraId="304ED3E9" w14:textId="77777777" w:rsidR="00B43B9E" w:rsidRPr="003864E7" w:rsidRDefault="00AF0BE5">
            <w:pPr>
              <w:numPr>
                <w:ilvl w:val="0"/>
                <w:numId w:val="2"/>
              </w:numPr>
              <w:pBdr>
                <w:top w:val="nil"/>
                <w:left w:val="nil"/>
                <w:bottom w:val="nil"/>
                <w:right w:val="nil"/>
                <w:between w:val="nil"/>
              </w:pBdr>
              <w:spacing w:after="0" w:line="240" w:lineRule="auto"/>
              <w:ind w:left="718" w:hanging="283"/>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споживана електроенергія з відновлюваних джерел залізничним транспортом 35,4 тис. т н. е. ( 88,5 тис. т н.е. з урахуванням мультиплікатора за Директивою 2009/28/ЄC – 2,5)</w:t>
            </w:r>
          </w:p>
          <w:p w14:paraId="5B2459B9" w14:textId="77777777" w:rsidR="00B43B9E" w:rsidRPr="003864E7" w:rsidRDefault="00AF0BE5">
            <w:pPr>
              <w:numPr>
                <w:ilvl w:val="0"/>
                <w:numId w:val="2"/>
              </w:numPr>
              <w:pBdr>
                <w:top w:val="nil"/>
                <w:left w:val="nil"/>
                <w:bottom w:val="nil"/>
                <w:right w:val="nil"/>
                <w:between w:val="nil"/>
              </w:pBdr>
              <w:spacing w:after="0" w:line="240" w:lineRule="auto"/>
              <w:ind w:left="718" w:hanging="283"/>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споживана електроенергія з відновлюваних джерел іншими видами транспорту – 8,5  тис. т н. е.»</w:t>
            </w:r>
          </w:p>
          <w:p w14:paraId="1C93045F"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534574AE"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6B69F4F7"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Пропонуємо додатково зазначити, щодо можливості використання офшорних вітрових електростанцій</w:t>
            </w:r>
          </w:p>
          <w:p w14:paraId="5AE7907B"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газів</w:t>
            </w:r>
          </w:p>
          <w:p w14:paraId="009E9621"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w:t>
            </w:r>
          </w:p>
          <w:p w14:paraId="5EF2227D"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Відновлюваний водень</w:t>
            </w:r>
          </w:p>
          <w:p w14:paraId="0A21FF97"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Напрямок виробництва водню з використанням відновлюваних джерел енергії є новим не лише в Україні, а й загалом в світі. Наразі найбільш доцільним способом отримання «зеленого» водню є розщеплення води в електролізерах на водень і кисень електроенергією, виробленою з відновлюваних джерел. В умовах України перш за все йдеться про об’єкти вітряної, зокрема, офшорної, та сонячної генерації або їх комбінації – гібридних електростанцій. </w:t>
            </w:r>
          </w:p>
          <w:p w14:paraId="5556EB31" w14:textId="77777777" w:rsidR="00B43B9E" w:rsidRPr="003864E7" w:rsidRDefault="00B43B9E">
            <w:pPr>
              <w:spacing w:after="0" w:line="240" w:lineRule="auto"/>
              <w:ind w:right="345"/>
              <w:jc w:val="both"/>
              <w:rPr>
                <w:rFonts w:ascii="Times New Roman" w:eastAsia="Times New Roman" w:hAnsi="Times New Roman" w:cs="Times New Roman"/>
              </w:rPr>
            </w:pPr>
          </w:p>
        </w:tc>
        <w:tc>
          <w:tcPr>
            <w:tcW w:w="3969" w:type="dxa"/>
            <w:tcBorders>
              <w:top w:val="single" w:sz="6" w:space="0" w:color="000000"/>
              <w:left w:val="single" w:sz="6" w:space="0" w:color="000000"/>
              <w:bottom w:val="single" w:sz="6" w:space="0" w:color="000000"/>
              <w:right w:val="single" w:sz="6" w:space="0" w:color="000000"/>
            </w:tcBorders>
          </w:tcPr>
          <w:p w14:paraId="02899E81"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газів»</w:t>
            </w:r>
          </w:p>
          <w:p w14:paraId="74927D52"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w:t>
            </w:r>
          </w:p>
          <w:p w14:paraId="32DEB76A"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 xml:space="preserve"> «Зелений» водень</w:t>
            </w:r>
          </w:p>
          <w:p w14:paraId="252F3B65" w14:textId="77777777" w:rsidR="00B43B9E" w:rsidRPr="003864E7" w:rsidRDefault="00AF0BE5">
            <w:pPr>
              <w:spacing w:after="0" w:line="240" w:lineRule="auto"/>
              <w:ind w:firstLine="709"/>
              <w:jc w:val="center"/>
              <w:rPr>
                <w:rFonts w:ascii="Times New Roman" w:eastAsia="Times New Roman" w:hAnsi="Times New Roman" w:cs="Times New Roman"/>
                <w:b/>
              </w:rPr>
            </w:pPr>
            <w:r w:rsidRPr="003864E7">
              <w:rPr>
                <w:rFonts w:ascii="Times New Roman" w:eastAsia="Times New Roman" w:hAnsi="Times New Roman" w:cs="Times New Roman"/>
              </w:rPr>
              <w:t>Напрямок виробництва водню з використанням відновлюваних джерел енергії є новим не лише в Україні, а й загалом в світі. Наразі найбільш доцільним способом отримання «зеленого» водню є розщеплення води в електролізерах на водень і кисень електроенергією, виробленою з відновлюваних джерел. В умовах України перш за все йдеться про об’єкти вітряної та сонячної генерації або їх комбінації – гібридних електростанцій.</w:t>
            </w:r>
          </w:p>
        </w:tc>
        <w:tc>
          <w:tcPr>
            <w:tcW w:w="5954" w:type="dxa"/>
            <w:tcBorders>
              <w:top w:val="single" w:sz="6" w:space="0" w:color="000000"/>
              <w:left w:val="single" w:sz="6" w:space="0" w:color="000000"/>
              <w:bottom w:val="single" w:sz="6" w:space="0" w:color="000000"/>
              <w:right w:val="single" w:sz="6" w:space="0" w:color="000000"/>
            </w:tcBorders>
          </w:tcPr>
          <w:p w14:paraId="20065C06"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Частково враховано.</w:t>
            </w:r>
          </w:p>
          <w:p w14:paraId="2F050CDA"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rPr>
            </w:pPr>
          </w:p>
          <w:p w14:paraId="6FCAC349"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Враховано пропозицію щодо зміни назви.</w:t>
            </w:r>
          </w:p>
          <w:p w14:paraId="50B2BB48"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rPr>
              <w:t>назва підрозділу “Зелений” водень” змінена на “Відновлюваний” водень”</w:t>
            </w:r>
            <w:r w:rsidRPr="003864E7">
              <w:rPr>
                <w:rFonts w:ascii="Times New Roman" w:eastAsia="Times New Roman" w:hAnsi="Times New Roman" w:cs="Times New Roman"/>
                <w:color w:val="000000"/>
              </w:rPr>
              <w:t xml:space="preserve"> </w:t>
            </w:r>
          </w:p>
          <w:p w14:paraId="73C7AB6B"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p>
          <w:p w14:paraId="4E082826"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r w:rsidRPr="003864E7">
              <w:rPr>
                <w:rFonts w:ascii="Times New Roman" w:eastAsia="Times New Roman" w:hAnsi="Times New Roman" w:cs="Times New Roman"/>
              </w:rPr>
              <w:t xml:space="preserve"> включення  в абзац  слів “зокрема, офшорної”,  оскільки д</w:t>
            </w:r>
            <w:r w:rsidRPr="003864E7">
              <w:rPr>
                <w:rFonts w:ascii="Times New Roman" w:eastAsia="Times New Roman" w:hAnsi="Times New Roman" w:cs="Times New Roman"/>
                <w:color w:val="000000"/>
              </w:rPr>
              <w:t>о об’єктів вітрової генерації, визначених в абзаці, відносяться наземні та офшорні вітроелектростанції.</w:t>
            </w:r>
          </w:p>
          <w:p w14:paraId="29F91272"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24BEEEC9"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2A9A2C2D" w14:textId="77777777" w:rsidR="00B43B9E" w:rsidRPr="003864E7" w:rsidRDefault="00AF0BE5">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 xml:space="preserve">Коментар: Використання поняття "зелений" водень не відповідає європейським практикам. В документах стратегічного планування ЄС, зокрема у </w:t>
            </w:r>
            <w:hyperlink r:id="rId13">
              <w:r w:rsidRPr="003864E7">
                <w:rPr>
                  <w:rFonts w:ascii="Times New Roman" w:eastAsia="Times New Roman" w:hAnsi="Times New Roman" w:cs="Times New Roman"/>
                  <w:color w:val="0000FF"/>
                  <w:u w:val="single"/>
                </w:rPr>
                <w:t>Водневій стратегії ЄС</w:t>
              </w:r>
            </w:hyperlink>
            <w:r w:rsidRPr="003864E7">
              <w:rPr>
                <w:rFonts w:ascii="Times New Roman" w:eastAsia="Times New Roman" w:hAnsi="Times New Roman" w:cs="Times New Roman"/>
              </w:rPr>
              <w:t xml:space="preserve">, застосовується поняття відновлюваного водню ('renewable hydrogen'). За Угодою про асоціацію, Україна взяла на себе зобов’язання імплементувати Директиву Європейського Парламенту і Ради 2009/73/ЄС від 13 липня 2009 року щодо спільних правил для внутрішнього ринку природного газу та про скасування Директиви 2003/55/ЄС. Однак на при кінці 2021 року були опубліковані пропозиції Європейської Комісії для перегляду Директиви 2009/73/EC та Регламенту №715/2009 з метою </w:t>
            </w:r>
            <w:r w:rsidRPr="003864E7">
              <w:rPr>
                <w:rFonts w:ascii="Times New Roman" w:eastAsia="Times New Roman" w:hAnsi="Times New Roman" w:cs="Times New Roman"/>
              </w:rPr>
              <w:lastRenderedPageBreak/>
              <w:t xml:space="preserve">переходу від природного газу до відновлюваних та низьковуглецевих газів, зокрема біометану та водню. В пропозиціях Європейської Комісії для перегляду Директиви 2009/73/EC використовується термін «відновлюваний водень» замість «зеленого» водню. В цілях приведення термінів у Національному плані у відповідність до Директив ЄС пропонується використання терміну "відновлювальний водень". </w:t>
            </w:r>
          </w:p>
          <w:p w14:paraId="779D8293"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t>Зокрема, необхідно уточнення стосовно відповідності водню, виробленого з використанням біометану, визначення зеленого водню/renewable hydrogen.</w:t>
            </w:r>
          </w:p>
          <w:p w14:paraId="70A74580" w14:textId="77777777" w:rsidR="00B43B9E" w:rsidRPr="003864E7" w:rsidRDefault="00AF0BE5">
            <w:pPr>
              <w:spacing w:after="0" w:line="240" w:lineRule="auto"/>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газів</w:t>
            </w:r>
          </w:p>
          <w:p w14:paraId="5C222254" w14:textId="77777777" w:rsidR="00B43B9E" w:rsidRPr="003864E7" w:rsidRDefault="00AF0BE5">
            <w:pPr>
              <w:spacing w:after="0" w:line="240" w:lineRule="auto"/>
              <w:ind w:firstLine="708"/>
              <w:rPr>
                <w:rFonts w:ascii="Times New Roman" w:eastAsia="Times New Roman" w:hAnsi="Times New Roman" w:cs="Times New Roman"/>
              </w:rPr>
            </w:pPr>
            <w:r w:rsidRPr="003864E7">
              <w:rPr>
                <w:rFonts w:ascii="Times New Roman" w:eastAsia="Times New Roman" w:hAnsi="Times New Roman" w:cs="Times New Roman"/>
              </w:rPr>
              <w:t>“Відновлюваний водень”</w:t>
            </w:r>
          </w:p>
        </w:tc>
        <w:tc>
          <w:tcPr>
            <w:tcW w:w="3969" w:type="dxa"/>
            <w:tcBorders>
              <w:top w:val="single" w:sz="6" w:space="0" w:color="000000"/>
              <w:left w:val="single" w:sz="6" w:space="0" w:color="000000"/>
              <w:bottom w:val="single" w:sz="6" w:space="0" w:color="000000"/>
              <w:right w:val="single" w:sz="6" w:space="0" w:color="000000"/>
            </w:tcBorders>
          </w:tcPr>
          <w:p w14:paraId="248BE0D6" w14:textId="77777777" w:rsidR="00B43B9E" w:rsidRPr="003864E7" w:rsidRDefault="00AF0BE5">
            <w:pPr>
              <w:spacing w:after="0" w:line="240" w:lineRule="auto"/>
              <w:ind w:firstLine="709"/>
              <w:jc w:val="center"/>
              <w:rPr>
                <w:rFonts w:ascii="Times New Roman" w:eastAsia="Times New Roman" w:hAnsi="Times New Roman" w:cs="Times New Roman"/>
              </w:rPr>
            </w:pPr>
            <w:r w:rsidRPr="003864E7">
              <w:rPr>
                <w:rFonts w:ascii="Times New Roman" w:eastAsia="Times New Roman" w:hAnsi="Times New Roman" w:cs="Times New Roman"/>
              </w:rPr>
              <w:lastRenderedPageBreak/>
              <w:t>Пропозиції до Розділу «Використання відновлюваних газів»</w:t>
            </w:r>
          </w:p>
          <w:p w14:paraId="253D2FEF"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w:t>
            </w:r>
          </w:p>
          <w:p w14:paraId="3764B486"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 xml:space="preserve"> «Зелений» водень</w:t>
            </w:r>
          </w:p>
          <w:p w14:paraId="2D6E4435"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7A3B82B0"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Враховано </w:t>
            </w:r>
          </w:p>
          <w:p w14:paraId="5811872F"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Назву підрозділу «Зелений» водень» (ст. 22) викладено у такій редакції «Відновлюваний водень».</w:t>
            </w:r>
          </w:p>
          <w:p w14:paraId="337BE99F"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Слова в тексті проекту НПДВЕ 2030 ««зелений» водень» замінено словами  «відновлюваний водень» у відповідних відмінках.</w:t>
            </w:r>
          </w:p>
          <w:p w14:paraId="33BE408B"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3EFAB4C6" w14:textId="77777777" w:rsidTr="00943A0E">
        <w:tc>
          <w:tcPr>
            <w:tcW w:w="5543" w:type="dxa"/>
            <w:tcBorders>
              <w:top w:val="single" w:sz="6" w:space="0" w:color="000000"/>
              <w:left w:val="single" w:sz="6" w:space="0" w:color="000000"/>
              <w:bottom w:val="single" w:sz="6" w:space="0" w:color="000000"/>
              <w:right w:val="single" w:sz="6" w:space="0" w:color="000000"/>
            </w:tcBorders>
          </w:tcPr>
          <w:p w14:paraId="4BDB6A23" w14:textId="77777777" w:rsidR="00B43B9E" w:rsidRPr="003864E7" w:rsidRDefault="00AF0BE5">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 xml:space="preserve">Коментар: Загалом, хоча нормативно встановлені вимоги до змісту, обсягу та рівня деталізації національних планів дій відсутні, однак враховуючи назву документу – Національний план дій з розвитку відновлюваної енергетики на період до 2030 року, доцільно було б у цьому документі визначити чіткий перелік дій, необхідних для розвитку кожного із сегментів відновлюваної енергетики, що передбачені в такому Національному плані дій. </w:t>
            </w:r>
          </w:p>
          <w:p w14:paraId="3B83A7BE" w14:textId="77777777" w:rsidR="00B43B9E" w:rsidRPr="003864E7" w:rsidRDefault="00AF0BE5">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Пропонується уникати в Національному плані дій декларативних формулювань, що не встановлюють чітких вимог до таких дій, наприклад, «створення сприятливих умов», «розширення міжнародного співробітництва», «популяризація», оскільки це значно знижує ефективність документу.</w:t>
            </w:r>
          </w:p>
          <w:p w14:paraId="44C6F47F" w14:textId="77777777" w:rsidR="00B43B9E" w:rsidRPr="003864E7" w:rsidRDefault="00AF0BE5">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 xml:space="preserve">З урахуванням зазначеного вище, пропонується переглянути таблицю «Ціль 4. Нормативно-правове та організаційне забезпечення розвитку відновлюваної енергетики», а саме: </w:t>
            </w:r>
          </w:p>
          <w:p w14:paraId="1F9E8920" w14:textId="77777777" w:rsidR="00B43B9E" w:rsidRPr="003864E7" w:rsidRDefault="00AF0BE5">
            <w:pPr>
              <w:numPr>
                <w:ilvl w:val="0"/>
                <w:numId w:val="4"/>
              </w:numPr>
              <w:pBdr>
                <w:top w:val="nil"/>
                <w:left w:val="nil"/>
                <w:bottom w:val="nil"/>
                <w:right w:val="nil"/>
                <w:between w:val="nil"/>
              </w:pBdr>
              <w:spacing w:after="0" w:line="240" w:lineRule="auto"/>
              <w:ind w:left="595" w:right="345" w:hanging="42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привести запропоновані у таблиці заходи у відповідність до вимог законодавства, або виключити (наприклад, таблиця містить захід «1. Подання Кабінетові Міністрів України проекту розпорядження Кабінету Міністрів </w:t>
            </w:r>
            <w:r w:rsidRPr="003864E7">
              <w:rPr>
                <w:rFonts w:ascii="Times New Roman" w:eastAsia="Times New Roman" w:hAnsi="Times New Roman" w:cs="Times New Roman"/>
                <w:color w:val="000000"/>
              </w:rPr>
              <w:lastRenderedPageBreak/>
              <w:t>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 Однак він не в повні мірі відповідає ч. 5 ст. 9</w:t>
            </w:r>
            <w:r w:rsidRPr="003864E7">
              <w:rPr>
                <w:rFonts w:ascii="Times New Roman" w:eastAsia="Times New Roman" w:hAnsi="Times New Roman" w:cs="Times New Roman"/>
                <w:color w:val="000000"/>
                <w:vertAlign w:val="superscript"/>
              </w:rPr>
              <w:t xml:space="preserve">3 </w:t>
            </w:r>
            <w:r w:rsidRPr="003864E7">
              <w:rPr>
                <w:rFonts w:ascii="Times New Roman" w:eastAsia="Times New Roman" w:hAnsi="Times New Roman" w:cs="Times New Roman"/>
                <w:color w:val="000000"/>
              </w:rPr>
              <w:t>Закону України «Про альтернативні джерела енергії», згідно з якою Кабінет Міністрів України за поданням центрального органу виконавчої влади, що забезпечує формування та реалізує державну політику в електроенергетичному комплексі, щороку, не пізніше 1 грудня, встановлює річну квоту підтримки та графік проведення аукціонів на наступний рік, а також індикативні прогнозні показники річних квот підтримки на чотири роки, що йдуть за роком, на який встановлюється річна квота підтримки. Пропозиції щодо розміру річних квот підтримки готуються центральним органом виконавчої влади, що реалізує державну політику у сфері ефективного використання паливно-енергетичних ресурсів, енергозбереження, відновлюваних джерел енергії та альтернативних видів палива, та оператором системи передачі з урахуванням міжнародних зобов’язань України щодо розвитку відновлюваної енергетики, Енергетичної стратегії України, звіту з оцінки відповідності (достатності) генеруючих потужностей та плану розвитку системи передачі, стану реалізації проектів будівництва об’єктів відновлюваної енергетики.);</w:t>
            </w:r>
          </w:p>
          <w:p w14:paraId="1FFF5410" w14:textId="77777777" w:rsidR="00B43B9E" w:rsidRPr="003864E7" w:rsidRDefault="00AF0BE5">
            <w:pPr>
              <w:numPr>
                <w:ilvl w:val="0"/>
                <w:numId w:val="4"/>
              </w:numPr>
              <w:pBdr>
                <w:top w:val="nil"/>
                <w:left w:val="nil"/>
                <w:bottom w:val="nil"/>
                <w:right w:val="nil"/>
                <w:between w:val="nil"/>
              </w:pBdr>
              <w:spacing w:after="0" w:line="240" w:lineRule="auto"/>
              <w:ind w:left="595" w:right="345" w:hanging="42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доповнити заходи що стосуються розробки нормативно-правових актів основними положеннями, що мають містити такі акти.</w:t>
            </w:r>
          </w:p>
          <w:p w14:paraId="2148AF93" w14:textId="77777777" w:rsidR="00B43B9E" w:rsidRPr="003864E7" w:rsidRDefault="00AF0BE5">
            <w:pPr>
              <w:numPr>
                <w:ilvl w:val="0"/>
                <w:numId w:val="4"/>
              </w:numPr>
              <w:pBdr>
                <w:top w:val="nil"/>
                <w:left w:val="nil"/>
                <w:bottom w:val="nil"/>
                <w:right w:val="nil"/>
                <w:between w:val="nil"/>
              </w:pBdr>
              <w:spacing w:after="0" w:line="240" w:lineRule="auto"/>
              <w:ind w:left="595" w:right="345" w:hanging="42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переглянути передбачені в таблиці заходи на предмет їх чіткості та ефективності для розвитку відновлюваної енергетики.</w:t>
            </w:r>
          </w:p>
        </w:tc>
        <w:tc>
          <w:tcPr>
            <w:tcW w:w="3969" w:type="dxa"/>
            <w:tcBorders>
              <w:top w:val="single" w:sz="6" w:space="0" w:color="000000"/>
              <w:left w:val="single" w:sz="6" w:space="0" w:color="000000"/>
              <w:bottom w:val="single" w:sz="6" w:space="0" w:color="000000"/>
              <w:right w:val="single" w:sz="6" w:space="0" w:color="000000"/>
            </w:tcBorders>
          </w:tcPr>
          <w:p w14:paraId="7C8451FF" w14:textId="77777777" w:rsidR="00B43B9E" w:rsidRPr="003864E7" w:rsidRDefault="00AF0BE5">
            <w:pPr>
              <w:shd w:val="clear" w:color="auto" w:fill="FFFFFF"/>
              <w:spacing w:after="0" w:line="240" w:lineRule="auto"/>
              <w:ind w:right="450"/>
              <w:jc w:val="center"/>
              <w:rPr>
                <w:rFonts w:ascii="Times New Roman" w:eastAsia="Times New Roman" w:hAnsi="Times New Roman" w:cs="Times New Roman"/>
                <w:color w:val="000000"/>
              </w:rPr>
            </w:pPr>
            <w:r w:rsidRPr="003864E7">
              <w:rPr>
                <w:rFonts w:ascii="Times New Roman" w:eastAsia="Times New Roman" w:hAnsi="Times New Roman" w:cs="Times New Roman"/>
              </w:rPr>
              <w:lastRenderedPageBreak/>
              <w:t xml:space="preserve">Пропозиції до Плану заходів </w:t>
            </w:r>
            <w:r w:rsidRPr="003864E7">
              <w:rPr>
                <w:rFonts w:ascii="Times New Roman" w:eastAsia="Times New Roman" w:hAnsi="Times New Roman" w:cs="Times New Roman"/>
                <w:color w:val="000000"/>
              </w:rPr>
              <w:t xml:space="preserve">Ціль 4. Нормативно-правове та організаційне забезпечення розвитку відновлюваної енергетики </w:t>
            </w:r>
          </w:p>
          <w:p w14:paraId="7B4A9B4B"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78348F98"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 частково.</w:t>
            </w:r>
          </w:p>
          <w:p w14:paraId="1375A418"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Відповідно до пункту 6 Порядку проведення аукціонів з розподілу квоти підтримки, затвердженого постановою Кабінету Міністрів України від 27 грудня 2019 р. № 1175,  проект рішення щодо встановлення річних квот підтримки суб’єктів господарювання, які виробляють електричну енергію з альтернативних джерел енергії подається Кабінетові Міністрів України щороку до 31 жовтня.</w:t>
            </w:r>
          </w:p>
          <w:p w14:paraId="2324F986"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Пункт 1 Цілі 4 викладено у такій редакції: «Подання Кабінетові Міністрів України проекту розпорядження Кабінету Міністрів 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w:t>
            </w:r>
          </w:p>
          <w:p w14:paraId="5C85441F"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 Відповідальні за виконання: </w:t>
            </w:r>
          </w:p>
          <w:p w14:paraId="7F934D2C"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Міненерго </w:t>
            </w:r>
          </w:p>
          <w:p w14:paraId="5104911C"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Держенергоефективності </w:t>
            </w:r>
          </w:p>
          <w:p w14:paraId="373FD064"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ПрАТ «НЕК» Укренерго» (за згодою)</w:t>
            </w:r>
          </w:p>
          <w:p w14:paraId="262A516A"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Строк виконання: </w:t>
            </w:r>
          </w:p>
          <w:p w14:paraId="4082151E" w14:textId="77777777" w:rsidR="00B43B9E" w:rsidRPr="003864E7" w:rsidRDefault="00AF0BE5">
            <w:pPr>
              <w:pBdr>
                <w:top w:val="nil"/>
                <w:left w:val="nil"/>
                <w:bottom w:val="nil"/>
                <w:right w:val="nil"/>
                <w:between w:val="nil"/>
              </w:pBdr>
              <w:spacing w:after="0" w:line="240" w:lineRule="auto"/>
              <w:ind w:left="57" w:right="57" w:firstLine="558"/>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щороку до 31 жовтня</w:t>
            </w:r>
          </w:p>
          <w:p w14:paraId="5970EFEC" w14:textId="77777777" w:rsidR="00B43B9E" w:rsidRPr="003864E7" w:rsidRDefault="00AF0BE5">
            <w:pPr>
              <w:pBdr>
                <w:top w:val="nil"/>
                <w:left w:val="nil"/>
                <w:bottom w:val="nil"/>
                <w:right w:val="nil"/>
                <w:between w:val="nil"/>
              </w:pBdr>
              <w:spacing w:after="0" w:line="240" w:lineRule="auto"/>
              <w:ind w:right="34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Не враховано питання щодо доповнення заходів змістом основниих положеннь, що мають містити такі акти, та визначення чіткості заходів </w:t>
            </w:r>
          </w:p>
          <w:p w14:paraId="5CB10A46"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0EE3FB98"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План заходів містить пункти щодо розробки нових схем підтримки сфери відновлюваної енергетики, які грунтуються на принципах, зазначених у Директиві (ЄС) 2018/2001, адаптованих рішенням Ради Міністрів Енергетичного Співтовариства від 30 листопада 2021 року, а також зміст основних положень яких викладено  в  тексті НПДВЕ 2030.</w:t>
            </w:r>
          </w:p>
          <w:p w14:paraId="5B37B9BA"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Кожний пункт плану заходів має чіткі строки виконання та відповідальних виконавців.</w:t>
            </w:r>
          </w:p>
          <w:p w14:paraId="03DD07AA"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517BB83C"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1257A779"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47C07FFC"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bl>
    <w:tbl>
      <w:tblPr>
        <w:tblStyle w:val="afffffffa"/>
        <w:tblW w:w="15452" w:type="dxa"/>
        <w:tblInd w:w="-29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29"/>
        <w:gridCol w:w="3969"/>
        <w:gridCol w:w="5954"/>
      </w:tblGrid>
      <w:tr w:rsidR="00B43B9E" w:rsidRPr="003864E7" w14:paraId="4AD01A8F"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1CF9948E" w14:textId="77777777" w:rsidR="00B43B9E" w:rsidRPr="003864E7" w:rsidRDefault="00AF0BE5">
            <w:pPr>
              <w:spacing w:after="0" w:line="240" w:lineRule="auto"/>
              <w:ind w:right="345"/>
              <w:rPr>
                <w:rFonts w:ascii="Times New Roman" w:eastAsia="Times New Roman" w:hAnsi="Times New Roman" w:cs="Times New Roman"/>
              </w:rPr>
            </w:pPr>
            <w:r w:rsidRPr="003864E7">
              <w:rPr>
                <w:rFonts w:ascii="Times New Roman" w:eastAsia="Times New Roman" w:hAnsi="Times New Roman" w:cs="Times New Roman"/>
              </w:rPr>
              <w:lastRenderedPageBreak/>
              <w:t>Пропонуємо актуалізувати дані, станом на початок 2022 року</w:t>
            </w:r>
          </w:p>
          <w:p w14:paraId="2DC4C61B"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t>До прикладу, відповідно до даних Держенергоефективності, потенціал відновлюваних джерел енергії, сягає 98,00 млн т н. е. в рік (</w:t>
            </w:r>
            <w:hyperlink r:id="rId14">
              <w:r w:rsidRPr="003864E7">
                <w:rPr>
                  <w:rFonts w:ascii="Times New Roman" w:eastAsia="Times New Roman" w:hAnsi="Times New Roman" w:cs="Times New Roman"/>
                  <w:color w:val="0000FF"/>
                  <w:u w:val="single"/>
                </w:rPr>
                <w:t>Потенціал | Держенергоефективності України (saee.gov.ua)</w:t>
              </w:r>
            </w:hyperlink>
          </w:p>
          <w:p w14:paraId="70F0CE53" w14:textId="77777777" w:rsidR="00B43B9E" w:rsidRPr="003864E7" w:rsidRDefault="00AF0BE5">
            <w:pPr>
              <w:spacing w:after="0" w:line="240" w:lineRule="auto"/>
              <w:ind w:right="345"/>
              <w:rPr>
                <w:rFonts w:ascii="Times New Roman" w:eastAsia="Times New Roman" w:hAnsi="Times New Roman" w:cs="Times New Roman"/>
                <w:color w:val="0000FF"/>
                <w:u w:val="single"/>
              </w:rPr>
            </w:pPr>
            <w:r w:rsidRPr="003864E7">
              <w:rPr>
                <w:rFonts w:ascii="Times New Roman" w:eastAsia="Times New Roman" w:hAnsi="Times New Roman" w:cs="Times New Roman"/>
              </w:rPr>
              <w:t>Відповідно до даних Держенергоефктивності, загальне кінцеве енергоспоживання в Україні відповідно до показників енергетичного балансу 47,821млн т н. е. в рік</w:t>
            </w:r>
          </w:p>
          <w:p w14:paraId="61284228" w14:textId="77777777" w:rsidR="00B43B9E" w:rsidRPr="003864E7" w:rsidRDefault="000242BE">
            <w:pPr>
              <w:spacing w:after="0" w:line="240" w:lineRule="auto"/>
              <w:ind w:left="57" w:right="57"/>
              <w:rPr>
                <w:rFonts w:ascii="Times New Roman" w:eastAsia="Times New Roman" w:hAnsi="Times New Roman" w:cs="Times New Roman"/>
                <w:color w:val="000008"/>
              </w:rPr>
            </w:pPr>
            <w:hyperlink r:id="rId15">
              <w:r w:rsidR="00AF0BE5" w:rsidRPr="003864E7">
                <w:rPr>
                  <w:rFonts w:ascii="Times New Roman" w:eastAsia="Times New Roman" w:hAnsi="Times New Roman" w:cs="Times New Roman"/>
                  <w:color w:val="0000FF"/>
                  <w:u w:val="single"/>
                </w:rPr>
                <w:t>Bal_2020_ue.xls (live.com)</w:t>
              </w:r>
            </w:hyperlink>
          </w:p>
        </w:tc>
        <w:tc>
          <w:tcPr>
            <w:tcW w:w="3969" w:type="dxa"/>
            <w:tcBorders>
              <w:top w:val="single" w:sz="6" w:space="0" w:color="000000"/>
              <w:left w:val="single" w:sz="6" w:space="0" w:color="000000"/>
              <w:bottom w:val="single" w:sz="6" w:space="0" w:color="000000"/>
              <w:right w:val="single" w:sz="6" w:space="0" w:color="000000"/>
            </w:tcBorders>
          </w:tcPr>
          <w:p w14:paraId="607EEA0C" w14:textId="77777777" w:rsidR="00B43B9E" w:rsidRPr="003864E7" w:rsidRDefault="00AF0BE5">
            <w:pPr>
              <w:spacing w:after="0" w:line="240" w:lineRule="auto"/>
              <w:rPr>
                <w:rFonts w:ascii="Times New Roman" w:eastAsia="Times New Roman" w:hAnsi="Times New Roman" w:cs="Times New Roman"/>
              </w:rPr>
            </w:pPr>
            <w:r w:rsidRPr="003864E7">
              <w:rPr>
                <w:rFonts w:ascii="Times New Roman" w:eastAsia="Times New Roman" w:hAnsi="Times New Roman" w:cs="Times New Roman"/>
              </w:rPr>
              <w:tab/>
              <w:t xml:space="preserve">абзац на ст. 2  Вступу </w:t>
            </w:r>
          </w:p>
          <w:p w14:paraId="7FE5AF50" w14:textId="77777777" w:rsidR="00B43B9E" w:rsidRPr="003864E7" w:rsidRDefault="00AF0BE5">
            <w:pPr>
              <w:spacing w:after="0" w:line="240" w:lineRule="auto"/>
              <w:rPr>
                <w:rFonts w:ascii="Times New Roman" w:eastAsia="Times New Roman" w:hAnsi="Times New Roman" w:cs="Times New Roman"/>
              </w:rPr>
            </w:pPr>
            <w:r w:rsidRPr="003864E7">
              <w:rPr>
                <w:rFonts w:ascii="Times New Roman" w:eastAsia="Times New Roman" w:hAnsi="Times New Roman" w:cs="Times New Roman"/>
              </w:rPr>
              <w:t>…</w:t>
            </w:r>
          </w:p>
          <w:p w14:paraId="298391EA" w14:textId="77777777" w:rsidR="00B43B9E" w:rsidRPr="003864E7" w:rsidRDefault="00AF0BE5">
            <w:pPr>
              <w:tabs>
                <w:tab w:val="left" w:pos="971"/>
              </w:tabs>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За даними Інституту відновлюваної енергетики Національної академії наук України Україна має значний технічно-досяжний енергетичний потенціал відновлюваних джерел енергії, який сягає 68,9 млн т н. е. в рік. Загальне кінцеве енергоспоживання в Україні відповідно до показників енергетичного балансу за 2020 рік (розраховане за правилами Директиви 2009/28/ЄС) становило 50,5 млн т н. е. (з них лише біля 4 млн т н. е. з відновлюваних джерел). Отже, Україна при збереженні теперішнього рівня енергоспоживання у майбутньому має змогу повністю забезпечувати свої енергетичні потреби енергією з відновлюваних джерел. Основними напрямами використання відновлюваних джерел енергії в Україні є: вітрова енергія, сонячна енергія, енергія річок, енергія біомаси, геотермальна енергія, енергія навколишнього природного середовища з використанням теплових насосів.</w:t>
            </w:r>
          </w:p>
        </w:tc>
        <w:tc>
          <w:tcPr>
            <w:tcW w:w="5954" w:type="dxa"/>
            <w:tcBorders>
              <w:top w:val="single" w:sz="6" w:space="0" w:color="000000"/>
              <w:left w:val="single" w:sz="6" w:space="0" w:color="000000"/>
              <w:bottom w:val="single" w:sz="6" w:space="0" w:color="000000"/>
              <w:right w:val="single" w:sz="6" w:space="0" w:color="000000"/>
            </w:tcBorders>
          </w:tcPr>
          <w:p w14:paraId="37818F9B"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006EFFBC"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За даними Інституту відновлюваної енергетики НАН України технічно-досяжний потенціал вироблення енергоносіїв з відновлюваних джерел енергії та альтернативних видів палива складає 98,00 млн т у. п. в рік або 68,9 млн т н. е.(</w:t>
            </w:r>
            <w:hyperlink r:id="rId16">
              <w:r w:rsidRPr="003864E7">
                <w:rPr>
                  <w:rFonts w:ascii="Times New Roman" w:eastAsia="Times New Roman" w:hAnsi="Times New Roman" w:cs="Times New Roman"/>
                  <w:color w:val="0000FF"/>
                  <w:u w:val="single"/>
                </w:rPr>
                <w:t>Потенціал | Держенергоефективності України (saee.gov.ua)</w:t>
              </w:r>
            </w:hyperlink>
          </w:p>
          <w:p w14:paraId="3D557B48"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Загальне кінцеве енергоспоживання в Україні  за 2020 рік, розраховане за правилами Директиви 2009/28/ЄС, склало 50,5 млн т н. е. </w:t>
            </w:r>
          </w:p>
          <w:p w14:paraId="1367448A"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7BBD16BB"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Крім того, в проекті акта передбачено перегляд показників розвитку відновлюваної енергетики після закінчення воєнних дій та інвентаризації стану енергетичної системи.</w:t>
            </w:r>
          </w:p>
          <w:p w14:paraId="201DF168"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p>
          <w:p w14:paraId="37C2E4CB"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p>
        </w:tc>
      </w:tr>
      <w:tr w:rsidR="00B43B9E" w:rsidRPr="003864E7" w14:paraId="0567A929"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2C97BF7C"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t>Слід зазначити, чіткі строки впровадження аукціонів</w:t>
            </w:r>
          </w:p>
          <w:p w14:paraId="5499C23A" w14:textId="77777777" w:rsidR="00B43B9E" w:rsidRPr="003864E7" w:rsidRDefault="00B43B9E">
            <w:pPr>
              <w:spacing w:after="0" w:line="240" w:lineRule="auto"/>
              <w:ind w:left="57" w:right="57"/>
              <w:rPr>
                <w:rFonts w:ascii="Times New Roman" w:eastAsia="Times New Roman" w:hAnsi="Times New Roman" w:cs="Times New Roman"/>
                <w:color w:val="000008"/>
              </w:rPr>
            </w:pPr>
          </w:p>
        </w:tc>
        <w:tc>
          <w:tcPr>
            <w:tcW w:w="3969" w:type="dxa"/>
            <w:tcBorders>
              <w:top w:val="single" w:sz="6" w:space="0" w:color="000000"/>
              <w:left w:val="single" w:sz="6" w:space="0" w:color="000000"/>
              <w:bottom w:val="single" w:sz="6" w:space="0" w:color="000000"/>
              <w:right w:val="single" w:sz="6" w:space="0" w:color="000000"/>
            </w:tcBorders>
          </w:tcPr>
          <w:p w14:paraId="29BCFE2B"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Абзац на ст.7 розділу «Використання відновлюваних джерел енергії в електроенергетичному комплексі»</w:t>
            </w:r>
          </w:p>
          <w:p w14:paraId="526F7BF4" w14:textId="77777777" w:rsidR="00B43B9E" w:rsidRPr="003864E7" w:rsidRDefault="00AF0BE5">
            <w:pPr>
              <w:spacing w:after="0" w:line="240" w:lineRule="auto"/>
              <w:rPr>
                <w:rFonts w:ascii="Times New Roman" w:eastAsia="Times New Roman" w:hAnsi="Times New Roman" w:cs="Times New Roman"/>
              </w:rPr>
            </w:pPr>
            <w:r w:rsidRPr="003864E7">
              <w:rPr>
                <w:rFonts w:ascii="Times New Roman" w:eastAsia="Times New Roman" w:hAnsi="Times New Roman" w:cs="Times New Roman"/>
              </w:rPr>
              <w:t>…</w:t>
            </w:r>
          </w:p>
          <w:p w14:paraId="19F332A8"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“Водночас, враховуючи складну фінансово-економічну ситуацію в </w:t>
            </w:r>
            <w:r w:rsidRPr="003864E7">
              <w:rPr>
                <w:rFonts w:ascii="Times New Roman" w:eastAsia="Times New Roman" w:hAnsi="Times New Roman" w:cs="Times New Roman"/>
              </w:rPr>
              <w:lastRenderedPageBreak/>
              <w:t>галузі та те, що ДП «Гарантований покупець» було укладено попередніх договорів купівлі-продажу електричної енергії за «зеленим» тарифом на обсяг встановленої потужності об’єктів відновлюваної енергетики більш ніж 10 ГВт, які мали б бути введені в експлуатацію протягом 2020-2022 років, початок проведення аукціонів з розподілу квоти підтримки був відтермінований до врегулювання проблемних питань”</w:t>
            </w:r>
          </w:p>
        </w:tc>
        <w:tc>
          <w:tcPr>
            <w:tcW w:w="5954" w:type="dxa"/>
            <w:tcBorders>
              <w:top w:val="single" w:sz="6" w:space="0" w:color="000000"/>
              <w:left w:val="single" w:sz="6" w:space="0" w:color="000000"/>
              <w:bottom w:val="single" w:sz="6" w:space="0" w:color="000000"/>
              <w:right w:val="single" w:sz="6" w:space="0" w:color="000000"/>
            </w:tcBorders>
          </w:tcPr>
          <w:p w14:paraId="21EB29E7"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Не враховано.</w:t>
            </w:r>
          </w:p>
          <w:p w14:paraId="55B358B6"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 метою впровадження аукціонів з відновлюваної електроенергетики Планом заходів проекту НПДВЕ 2030 передбачено наступні заходи:</w:t>
            </w:r>
          </w:p>
          <w:p w14:paraId="5C5F1721" w14:textId="77777777" w:rsidR="00B43B9E" w:rsidRPr="003864E7" w:rsidRDefault="00AF0BE5">
            <w:pPr>
              <w:numPr>
                <w:ilvl w:val="0"/>
                <w:numId w:val="5"/>
              </w:numPr>
              <w:pBdr>
                <w:top w:val="nil"/>
                <w:left w:val="nil"/>
                <w:bottom w:val="nil"/>
                <w:right w:val="nil"/>
                <w:between w:val="nil"/>
              </w:pBdr>
              <w:spacing w:after="0" w:line="240" w:lineRule="auto"/>
              <w:ind w:left="438"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подання Кабінетові Міністрів України проекту розпорядження Кабінету Міністрів України про встановлення річної квоти підтримки та графіку </w:t>
            </w:r>
            <w:r w:rsidRPr="003864E7">
              <w:rPr>
                <w:rFonts w:ascii="Times New Roman" w:eastAsia="Times New Roman" w:hAnsi="Times New Roman" w:cs="Times New Roman"/>
                <w:color w:val="000000"/>
              </w:rPr>
              <w:lastRenderedPageBreak/>
              <w:t>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w:t>
            </w:r>
            <w:r w:rsidRPr="003864E7">
              <w:rPr>
                <w:rFonts w:ascii="Times New Roman" w:eastAsia="Times New Roman" w:hAnsi="Times New Roman" w:cs="Times New Roman"/>
              </w:rPr>
              <w:t xml:space="preserve"> Строк виконання: щороку до 31 жовтня</w:t>
            </w:r>
            <w:r w:rsidRPr="003864E7">
              <w:rPr>
                <w:rFonts w:ascii="Times New Roman" w:eastAsia="Times New Roman" w:hAnsi="Times New Roman" w:cs="Times New Roman"/>
                <w:color w:val="000000"/>
              </w:rPr>
              <w:t>;</w:t>
            </w:r>
          </w:p>
          <w:p w14:paraId="47074519" w14:textId="77777777" w:rsidR="00B43B9E" w:rsidRPr="003864E7" w:rsidRDefault="00AF0BE5">
            <w:pPr>
              <w:numPr>
                <w:ilvl w:val="0"/>
                <w:numId w:val="5"/>
              </w:numPr>
              <w:pBdr>
                <w:top w:val="nil"/>
                <w:left w:val="nil"/>
                <w:bottom w:val="nil"/>
                <w:right w:val="nil"/>
                <w:between w:val="nil"/>
              </w:pBdr>
              <w:spacing w:after="0" w:line="240" w:lineRule="auto"/>
              <w:ind w:left="438"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проведення аукціонів з розподілу квоти підтримки виробництва електричної енергії з альтернативних джерел енергії</w:t>
            </w:r>
            <w:r w:rsidRPr="003864E7">
              <w:rPr>
                <w:rFonts w:ascii="Times New Roman" w:eastAsia="Times New Roman" w:hAnsi="Times New Roman" w:cs="Times New Roman"/>
              </w:rPr>
              <w:t>. Строк виконання: 2023-2029 роки;</w:t>
            </w:r>
          </w:p>
          <w:p w14:paraId="7CF2B070" w14:textId="77777777" w:rsidR="00B43B9E" w:rsidRPr="003864E7" w:rsidRDefault="00AF0BE5">
            <w:pPr>
              <w:numPr>
                <w:ilvl w:val="0"/>
                <w:numId w:val="5"/>
              </w:numPr>
              <w:pBdr>
                <w:top w:val="nil"/>
                <w:left w:val="nil"/>
                <w:bottom w:val="nil"/>
                <w:right w:val="nil"/>
                <w:between w:val="nil"/>
              </w:pBdr>
              <w:spacing w:after="0" w:line="240" w:lineRule="auto"/>
              <w:ind w:left="438"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опрацювання питань стосовно надання Міненерго переліку земельних ділянок та/або споруд з визначеними технічними параметрами та технічними умовами на приєднання до електричної мережі для проведення аукціонів з розподілу квоти підтримки</w:t>
            </w:r>
            <w:r w:rsidRPr="003864E7">
              <w:rPr>
                <w:rFonts w:ascii="Times New Roman" w:eastAsia="Times New Roman" w:hAnsi="Times New Roman" w:cs="Times New Roman"/>
              </w:rPr>
              <w:t>. Строк виконання: 2022-2029 роки.</w:t>
            </w:r>
          </w:p>
        </w:tc>
      </w:tr>
      <w:tr w:rsidR="00B43B9E" w:rsidRPr="003864E7" w14:paraId="47CB558A"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74D12FBB"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Слід зазначити, що цей спосіб впроваджується на додаток до інших заходів реформування ринку електричної енергії</w:t>
            </w:r>
          </w:p>
          <w:p w14:paraId="18210EB9"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 Використання відновлюваних джерел енергії в електроенергетичному комплексі</w:t>
            </w:r>
          </w:p>
          <w:p w14:paraId="473E975D" w14:textId="77777777" w:rsidR="00B43B9E" w:rsidRPr="003864E7" w:rsidRDefault="00AF0BE5">
            <w:pPr>
              <w:spacing w:after="0" w:line="240" w:lineRule="auto"/>
              <w:rPr>
                <w:rFonts w:ascii="Times New Roman" w:eastAsia="Times New Roman" w:hAnsi="Times New Roman" w:cs="Times New Roman"/>
              </w:rPr>
            </w:pPr>
            <w:r w:rsidRPr="003864E7">
              <w:rPr>
                <w:rFonts w:ascii="Times New Roman" w:eastAsia="Times New Roman" w:hAnsi="Times New Roman" w:cs="Times New Roman"/>
              </w:rPr>
              <w:t>…</w:t>
            </w:r>
          </w:p>
          <w:p w14:paraId="4741A18D"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Одним із шляхів вирішення зазначеної проблеми є запровадження системи Feed-in-Premium або контрактів на різницю для виробників з альтернативних джерел (як для існуючих договорів купівлі-продажу за "зеленим" тарифом так і за договорами, укладеними майбутніми переможцями аукціонів) замість фіксованих платежів за «зеленим» тарифом - Feed-in-Tariff. Запровадження системи Feed-in-Premium або контрактів на різницю впроваджується на додаток до інших заходів реформування ринку електричної енергії, зокрема, припинення кросс-субсидіювання, відміни price caps.</w:t>
            </w:r>
          </w:p>
        </w:tc>
        <w:tc>
          <w:tcPr>
            <w:tcW w:w="3969" w:type="dxa"/>
            <w:tcBorders>
              <w:top w:val="single" w:sz="6" w:space="0" w:color="000000"/>
              <w:left w:val="single" w:sz="6" w:space="0" w:color="000000"/>
              <w:bottom w:val="single" w:sz="6" w:space="0" w:color="000000"/>
              <w:right w:val="single" w:sz="6" w:space="0" w:color="000000"/>
            </w:tcBorders>
          </w:tcPr>
          <w:p w14:paraId="3BDF851A"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Абзац на ст. 8 розділу «Використання відновлюваних джерел енергії в електроенергетичному комплексі»</w:t>
            </w:r>
          </w:p>
          <w:p w14:paraId="0901F8FC" w14:textId="77777777" w:rsidR="00B43B9E" w:rsidRPr="003864E7" w:rsidRDefault="00AF0BE5">
            <w:pPr>
              <w:spacing w:after="0" w:line="240" w:lineRule="auto"/>
              <w:rPr>
                <w:rFonts w:ascii="Times New Roman" w:eastAsia="Times New Roman" w:hAnsi="Times New Roman" w:cs="Times New Roman"/>
              </w:rPr>
            </w:pPr>
            <w:r w:rsidRPr="003864E7">
              <w:rPr>
                <w:rFonts w:ascii="Times New Roman" w:eastAsia="Times New Roman" w:hAnsi="Times New Roman" w:cs="Times New Roman"/>
              </w:rPr>
              <w:t>…</w:t>
            </w:r>
          </w:p>
          <w:p w14:paraId="2BB99A6A"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«Одним із шляхів вирішення зазначеної проблеми є запровадження системи Feed-in-Premium або контрактів на різницю для виробників з альтернативних джерел (як для існуючих договорів купівлі-продажу за "зеленим" тарифом так і за договорами, укладеними майбутніми переможцями аукціонів) замість фіксованих платежів за «зеленим» тарифом - Feed-in-Tariff.»</w:t>
            </w:r>
          </w:p>
        </w:tc>
        <w:tc>
          <w:tcPr>
            <w:tcW w:w="5954" w:type="dxa"/>
            <w:tcBorders>
              <w:top w:val="single" w:sz="6" w:space="0" w:color="000000"/>
              <w:left w:val="single" w:sz="6" w:space="0" w:color="000000"/>
              <w:bottom w:val="single" w:sz="6" w:space="0" w:color="000000"/>
              <w:right w:val="single" w:sz="6" w:space="0" w:color="000000"/>
            </w:tcBorders>
          </w:tcPr>
          <w:p w14:paraId="0A659733"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766625F6"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В тексті механізм Feed-in-Tariff визначено як один з шляхів вирішення проблеми,  </w:t>
            </w:r>
            <w:r w:rsidRPr="003864E7">
              <w:rPr>
                <w:rFonts w:ascii="Times New Roman" w:eastAsia="Times New Roman" w:hAnsi="Times New Roman" w:cs="Times New Roman"/>
              </w:rPr>
              <w:t>а не єдиний.</w:t>
            </w:r>
          </w:p>
        </w:tc>
      </w:tr>
      <w:tr w:rsidR="00B43B9E" w:rsidRPr="003864E7" w14:paraId="49A9AA2E"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5E9D5CAF"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t>Слід зазначити, можливі підходи до порядку розрахунку ринкової ціни.</w:t>
            </w:r>
          </w:p>
          <w:p w14:paraId="55F97F56" w14:textId="77777777" w:rsidR="00B43B9E" w:rsidRPr="003864E7" w:rsidRDefault="00B43B9E">
            <w:pPr>
              <w:spacing w:after="0" w:line="240" w:lineRule="auto"/>
              <w:ind w:left="57" w:right="57"/>
              <w:rPr>
                <w:rFonts w:ascii="Times New Roman" w:eastAsia="Times New Roman" w:hAnsi="Times New Roman" w:cs="Times New Roman"/>
                <w:color w:val="000008"/>
              </w:rPr>
            </w:pPr>
          </w:p>
        </w:tc>
        <w:tc>
          <w:tcPr>
            <w:tcW w:w="3969" w:type="dxa"/>
            <w:tcBorders>
              <w:top w:val="single" w:sz="6" w:space="0" w:color="000000"/>
              <w:left w:val="single" w:sz="6" w:space="0" w:color="000000"/>
              <w:bottom w:val="single" w:sz="6" w:space="0" w:color="000000"/>
              <w:right w:val="single" w:sz="6" w:space="0" w:color="000000"/>
            </w:tcBorders>
          </w:tcPr>
          <w:p w14:paraId="5F96F74F"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Абзац на ст. 8 розділу «Використання відновлюваних джерел енергії в електроенергетичному комплексі»</w:t>
            </w:r>
          </w:p>
          <w:p w14:paraId="3D9A6F36" w14:textId="77777777" w:rsidR="00B43B9E" w:rsidRPr="003864E7" w:rsidRDefault="00AF0BE5">
            <w:pPr>
              <w:spacing w:after="0" w:line="240" w:lineRule="auto"/>
              <w:rPr>
                <w:rFonts w:ascii="Times New Roman" w:eastAsia="Times New Roman" w:hAnsi="Times New Roman" w:cs="Times New Roman"/>
              </w:rPr>
            </w:pPr>
            <w:r w:rsidRPr="003864E7">
              <w:rPr>
                <w:rFonts w:ascii="Times New Roman" w:eastAsia="Times New Roman" w:hAnsi="Times New Roman" w:cs="Times New Roman"/>
              </w:rPr>
              <w:t>…</w:t>
            </w:r>
          </w:p>
          <w:p w14:paraId="68A93877"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“Відповідно до моделі Feed-in-Premium, виробники електричної </w:t>
            </w:r>
            <w:r w:rsidRPr="003864E7">
              <w:rPr>
                <w:rFonts w:ascii="Times New Roman" w:eastAsia="Times New Roman" w:hAnsi="Times New Roman" w:cs="Times New Roman"/>
              </w:rPr>
              <w:lastRenderedPageBreak/>
              <w:t>енергії з альтернативних джерел енергії безпосередньо зможуть виступати як учасники ринку, самостійно продаючи електричну енергію, оптимізуючи свої доходи від виробництва та зменшуючи свої небаланси. Одночасно такі виробники матимуть право на отримання плати від гарантованого покупця надбавки у вигляді різниці між встановленим «зеленим» тарифом або аукціоною ціною та розрахунковою ринковою ціною”</w:t>
            </w:r>
          </w:p>
        </w:tc>
        <w:tc>
          <w:tcPr>
            <w:tcW w:w="5954" w:type="dxa"/>
            <w:tcBorders>
              <w:top w:val="single" w:sz="6" w:space="0" w:color="000000"/>
              <w:left w:val="single" w:sz="6" w:space="0" w:color="000000"/>
              <w:bottom w:val="single" w:sz="6" w:space="0" w:color="000000"/>
              <w:right w:val="single" w:sz="6" w:space="0" w:color="000000"/>
            </w:tcBorders>
          </w:tcPr>
          <w:p w14:paraId="3EE822DE"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Не враховано</w:t>
            </w:r>
          </w:p>
          <w:p w14:paraId="6A8E7F3B"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77B3D971"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Порядок розрахунку ринкової ціни при визначенні надбавки у моделі Feed-in-Premium визначається первинним законодавством. Наразі Міненерго розроблено відповідний </w:t>
            </w:r>
            <w:r w:rsidRPr="003864E7">
              <w:rPr>
                <w:rFonts w:ascii="Times New Roman" w:eastAsia="Times New Roman" w:hAnsi="Times New Roman" w:cs="Times New Roman"/>
              </w:rPr>
              <w:t>законопроект</w:t>
            </w:r>
            <w:r w:rsidRPr="003864E7">
              <w:rPr>
                <w:rFonts w:ascii="Times New Roman" w:eastAsia="Times New Roman" w:hAnsi="Times New Roman" w:cs="Times New Roman"/>
                <w:color w:val="000000"/>
              </w:rPr>
              <w:t>, як</w:t>
            </w:r>
            <w:r w:rsidRPr="003864E7">
              <w:rPr>
                <w:rFonts w:ascii="Times New Roman" w:eastAsia="Times New Roman" w:hAnsi="Times New Roman" w:cs="Times New Roman"/>
              </w:rPr>
              <w:t>и</w:t>
            </w:r>
            <w:r w:rsidRPr="003864E7">
              <w:rPr>
                <w:rFonts w:ascii="Times New Roman" w:eastAsia="Times New Roman" w:hAnsi="Times New Roman" w:cs="Times New Roman"/>
                <w:color w:val="000000"/>
              </w:rPr>
              <w:t>й розміщено на веб сайті міністерства.</w:t>
            </w:r>
          </w:p>
        </w:tc>
      </w:tr>
      <w:tr w:rsidR="00B43B9E" w:rsidRPr="003864E7" w14:paraId="255BC6DE"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0CF2705E" w14:textId="77777777" w:rsidR="00B43B9E" w:rsidRPr="003864E7" w:rsidRDefault="00AF0BE5">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Слід окремо зазначити, що система підтримки за моделлю «зеленого» тарифу створила умови для успішного розвитку відновлюваної енергетики в Україні і те що початковий розвиток відновлювальної енергетики в Україні був би не можливий без неї.</w:t>
            </w:r>
          </w:p>
          <w:p w14:paraId="4BCD8ED4" w14:textId="77777777" w:rsidR="00B43B9E" w:rsidRPr="003864E7" w:rsidRDefault="00B43B9E">
            <w:pPr>
              <w:widowControl w:val="0"/>
              <w:spacing w:after="0" w:line="240" w:lineRule="auto"/>
              <w:ind w:firstLine="709"/>
              <w:jc w:val="both"/>
              <w:rPr>
                <w:rFonts w:ascii="Times New Roman" w:eastAsia="Times New Roman" w:hAnsi="Times New Roman" w:cs="Times New Roman"/>
              </w:rPr>
            </w:pPr>
          </w:p>
          <w:p w14:paraId="27ED3C33"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532B3A8E"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w:t>
            </w:r>
          </w:p>
          <w:p w14:paraId="3C72451C" w14:textId="77777777" w:rsidR="00B43B9E" w:rsidRPr="003864E7" w:rsidRDefault="00B43B9E">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06D20FC1"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Завдяки системі підтримки «зеленого» тарифу було створено умови для успішного розвитку відновлюваної енергетики в Україні, і початковий розвиток відновлюваної енергетики в Україні був би не можливий без неї. В той же час, </w:t>
            </w:r>
            <w:r w:rsidRPr="003864E7">
              <w:rPr>
                <w:rFonts w:ascii="Times New Roman" w:eastAsia="Times New Roman" w:hAnsi="Times New Roman" w:cs="Times New Roman"/>
                <w:strike/>
              </w:rPr>
              <w:t xml:space="preserve"> </w:t>
            </w:r>
            <w:r w:rsidRPr="003864E7">
              <w:rPr>
                <w:rFonts w:ascii="Times New Roman" w:eastAsia="Times New Roman" w:hAnsi="Times New Roman" w:cs="Times New Roman"/>
              </w:rPr>
              <w:t xml:space="preserve">через відсутність зворотних зв’язків та ринкових механізмів ціноутворення, та стійкої фінансової моделі оплати за вироблену з ВДЕ електроенергію,  не було сформовано сталого підходу до розвитку відновлюваної енергетики в Україні. </w:t>
            </w:r>
          </w:p>
        </w:tc>
        <w:tc>
          <w:tcPr>
            <w:tcW w:w="3969" w:type="dxa"/>
            <w:tcBorders>
              <w:top w:val="single" w:sz="6" w:space="0" w:color="000000"/>
              <w:left w:val="single" w:sz="6" w:space="0" w:color="000000"/>
              <w:bottom w:val="single" w:sz="6" w:space="0" w:color="000000"/>
              <w:right w:val="single" w:sz="6" w:space="0" w:color="000000"/>
            </w:tcBorders>
          </w:tcPr>
          <w:p w14:paraId="43B304A7"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джерел енергії в електроенергетичному комплексі»</w:t>
            </w:r>
          </w:p>
          <w:p w14:paraId="45C65495"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w:t>
            </w:r>
          </w:p>
          <w:p w14:paraId="64A7B0C4" w14:textId="77777777" w:rsidR="00B43B9E" w:rsidRPr="003864E7" w:rsidRDefault="00AF0BE5">
            <w:pPr>
              <w:shd w:val="clear" w:color="auto" w:fill="FFFFFF"/>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«На кінець 2020 року Національний план дій з розвитку відновлюваної енергетики на період до 2020 року в частині сонячної енергетики перевиконано майже втричі. Водночас, показники розвитку інших альтернативних джерел енергії значно нижчі, ніж передбачено зазначеним планом дій в частині вітроенергетики – на 40%, в частині біоенергетики – на 80%.</w:t>
            </w:r>
          </w:p>
          <w:p w14:paraId="10354AD7"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В той же час, система підтримки за моделлю «зеленого» тарифу, через відсутність зворотних зв’язків та ринкових механізмів ціноутворення, не сформувала сталого підходу до розвитку відновлюваної енергетики в Україні. Стрімке, більш ніж втричі протягом 2019-2020 років, зростання обсягів виробництва електричної енергії з альтернативних джерел </w:t>
            </w:r>
            <w:r w:rsidRPr="003864E7">
              <w:rPr>
                <w:rFonts w:ascii="Times New Roman" w:eastAsia="Times New Roman" w:hAnsi="Times New Roman" w:cs="Times New Roman"/>
              </w:rPr>
              <w:lastRenderedPageBreak/>
              <w:t>енергії, створило ряд економічних і технічних викликів, пов’язаних, як з високою вартістю виробленої «зеленої» електроенергії, так і з обмеженими можливостями об’єднаної енергетичної системи України до інтеграції таких об’єктів.»</w:t>
            </w:r>
          </w:p>
        </w:tc>
        <w:tc>
          <w:tcPr>
            <w:tcW w:w="5954" w:type="dxa"/>
            <w:tcBorders>
              <w:top w:val="single" w:sz="6" w:space="0" w:color="000000"/>
              <w:left w:val="single" w:sz="6" w:space="0" w:color="000000"/>
              <w:bottom w:val="single" w:sz="6" w:space="0" w:color="000000"/>
              <w:right w:val="single" w:sz="6" w:space="0" w:color="000000"/>
            </w:tcBorders>
          </w:tcPr>
          <w:p w14:paraId="6784C257" w14:textId="77777777" w:rsidR="00B43B9E" w:rsidRPr="003864E7" w:rsidRDefault="00AF0BE5">
            <w:pPr>
              <w:pBdr>
                <w:top w:val="nil"/>
                <w:left w:val="nil"/>
                <w:bottom w:val="nil"/>
                <w:right w:val="nil"/>
                <w:between w:val="nil"/>
              </w:pBdr>
              <w:spacing w:after="0" w:line="240" w:lineRule="auto"/>
              <w:ind w:lef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rPr>
              <w:lastRenderedPageBreak/>
              <w:t>Не в</w:t>
            </w:r>
            <w:r w:rsidRPr="003864E7">
              <w:rPr>
                <w:rFonts w:ascii="Times New Roman" w:eastAsia="Times New Roman" w:hAnsi="Times New Roman" w:cs="Times New Roman"/>
                <w:color w:val="000000"/>
              </w:rPr>
              <w:t>раховано</w:t>
            </w:r>
          </w:p>
          <w:p w14:paraId="6B207233" w14:textId="77777777" w:rsidR="00B43B9E" w:rsidRPr="003864E7" w:rsidRDefault="00AF0BE5">
            <w:pPr>
              <w:pBdr>
                <w:top w:val="nil"/>
                <w:left w:val="nil"/>
                <w:bottom w:val="nil"/>
                <w:right w:val="nil"/>
                <w:between w:val="nil"/>
              </w:pBdr>
              <w:spacing w:after="0" w:line="240" w:lineRule="auto"/>
              <w:ind w:left="57" w:firstLine="558"/>
              <w:jc w:val="both"/>
              <w:rPr>
                <w:rFonts w:ascii="Times New Roman" w:eastAsia="Times New Roman" w:hAnsi="Times New Roman" w:cs="Times New Roman"/>
              </w:rPr>
            </w:pPr>
            <w:r w:rsidRPr="003864E7">
              <w:rPr>
                <w:rFonts w:ascii="Times New Roman" w:eastAsia="Times New Roman" w:hAnsi="Times New Roman" w:cs="Times New Roman"/>
              </w:rPr>
              <w:t>Зазначені питання вже викладені в попередньому абзаці на ст. 5 Розділу «Використання відновлюваних джерел енергії в електроенергетичному комплексі», а саме:</w:t>
            </w:r>
          </w:p>
          <w:p w14:paraId="56C9EC43" w14:textId="77777777" w:rsidR="00B43B9E" w:rsidRPr="003864E7" w:rsidRDefault="00AF0BE5">
            <w:pPr>
              <w:pBdr>
                <w:top w:val="nil"/>
                <w:left w:val="nil"/>
                <w:bottom w:val="nil"/>
                <w:right w:val="nil"/>
                <w:between w:val="nil"/>
              </w:pBdr>
              <w:spacing w:after="0" w:line="240" w:lineRule="auto"/>
              <w:ind w:left="57" w:firstLine="558"/>
              <w:jc w:val="both"/>
              <w:rPr>
                <w:rFonts w:ascii="Times New Roman" w:eastAsia="Times New Roman" w:hAnsi="Times New Roman" w:cs="Times New Roman"/>
              </w:rPr>
            </w:pPr>
            <w:r w:rsidRPr="003864E7">
              <w:rPr>
                <w:rFonts w:ascii="Times New Roman" w:eastAsia="Times New Roman" w:hAnsi="Times New Roman" w:cs="Times New Roman"/>
              </w:rPr>
              <w:t>“Зростання обсягів встановленої потужності та обсягів генерації об’єктами відновлюваної електроенергетики протягом 2014-2020 років в Україні відбувалось завдяки створенню державою правових, організаційних та економічних стимулів, а саме запровадження моделі фіксованого «зеленого» тарифу на рівні Закону України «Про альтернативні джерела енергії».</w:t>
            </w:r>
          </w:p>
          <w:p w14:paraId="1B79A92C" w14:textId="77777777" w:rsidR="00B43B9E" w:rsidRPr="003864E7" w:rsidRDefault="00B43B9E">
            <w:pPr>
              <w:pBdr>
                <w:top w:val="nil"/>
                <w:left w:val="nil"/>
                <w:bottom w:val="nil"/>
                <w:right w:val="nil"/>
                <w:between w:val="nil"/>
              </w:pBdr>
              <w:spacing w:after="0" w:line="240" w:lineRule="auto"/>
              <w:ind w:left="57" w:firstLine="558"/>
              <w:jc w:val="both"/>
              <w:rPr>
                <w:rFonts w:ascii="Times New Roman" w:eastAsia="Times New Roman" w:hAnsi="Times New Roman" w:cs="Times New Roman"/>
                <w:color w:val="000000"/>
              </w:rPr>
            </w:pPr>
          </w:p>
        </w:tc>
      </w:tr>
      <w:tr w:rsidR="00B43B9E" w:rsidRPr="003864E7" w14:paraId="2913E8A4"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4CE8E9DF" w14:textId="77777777" w:rsidR="00B43B9E" w:rsidRPr="00D74D54" w:rsidRDefault="00AF0BE5">
            <w:pPr>
              <w:widowControl w:val="0"/>
              <w:spacing w:after="0" w:line="240" w:lineRule="auto"/>
              <w:ind w:firstLine="709"/>
              <w:jc w:val="both"/>
              <w:rPr>
                <w:rFonts w:ascii="Times New Roman" w:eastAsia="Times New Roman" w:hAnsi="Times New Roman" w:cs="Times New Roman"/>
              </w:rPr>
            </w:pPr>
            <w:r w:rsidRPr="00D74D54">
              <w:rPr>
                <w:rFonts w:ascii="Times New Roman" w:eastAsia="Times New Roman" w:hAnsi="Times New Roman" w:cs="Times New Roman"/>
              </w:rPr>
              <w:t xml:space="preserve">Слід зазначити, що Положення Меморандуму знаходяться в процесі виконання </w:t>
            </w:r>
          </w:p>
          <w:p w14:paraId="1E60E4D5" w14:textId="77777777" w:rsidR="00B43B9E" w:rsidRPr="00D74D54" w:rsidRDefault="00AF0BE5">
            <w:pPr>
              <w:widowControl w:val="0"/>
              <w:spacing w:after="0" w:line="240" w:lineRule="auto"/>
              <w:ind w:firstLine="709"/>
              <w:jc w:val="both"/>
              <w:rPr>
                <w:rFonts w:ascii="Times New Roman" w:eastAsia="Times New Roman" w:hAnsi="Times New Roman" w:cs="Times New Roman"/>
              </w:rPr>
            </w:pPr>
            <w:r w:rsidRPr="00D74D54">
              <w:rPr>
                <w:rFonts w:ascii="Times New Roman" w:eastAsia="Times New Roman" w:hAnsi="Times New Roman" w:cs="Times New Roman"/>
              </w:rPr>
              <w:t>Використання відновлюваних джерел енергії в електроенергетичному комплексі</w:t>
            </w:r>
          </w:p>
          <w:p w14:paraId="06378A89" w14:textId="77777777" w:rsidR="00B43B9E" w:rsidRPr="00D74D54" w:rsidRDefault="00AF0BE5">
            <w:pPr>
              <w:spacing w:after="0" w:line="240" w:lineRule="auto"/>
              <w:rPr>
                <w:rFonts w:ascii="Times New Roman" w:eastAsia="Times New Roman" w:hAnsi="Times New Roman" w:cs="Times New Roman"/>
              </w:rPr>
            </w:pPr>
            <w:r w:rsidRPr="00D74D54">
              <w:rPr>
                <w:rFonts w:ascii="Times New Roman" w:eastAsia="Times New Roman" w:hAnsi="Times New Roman" w:cs="Times New Roman"/>
              </w:rPr>
              <w:t>…</w:t>
            </w:r>
          </w:p>
          <w:p w14:paraId="1BCA645E" w14:textId="77777777" w:rsidR="00B43B9E" w:rsidRPr="00D74D54" w:rsidRDefault="00AF0BE5">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D74D54">
              <w:rPr>
                <w:rFonts w:ascii="Times New Roman" w:eastAsia="Times New Roman" w:hAnsi="Times New Roman" w:cs="Times New Roman"/>
              </w:rPr>
              <w:t>Враховуючи складну ситуацію в галузі, Україна не пішла на одностороннє зниження «зелених» тарифів, а досягла врегулювання цього питання шляхом тривалих переговорів з інвесторами, пошуку компромісів та укладання Меморандуму, який став основою відповідного закону. Сторони, зокрема, держава ще є в процесі виконання положень Меморандуму.</w:t>
            </w:r>
          </w:p>
        </w:tc>
        <w:tc>
          <w:tcPr>
            <w:tcW w:w="3969" w:type="dxa"/>
            <w:tcBorders>
              <w:top w:val="single" w:sz="6" w:space="0" w:color="000000"/>
              <w:left w:val="single" w:sz="6" w:space="0" w:color="000000"/>
              <w:bottom w:val="single" w:sz="6" w:space="0" w:color="000000"/>
              <w:right w:val="single" w:sz="6" w:space="0" w:color="000000"/>
            </w:tcBorders>
          </w:tcPr>
          <w:p w14:paraId="3E791F46" w14:textId="77777777" w:rsidR="00B43B9E" w:rsidRPr="00D74D54" w:rsidRDefault="00AF0BE5">
            <w:pPr>
              <w:widowControl w:val="0"/>
              <w:spacing w:after="0" w:line="240" w:lineRule="auto"/>
              <w:ind w:firstLine="709"/>
              <w:jc w:val="both"/>
              <w:rPr>
                <w:rFonts w:ascii="Times New Roman" w:eastAsia="Times New Roman" w:hAnsi="Times New Roman" w:cs="Times New Roman"/>
              </w:rPr>
            </w:pPr>
            <w:r w:rsidRPr="00D74D54">
              <w:rPr>
                <w:rFonts w:ascii="Times New Roman" w:eastAsia="Times New Roman" w:hAnsi="Times New Roman" w:cs="Times New Roman"/>
              </w:rPr>
              <w:t>Пропозиції до Розділу «Використання відновлюваних джерел енергії в електроенергетичному комплексі»</w:t>
            </w:r>
          </w:p>
          <w:p w14:paraId="47B191F4" w14:textId="77777777" w:rsidR="00B43B9E" w:rsidRPr="00D74D54" w:rsidRDefault="00AF0BE5">
            <w:pPr>
              <w:spacing w:after="0" w:line="240" w:lineRule="auto"/>
              <w:rPr>
                <w:rFonts w:ascii="Times New Roman" w:eastAsia="Times New Roman" w:hAnsi="Times New Roman" w:cs="Times New Roman"/>
              </w:rPr>
            </w:pPr>
            <w:r w:rsidRPr="00D74D54">
              <w:rPr>
                <w:rFonts w:ascii="Times New Roman" w:eastAsia="Times New Roman" w:hAnsi="Times New Roman" w:cs="Times New Roman"/>
              </w:rPr>
              <w:t>…</w:t>
            </w:r>
          </w:p>
          <w:p w14:paraId="02390919" w14:textId="77777777" w:rsidR="00B43B9E" w:rsidRPr="00D74D54" w:rsidRDefault="00AF0BE5">
            <w:pPr>
              <w:widowControl w:val="0"/>
              <w:spacing w:after="0" w:line="240" w:lineRule="auto"/>
              <w:ind w:firstLine="709"/>
              <w:jc w:val="both"/>
              <w:rPr>
                <w:rFonts w:ascii="Times New Roman" w:eastAsia="Times New Roman" w:hAnsi="Times New Roman" w:cs="Times New Roman"/>
              </w:rPr>
            </w:pPr>
            <w:r w:rsidRPr="00D74D54">
              <w:rPr>
                <w:rFonts w:ascii="Times New Roman" w:eastAsia="Times New Roman" w:hAnsi="Times New Roman" w:cs="Times New Roman"/>
              </w:rPr>
              <w:t>Враховуючи складну ситуацію в галузі, Україна не пішла на одностороннє зниження «зелених» тарифів, а досягла врегулювання цього питання шляхом тривалих переговорів з інвесторами, пошуку компромісів та укладання Меморандуму, який став основою відповідного закону.</w:t>
            </w:r>
          </w:p>
        </w:tc>
        <w:tc>
          <w:tcPr>
            <w:tcW w:w="5954" w:type="dxa"/>
            <w:tcBorders>
              <w:top w:val="single" w:sz="6" w:space="0" w:color="000000"/>
              <w:left w:val="single" w:sz="6" w:space="0" w:color="000000"/>
              <w:bottom w:val="single" w:sz="6" w:space="0" w:color="000000"/>
              <w:right w:val="single" w:sz="6" w:space="0" w:color="000000"/>
            </w:tcBorders>
          </w:tcPr>
          <w:p w14:paraId="611EB42F"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Не в</w:t>
            </w:r>
            <w:r w:rsidRPr="003864E7">
              <w:rPr>
                <w:rFonts w:ascii="Times New Roman" w:eastAsia="Times New Roman" w:hAnsi="Times New Roman" w:cs="Times New Roman"/>
                <w:color w:val="000000"/>
              </w:rPr>
              <w:t>раховано</w:t>
            </w:r>
          </w:p>
          <w:p w14:paraId="71F36071"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Зазначений абзац було виключено з метою скорочення розділу</w:t>
            </w:r>
          </w:p>
          <w:p w14:paraId="20C7B914" w14:textId="77777777" w:rsidR="00B43B9E" w:rsidRPr="003864E7" w:rsidRDefault="00B43B9E">
            <w:pPr>
              <w:pBdr>
                <w:top w:val="nil"/>
                <w:left w:val="nil"/>
                <w:bottom w:val="nil"/>
                <w:right w:val="nil"/>
                <w:between w:val="nil"/>
              </w:pBdr>
              <w:spacing w:after="0" w:line="240" w:lineRule="auto"/>
              <w:ind w:left="57" w:firstLine="558"/>
              <w:jc w:val="both"/>
              <w:rPr>
                <w:rFonts w:ascii="Times New Roman" w:eastAsia="Times New Roman" w:hAnsi="Times New Roman" w:cs="Times New Roman"/>
              </w:rPr>
            </w:pPr>
          </w:p>
        </w:tc>
      </w:tr>
      <w:tr w:rsidR="00B43B9E" w:rsidRPr="003864E7" w14:paraId="722B157E"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7BD0B424"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Слід уточнити щодо підходів до входу/виходу з балансуючої групи Гарантованого Покупця (можливість повернення до балансуючої групи та інш.)</w:t>
            </w:r>
          </w:p>
          <w:p w14:paraId="109BBDBF"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41CAF4D2" w14:textId="77777777" w:rsidR="00B43B9E" w:rsidRPr="003864E7" w:rsidRDefault="00AF0BE5">
            <w:pPr>
              <w:spacing w:after="0" w:line="240" w:lineRule="auto"/>
              <w:rPr>
                <w:rFonts w:ascii="Times New Roman" w:eastAsia="Times New Roman" w:hAnsi="Times New Roman" w:cs="Times New Roman"/>
              </w:rPr>
            </w:pPr>
            <w:r w:rsidRPr="003864E7">
              <w:rPr>
                <w:rFonts w:ascii="Times New Roman" w:eastAsia="Times New Roman" w:hAnsi="Times New Roman" w:cs="Times New Roman"/>
              </w:rPr>
              <w:t>…</w:t>
            </w:r>
          </w:p>
          <w:p w14:paraId="221EEB1E"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Крім того, виробники електричної енергії з альтернативних джерел енергії будуть вмотивовані створювати нові окремі балансуючі групи (звертаємо увагу, що це їх право, а не обов’язок, зокрема, вони матимуть право повернутися до балансуючої групи Гарантованого покупця), що матимуть можливість управляти небалансами власного портфеля об’єктів в режимі реального часу і, задля уникнення небалансів, впроваджувати нові підходи та технології прогнозування, системи накопичення енергії та керування попитом, сприяючи зусиллям оператора системи передачі щодо балансування енергосистеми.</w:t>
            </w:r>
          </w:p>
        </w:tc>
        <w:tc>
          <w:tcPr>
            <w:tcW w:w="3969" w:type="dxa"/>
            <w:tcBorders>
              <w:top w:val="single" w:sz="6" w:space="0" w:color="000000"/>
              <w:left w:val="single" w:sz="6" w:space="0" w:color="000000"/>
              <w:bottom w:val="single" w:sz="6" w:space="0" w:color="000000"/>
              <w:right w:val="single" w:sz="6" w:space="0" w:color="000000"/>
            </w:tcBorders>
          </w:tcPr>
          <w:p w14:paraId="172E94AD"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Абзац на ст. 8 розділу «Використання відновлюваних джерел енергії в електроенергетичному комплексі»</w:t>
            </w:r>
          </w:p>
          <w:p w14:paraId="710A5BDB" w14:textId="77777777" w:rsidR="00B43B9E" w:rsidRPr="003864E7" w:rsidRDefault="00AF0BE5">
            <w:pPr>
              <w:spacing w:after="0" w:line="240" w:lineRule="auto"/>
              <w:rPr>
                <w:rFonts w:ascii="Times New Roman" w:eastAsia="Times New Roman" w:hAnsi="Times New Roman" w:cs="Times New Roman"/>
              </w:rPr>
            </w:pPr>
            <w:r w:rsidRPr="003864E7">
              <w:rPr>
                <w:rFonts w:ascii="Times New Roman" w:eastAsia="Times New Roman" w:hAnsi="Times New Roman" w:cs="Times New Roman"/>
              </w:rPr>
              <w:t>…</w:t>
            </w:r>
          </w:p>
          <w:p w14:paraId="3572C470"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“Крім того, виробники електричної енергії з альтернативних джерел енергії будуть вмотивовані створювати нові окремі балансуючі , що матимуть можливість управляти небалансами власного портфеля об’єктів в режимі реального часу і, задля уникнення небалансів, впроваджувати нові підходи та технології прогнозування, системи накопичення енергії та керування попитом, сприяючи зусиллям </w:t>
            </w:r>
            <w:r w:rsidRPr="003864E7">
              <w:rPr>
                <w:rFonts w:ascii="Times New Roman" w:eastAsia="Times New Roman" w:hAnsi="Times New Roman" w:cs="Times New Roman"/>
              </w:rPr>
              <w:lastRenderedPageBreak/>
              <w:t>оператора системи передачі щодо балансування енергосистеми.”</w:t>
            </w:r>
          </w:p>
          <w:p w14:paraId="0EE6DB7A"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497E822E"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Не враховано</w:t>
            </w:r>
          </w:p>
          <w:p w14:paraId="1554F4A8"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773A919E"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Питання створення виробника електричної енергії з альтернативних джерел енергії окремих балансуючих груп визначається первинним законодавством.</w:t>
            </w:r>
          </w:p>
          <w:p w14:paraId="1CF14A4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Порядок входу/виходу з балансуючої групи Гарантованого Покупця </w:t>
            </w:r>
            <w:r w:rsidRPr="003864E7">
              <w:rPr>
                <w:rFonts w:ascii="Times New Roman" w:eastAsia="Times New Roman" w:hAnsi="Times New Roman" w:cs="Times New Roman"/>
              </w:rPr>
              <w:t xml:space="preserve">або </w:t>
            </w:r>
            <w:r w:rsidRPr="003864E7">
              <w:rPr>
                <w:rFonts w:ascii="Times New Roman" w:eastAsia="Times New Roman" w:hAnsi="Times New Roman" w:cs="Times New Roman"/>
                <w:color w:val="000000"/>
              </w:rPr>
              <w:t xml:space="preserve">можливість повернення до балансуючої групи не є предметом розгляду  цього акту. </w:t>
            </w:r>
          </w:p>
          <w:p w14:paraId="6FBAF3E2"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p>
        </w:tc>
      </w:tr>
      <w:tr w:rsidR="00B43B9E" w:rsidRPr="003864E7" w14:paraId="3D72A69B"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79E46E4B" w14:textId="77777777" w:rsidR="00B43B9E" w:rsidRPr="003864E7" w:rsidRDefault="00AF0BE5">
            <w:pPr>
              <w:pBdr>
                <w:top w:val="nil"/>
                <w:left w:val="nil"/>
                <w:bottom w:val="nil"/>
                <w:right w:val="nil"/>
                <w:between w:val="nil"/>
              </w:pBdr>
              <w:spacing w:after="0" w:line="240" w:lineRule="auto"/>
              <w:ind w:right="34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Слід також зазначити, що вона повинна відповідати вимогам відповідних нормативно-правових актів ЄС та імплементуватися в контексті наближення українського законодавства щодо вимог СВАМ.</w:t>
            </w:r>
          </w:p>
          <w:p w14:paraId="4B682643"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7590AB48"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 </w:t>
            </w:r>
          </w:p>
          <w:p w14:paraId="4A07EC48"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Важливо, щоб українські гарантії походження електричної енергії визнавалися у країнах ЄС. Тому, в майбутньому українська система видачі гарантій походження електричної енергії має бути підключена до Європейського хабу Асоціації органів-емітентів та до регіонального реєстру гарантій походження Енергетичного Співтовариства, а також повинна відповідати вимогам відповідних нормативно-правових актів ЄС та імплементуватися в контексті наближення українського законодавства щодо вимог СВАМ</w:t>
            </w:r>
          </w:p>
        </w:tc>
        <w:tc>
          <w:tcPr>
            <w:tcW w:w="3969" w:type="dxa"/>
            <w:tcBorders>
              <w:top w:val="single" w:sz="6" w:space="0" w:color="000000"/>
              <w:left w:val="single" w:sz="6" w:space="0" w:color="000000"/>
              <w:bottom w:val="single" w:sz="6" w:space="0" w:color="000000"/>
              <w:right w:val="single" w:sz="6" w:space="0" w:color="000000"/>
            </w:tcBorders>
          </w:tcPr>
          <w:p w14:paraId="2D005B34"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джерел енергії в електроенергетичному комплексі»</w:t>
            </w:r>
          </w:p>
          <w:p w14:paraId="01B79397"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 </w:t>
            </w:r>
          </w:p>
          <w:p w14:paraId="7AA5B615"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Важливо, щоб українські гарантії походження електричної енергії визнавалися у країнах ЄС. Тому, в майбутньому українська система видачі гарантій походження електричної енергії має бути підключена до Європейського хабу Асоціації органів-емітентів та до регіонального реєстру гарантій походження Енергетичного Співтовариства.</w:t>
            </w:r>
          </w:p>
          <w:p w14:paraId="4247469B"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436C8658"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356AB63C"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59DDF496"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В рамках міжнародних зобов'язань Україна повинна впроваджувати систему гарантії походження, яка повинна відповідати вимогам Директив ЄС.</w:t>
            </w:r>
          </w:p>
          <w:p w14:paraId="32FD01B3"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rPr>
            </w:pPr>
          </w:p>
          <w:p w14:paraId="2F36F663"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rPr>
            </w:pPr>
          </w:p>
          <w:p w14:paraId="6A96FCF1"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0BB60707"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726E6837" w14:textId="77777777" w:rsidR="00B43B9E" w:rsidRPr="003864E7" w:rsidRDefault="00AF0BE5">
            <w:pPr>
              <w:pBdr>
                <w:top w:val="nil"/>
                <w:left w:val="nil"/>
                <w:bottom w:val="nil"/>
                <w:right w:val="nil"/>
                <w:between w:val="nil"/>
              </w:pBdr>
              <w:spacing w:after="0" w:line="240" w:lineRule="auto"/>
              <w:ind w:right="-8"/>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Пропонуємо додатково зазначити про необхідність розроблення та подання Кабінетові Міністрів України проекту Стратегії розвитку офшорної вітрової енергетики України на період до 2050 року та розробки інших нормативно-правових актів, що регулюють офшорну енергетику в Україні</w:t>
            </w:r>
          </w:p>
          <w:p w14:paraId="10A0F301"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09972BEF"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 </w:t>
            </w:r>
          </w:p>
          <w:p w14:paraId="077D16A4"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Існуючі об’єкти вітроенергетики побудовані на землі. Водночас, Україна має значний технічно-досяжний потенціал розвитку офшорної вітроенергетики на мілководних територіях великих акваторій – Азовського та Чорного морів, затоки Сиваш, водосховищ Дніпровського каскаду гідроелектростанцій, лиманів. На сьогодні цей потенціал ще не використовується. </w:t>
            </w:r>
          </w:p>
          <w:p w14:paraId="64DA4880"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lastRenderedPageBreak/>
              <w:t>В строк до 2023 року має бути розроблено  і подано Кабінетові Міністрів України проект Стратегії розвитку офшорної вітрової енергетики України на період до 2050 року та розроблено інші нормативно-правові акти, що регулюють офшорну енергетику в Україні.</w:t>
            </w:r>
          </w:p>
        </w:tc>
        <w:tc>
          <w:tcPr>
            <w:tcW w:w="3969" w:type="dxa"/>
            <w:tcBorders>
              <w:top w:val="single" w:sz="6" w:space="0" w:color="000000"/>
              <w:left w:val="single" w:sz="6" w:space="0" w:color="000000"/>
              <w:bottom w:val="single" w:sz="6" w:space="0" w:color="000000"/>
              <w:right w:val="single" w:sz="6" w:space="0" w:color="000000"/>
            </w:tcBorders>
          </w:tcPr>
          <w:p w14:paraId="251C35D0"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lastRenderedPageBreak/>
              <w:t>Пропозиції до Розділу «Використання відновлюваних джерел енергії в електроенергетичному комплексі»</w:t>
            </w:r>
          </w:p>
          <w:p w14:paraId="464921D6"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 </w:t>
            </w:r>
          </w:p>
          <w:p w14:paraId="7EA3EE33"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Існуючі об’єкти вітроенергетики побудовані на землі. Водночас, Україна має значний технічно-досяжний потенціал розвитку офшорної вітроенергетики на мілководних територіях великих акваторій – Азовського та Чорного морів, затоки Сиваш, водосховищ Дніпровського каскаду гідроелектростанцій, лиманів. На сьогодні цей потенціал ще не використовується. </w:t>
            </w:r>
          </w:p>
          <w:p w14:paraId="71F60419"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060830BE"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03428DAB"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Проектом НПДВЕ 2030 передбачається розвиток сфери відновлюваної енергетики в тому числі і офшорної </w:t>
            </w:r>
            <w:r w:rsidRPr="003864E7">
              <w:rPr>
                <w:rFonts w:ascii="Times New Roman" w:eastAsia="Times New Roman" w:hAnsi="Times New Roman" w:cs="Times New Roman"/>
              </w:rPr>
              <w:t>вітроенергетики</w:t>
            </w:r>
            <w:r w:rsidRPr="003864E7">
              <w:rPr>
                <w:rFonts w:ascii="Times New Roman" w:eastAsia="Times New Roman" w:hAnsi="Times New Roman" w:cs="Times New Roman"/>
                <w:color w:val="000000"/>
              </w:rPr>
              <w:t>.</w:t>
            </w:r>
          </w:p>
          <w:p w14:paraId="2B4185C8"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Для стимулювання розвитку офшорної вітроенергетики Планом заходів проекту НПДВЕ 2030 передбачено «розроблення та подання Кабінетові Міністрів України законопроекту щодо розвитку морської (офшорної) вітрової енергетики, у тому числі щодо процедури проведення оцінки впливу на довкілля для офшорних вітроенергетичних проектів та щодо морського просторового планування та визначення статусу територій для будівництва офшорних вітроелектростанцій»</w:t>
            </w:r>
          </w:p>
        </w:tc>
      </w:tr>
      <w:tr w:rsidR="00B43B9E" w:rsidRPr="003864E7" w14:paraId="26D3163A"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613858F4" w14:textId="77777777" w:rsidR="00B43B9E" w:rsidRPr="003864E7" w:rsidRDefault="00AF0BE5">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 xml:space="preserve">Коментар: Плани збільшення потужності вітрової генерації мають враховувати плани розвитку потенціалу відновлюваного водню в Україні. У документі згадується 10 ГВт виробничих потужностей до 2030 року для виробництва відновлюваного водню, але не враховується наявний та прогнозований обсяги сонячної та вітрової генерації.  Так, лише  для виробництва 738 тис. тонн відновлюваного водню (відповідає 8 ГВт потужностей електролізу) </w:t>
            </w:r>
            <w:hyperlink r:id="rId17">
              <w:r w:rsidRPr="003864E7">
                <w:rPr>
                  <w:rFonts w:ascii="Times New Roman" w:eastAsia="Times New Roman" w:hAnsi="Times New Roman" w:cs="Times New Roman"/>
                  <w:color w:val="0000FF"/>
                  <w:u w:val="single"/>
                </w:rPr>
                <w:t>потребуватиме близько 8,324 ГВт ВЕС</w:t>
              </w:r>
            </w:hyperlink>
            <w:r w:rsidRPr="003864E7">
              <w:rPr>
                <w:rFonts w:ascii="Times New Roman" w:eastAsia="Times New Roman" w:hAnsi="Times New Roman" w:cs="Times New Roman"/>
              </w:rPr>
              <w:t xml:space="preserve">. </w:t>
            </w:r>
          </w:p>
          <w:p w14:paraId="49B9786F"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6B4E1476"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 </w:t>
            </w:r>
          </w:p>
          <w:p w14:paraId="2D73E06A" w14:textId="77777777" w:rsidR="00B43B9E" w:rsidRPr="003864E7" w:rsidRDefault="00AF0BE5">
            <w:pPr>
              <w:spacing w:after="0" w:line="240" w:lineRule="auto"/>
              <w:ind w:firstLine="708"/>
              <w:jc w:val="both"/>
              <w:rPr>
                <w:rFonts w:ascii="Times New Roman" w:eastAsia="Times New Roman" w:hAnsi="Times New Roman" w:cs="Times New Roman"/>
              </w:rPr>
            </w:pPr>
            <w:r w:rsidRPr="003864E7">
              <w:rPr>
                <w:rFonts w:ascii="Times New Roman" w:eastAsia="Times New Roman" w:hAnsi="Times New Roman" w:cs="Times New Roman"/>
              </w:rPr>
              <w:t>На основі досвіду більшості європейських країн з впровадження вітроелектростанцій в Україні може бути збільшено виробництво електроенергії шляхом використання більш потужних вітрогенераторів та введення в експлуатацію нових потужностей наземних вітрових електростанцій до 22,6 ТВт</w:t>
            </w:r>
            <w:r w:rsidRPr="003864E7">
              <w:rPr>
                <w:rFonts w:ascii="Cambria Math" w:eastAsia="Cambria Math" w:hAnsi="Cambria Math" w:cs="Cambria Math"/>
              </w:rPr>
              <w:t>⋅</w:t>
            </w:r>
            <w:r w:rsidRPr="003864E7">
              <w:rPr>
                <w:rFonts w:ascii="Times New Roman" w:eastAsia="Times New Roman" w:hAnsi="Times New Roman" w:cs="Times New Roman"/>
              </w:rPr>
              <w:t>год у 2030 році (загальною потужністю 7 ГВт). Виробництво електроенергії офшорними вітровими електростанціями прогнозується на рівні до 1,5 ТВт</w:t>
            </w:r>
            <w:r w:rsidRPr="003864E7">
              <w:rPr>
                <w:rFonts w:ascii="Cambria Math" w:eastAsia="Cambria Math" w:hAnsi="Cambria Math" w:cs="Cambria Math"/>
              </w:rPr>
              <w:t>⋅</w:t>
            </w:r>
            <w:r w:rsidRPr="003864E7">
              <w:rPr>
                <w:rFonts w:ascii="Times New Roman" w:eastAsia="Times New Roman" w:hAnsi="Times New Roman" w:cs="Times New Roman"/>
              </w:rPr>
              <w:t>год у 2030 році (загальна потужність 300 МВт).</w:t>
            </w:r>
          </w:p>
        </w:tc>
        <w:tc>
          <w:tcPr>
            <w:tcW w:w="3969" w:type="dxa"/>
            <w:tcBorders>
              <w:top w:val="single" w:sz="6" w:space="0" w:color="000000"/>
              <w:left w:val="single" w:sz="6" w:space="0" w:color="000000"/>
              <w:bottom w:val="single" w:sz="6" w:space="0" w:color="000000"/>
              <w:right w:val="single" w:sz="6" w:space="0" w:color="000000"/>
            </w:tcBorders>
          </w:tcPr>
          <w:p w14:paraId="51750B90"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джерел енергії в електроенергетичному комплексі»</w:t>
            </w:r>
          </w:p>
          <w:p w14:paraId="124970FA"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 </w:t>
            </w:r>
          </w:p>
          <w:p w14:paraId="267FDC3F" w14:textId="77777777" w:rsidR="00B43B9E" w:rsidRPr="003864E7" w:rsidRDefault="00AF0BE5">
            <w:pPr>
              <w:spacing w:after="0" w:line="240" w:lineRule="auto"/>
              <w:ind w:firstLine="708"/>
              <w:jc w:val="both"/>
              <w:rPr>
                <w:rFonts w:ascii="Times New Roman" w:eastAsia="Times New Roman" w:hAnsi="Times New Roman" w:cs="Times New Roman"/>
              </w:rPr>
            </w:pPr>
            <w:r w:rsidRPr="003864E7">
              <w:rPr>
                <w:rFonts w:ascii="Times New Roman" w:eastAsia="Times New Roman" w:hAnsi="Times New Roman" w:cs="Times New Roman"/>
              </w:rPr>
              <w:t>На основі досвіду більшості європейських країн з впровадження вітроелектростанцій в Україні може бути збільшено виробництво електроенергії шляхом використання більш потужних вітрогенераторів та введення в експлуатацію нових потужностей наземних вітрових електростанцій до 15,3 ТВт</w:t>
            </w:r>
            <w:r w:rsidRPr="003864E7">
              <w:rPr>
                <w:rFonts w:ascii="Cambria Math" w:eastAsia="Cambria Math" w:hAnsi="Cambria Math" w:cs="Cambria Math"/>
              </w:rPr>
              <w:t>⋅</w:t>
            </w:r>
            <w:r w:rsidRPr="003864E7">
              <w:rPr>
                <w:rFonts w:ascii="Times New Roman" w:eastAsia="Times New Roman" w:hAnsi="Times New Roman" w:cs="Times New Roman"/>
              </w:rPr>
              <w:t>год у 2030 році (загальною потужністю 4,7 ГВт). Виробництво електроенергії офшорними вітровими електростанціями прогнозується на рівні до 1 ТВт</w:t>
            </w:r>
            <w:r w:rsidRPr="003864E7">
              <w:rPr>
                <w:rFonts w:ascii="Cambria Math" w:eastAsia="Cambria Math" w:hAnsi="Cambria Math" w:cs="Cambria Math"/>
              </w:rPr>
              <w:t>⋅</w:t>
            </w:r>
            <w:r w:rsidRPr="003864E7">
              <w:rPr>
                <w:rFonts w:ascii="Times New Roman" w:eastAsia="Times New Roman" w:hAnsi="Times New Roman" w:cs="Times New Roman"/>
              </w:rPr>
              <w:t>год у 2030 році (загальна потужність 300 МВт).</w:t>
            </w:r>
          </w:p>
          <w:p w14:paraId="123123EC" w14:textId="77777777" w:rsidR="00B43B9E" w:rsidRPr="003864E7" w:rsidRDefault="00B43B9E">
            <w:pPr>
              <w:spacing w:after="0" w:line="240" w:lineRule="auto"/>
              <w:ind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023BCFB5"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4B9C045B"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З метою розвитку водневої енергетики передбачається розробка Міненерго проекту </w:t>
            </w:r>
            <w:r w:rsidRPr="003864E7">
              <w:rPr>
                <w:rFonts w:ascii="Times New Roman" w:eastAsia="Times New Roman" w:hAnsi="Times New Roman" w:cs="Times New Roman"/>
                <w:color w:val="202124"/>
              </w:rPr>
              <w:t>Водневої стратегії</w:t>
            </w:r>
            <w:r w:rsidRPr="003864E7">
              <w:rPr>
                <w:rFonts w:ascii="Times New Roman" w:eastAsia="Times New Roman" w:hAnsi="Times New Roman" w:cs="Times New Roman"/>
              </w:rPr>
              <w:t>, яким буде визначено цілі, показники, плани розвитку водневої енергетики до 2030 року, а також окреслено орієнтири до 2050 року, а також необхідні заходи для реалізації.</w:t>
            </w:r>
          </w:p>
          <w:p w14:paraId="3B5FFA57"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p w14:paraId="6C13BFEF"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Показники проекту НПДВЕ 2030 погодженно з Міненерго, а також були узгоджені на засіданнях Робочої групи з розробки НПДВЕ 2030.</w:t>
            </w:r>
          </w:p>
          <w:p w14:paraId="4CB715FB"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59A55FE4"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0B0872F5"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Необхідно розробити систему заохочення розвитку гібридних та вітрових генеруючих установок.</w:t>
            </w:r>
          </w:p>
          <w:p w14:paraId="5E2EEA35"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48DBDEDA"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w:t>
            </w:r>
          </w:p>
          <w:p w14:paraId="360124BE"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 xml:space="preserve"> Виробництво електричної енергії з відновлюваних джерел енергії споживачами (проз’юмерами)</w:t>
            </w:r>
          </w:p>
          <w:p w14:paraId="64EB54CE" w14:textId="77777777" w:rsidR="00B43B9E" w:rsidRPr="003864E7" w:rsidRDefault="00AF0BE5">
            <w:pPr>
              <w:spacing w:after="0" w:line="240" w:lineRule="auto"/>
              <w:ind w:firstLine="708"/>
              <w:jc w:val="both"/>
              <w:rPr>
                <w:rFonts w:ascii="Times New Roman" w:eastAsia="Times New Roman" w:hAnsi="Times New Roman" w:cs="Times New Roman"/>
              </w:rPr>
            </w:pPr>
            <w:r w:rsidRPr="003864E7">
              <w:rPr>
                <w:rFonts w:ascii="Times New Roman" w:eastAsia="Times New Roman" w:hAnsi="Times New Roman" w:cs="Times New Roman"/>
              </w:rPr>
              <w:t>…</w:t>
            </w:r>
          </w:p>
          <w:p w14:paraId="33213D20"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lastRenderedPageBreak/>
              <w:t>З метою подальшого розвитку малої розподіленої генерації та у відповідності до положень 4-го Енергетичного Пакету Європейського Союзу щодо недискримінаційної участі малих гравців ринку, проз’юмерів та енергетичних спільнот в організованих ринках електроенергії доцільно розробити стимулюючі механізми, які встановлюють стандарти для підтримки малої генерації електроенергії з відновлюваних джерел та зменшують адміністративно-процедурне навантаження на таких виробників.</w:t>
            </w:r>
          </w:p>
          <w:p w14:paraId="1D32C9BF" w14:textId="77777777" w:rsidR="00B43B9E" w:rsidRPr="003864E7" w:rsidRDefault="00AF0BE5">
            <w:pPr>
              <w:spacing w:after="0" w:line="240" w:lineRule="auto"/>
              <w:ind w:firstLine="708"/>
              <w:jc w:val="both"/>
              <w:rPr>
                <w:rFonts w:ascii="Times New Roman" w:eastAsia="Times New Roman" w:hAnsi="Times New Roman" w:cs="Times New Roman"/>
              </w:rPr>
            </w:pPr>
            <w:r w:rsidRPr="003864E7">
              <w:rPr>
                <w:rFonts w:ascii="Times New Roman" w:eastAsia="Times New Roman" w:hAnsi="Times New Roman" w:cs="Times New Roman"/>
              </w:rPr>
              <w:t>Також необхідно розробити систему заохочення розвитку гібридних та вітрових генеруючих установок.</w:t>
            </w:r>
          </w:p>
        </w:tc>
        <w:tc>
          <w:tcPr>
            <w:tcW w:w="3969" w:type="dxa"/>
            <w:tcBorders>
              <w:top w:val="single" w:sz="6" w:space="0" w:color="000000"/>
              <w:left w:val="single" w:sz="6" w:space="0" w:color="000000"/>
              <w:bottom w:val="single" w:sz="6" w:space="0" w:color="000000"/>
              <w:right w:val="single" w:sz="6" w:space="0" w:color="000000"/>
            </w:tcBorders>
          </w:tcPr>
          <w:p w14:paraId="4072650D"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lastRenderedPageBreak/>
              <w:t>Пропозиції до Розділу «Використання відновлюваних джерел енергії в електроенергетичному комплексі»</w:t>
            </w:r>
          </w:p>
          <w:p w14:paraId="7F9B7431"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 xml:space="preserve">… </w:t>
            </w:r>
          </w:p>
          <w:p w14:paraId="09C57F27"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Виробництво електричної енергії з відновлюваних джерел енергії споживачами (проз’юмерами)</w:t>
            </w:r>
          </w:p>
          <w:p w14:paraId="78ABBEAD" w14:textId="77777777" w:rsidR="00B43B9E" w:rsidRPr="003864E7" w:rsidRDefault="00AF0BE5">
            <w:pPr>
              <w:spacing w:after="0" w:line="240" w:lineRule="auto"/>
              <w:ind w:firstLine="708"/>
              <w:jc w:val="both"/>
              <w:rPr>
                <w:rFonts w:ascii="Times New Roman" w:eastAsia="Times New Roman" w:hAnsi="Times New Roman" w:cs="Times New Roman"/>
              </w:rPr>
            </w:pPr>
            <w:r w:rsidRPr="003864E7">
              <w:rPr>
                <w:rFonts w:ascii="Times New Roman" w:eastAsia="Times New Roman" w:hAnsi="Times New Roman" w:cs="Times New Roman"/>
              </w:rPr>
              <w:lastRenderedPageBreak/>
              <w:t>…</w:t>
            </w:r>
          </w:p>
          <w:p w14:paraId="6FBEE5EF"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З метою подальшого розвитку малої розподіленої генерації та у відповідності до положень 4-го Енергетичного Пакету Європейського Союзу щодо недискримінаційної участі малих гравців ринку, проз’юмерів та енергетичних спільнот в організованих ринках електроенергії доцільно розробити стимулюючі механізми, які встановлюють стандарти для підтримки малої генерації електроенергії з відновлюваних джерел та зменшують адміністративно-процедурне навантаження на таких виробників.</w:t>
            </w:r>
          </w:p>
          <w:p w14:paraId="09880208"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41C2984A"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Не враховано</w:t>
            </w:r>
          </w:p>
          <w:p w14:paraId="61592F3D"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 метою розвитку відновлюваної електроенергетики Планом заходів проекту НПДВЕ 2030 передбачено виконання завдань, які містять питання розвитку гібридних та вітрових генеруючих установок:</w:t>
            </w:r>
          </w:p>
          <w:p w14:paraId="357627A1" w14:textId="77777777" w:rsidR="00B43B9E" w:rsidRPr="003864E7" w:rsidRDefault="00AF0BE5">
            <w:pPr>
              <w:numPr>
                <w:ilvl w:val="0"/>
                <w:numId w:val="5"/>
              </w:numPr>
              <w:pBdr>
                <w:top w:val="nil"/>
                <w:left w:val="nil"/>
                <w:bottom w:val="nil"/>
                <w:right w:val="nil"/>
                <w:between w:val="nil"/>
              </w:pBdr>
              <w:spacing w:after="0" w:line="240" w:lineRule="auto"/>
              <w:ind w:left="434"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проведення аукціонів з розподілу квоти підтримки виробництва електричної енергії з альтернативних джерел енергії</w:t>
            </w:r>
          </w:p>
          <w:p w14:paraId="10DB179E" w14:textId="77777777" w:rsidR="00B43B9E" w:rsidRPr="003864E7" w:rsidRDefault="00AF0BE5">
            <w:pPr>
              <w:numPr>
                <w:ilvl w:val="0"/>
                <w:numId w:val="5"/>
              </w:numPr>
              <w:pBdr>
                <w:top w:val="nil"/>
                <w:left w:val="nil"/>
                <w:bottom w:val="nil"/>
                <w:right w:val="nil"/>
                <w:between w:val="nil"/>
              </w:pBdr>
              <w:spacing w:after="0" w:line="240" w:lineRule="auto"/>
              <w:ind w:left="434"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опрацювання питань стосовно надання Міненерго переліку земельних ділянок та/або споруд з визначеними технічними параметрами та технічними умовами на приєднання до електричної мережі для проведення аукціонів з розподілу квоти підтримки</w:t>
            </w:r>
          </w:p>
          <w:p w14:paraId="4025D0DB" w14:textId="77777777" w:rsidR="00B43B9E" w:rsidRPr="003864E7" w:rsidRDefault="00AF0BE5">
            <w:pPr>
              <w:numPr>
                <w:ilvl w:val="0"/>
                <w:numId w:val="5"/>
              </w:numPr>
              <w:pBdr>
                <w:top w:val="nil"/>
                <w:left w:val="nil"/>
                <w:bottom w:val="nil"/>
                <w:right w:val="nil"/>
                <w:between w:val="nil"/>
              </w:pBdr>
              <w:spacing w:after="0" w:line="240" w:lineRule="auto"/>
              <w:ind w:left="434"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супроводження у Верховній Раді України проекту Закону України «Про внесення змін до деяких законів України щодо стимулювання виробництва електричної енергії з альтернативних джерел енергії на ринкових засадах».</w:t>
            </w:r>
          </w:p>
          <w:p w14:paraId="05CA2DD7" w14:textId="77777777" w:rsidR="00B43B9E" w:rsidRPr="003864E7" w:rsidRDefault="00AF0BE5">
            <w:pPr>
              <w:numPr>
                <w:ilvl w:val="0"/>
                <w:numId w:val="5"/>
              </w:numPr>
              <w:pBdr>
                <w:top w:val="nil"/>
                <w:left w:val="nil"/>
                <w:bottom w:val="nil"/>
                <w:right w:val="nil"/>
                <w:between w:val="nil"/>
              </w:pBdr>
              <w:spacing w:after="0" w:line="240" w:lineRule="auto"/>
              <w:ind w:left="434"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розроблення та подання Кабінетові Міністрів України проекту Закону України щодо удосконалення умов підтримки виробництва електричної енергії з альтернативних джерел енергії генеруючими установками споживачів, у тому числі енергетичних кооперативів та приватних домогосподарств.</w:t>
            </w:r>
          </w:p>
          <w:p w14:paraId="384D4123" w14:textId="77777777" w:rsidR="00B43B9E" w:rsidRPr="003864E7" w:rsidRDefault="00AF0BE5">
            <w:pPr>
              <w:numPr>
                <w:ilvl w:val="0"/>
                <w:numId w:val="5"/>
              </w:numPr>
              <w:pBdr>
                <w:top w:val="nil"/>
                <w:left w:val="nil"/>
                <w:bottom w:val="nil"/>
                <w:right w:val="nil"/>
                <w:between w:val="nil"/>
              </w:pBdr>
              <w:spacing w:after="0" w:line="240" w:lineRule="auto"/>
              <w:ind w:left="434"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розроблення та подання Кабінетові Міністрів України проекту нормативно-правового акту щодо порядку видачі, використання та припинення дії гарантії походження електроенергії з відновлюваних джерел енергії.</w:t>
            </w:r>
          </w:p>
          <w:p w14:paraId="06C89FC1" w14:textId="77777777" w:rsidR="00B43B9E" w:rsidRPr="003864E7" w:rsidRDefault="00AF0BE5">
            <w:pPr>
              <w:numPr>
                <w:ilvl w:val="0"/>
                <w:numId w:val="5"/>
              </w:numPr>
              <w:pBdr>
                <w:top w:val="nil"/>
                <w:left w:val="nil"/>
                <w:bottom w:val="nil"/>
                <w:right w:val="nil"/>
                <w:between w:val="nil"/>
              </w:pBdr>
              <w:spacing w:after="0" w:line="240" w:lineRule="auto"/>
              <w:ind w:left="434"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розроблення та подання Кабінетові Міністрів України законопроекту щодо розвитку виробництва електричної енергії з альтернативних джерел енергії на ринкових засадах без державної підтримки (Corporate PPA’s)</w:t>
            </w:r>
          </w:p>
        </w:tc>
      </w:tr>
      <w:tr w:rsidR="00B43B9E" w:rsidRPr="003864E7" w14:paraId="221DE4CA"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385C912F" w14:textId="77777777" w:rsidR="00B43B9E" w:rsidRPr="003864E7" w:rsidRDefault="00AF0BE5">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Необхідно актуалізувати  дані, відповідно до Звіту, визначена необхідність будівництва у максимально стислі строки високоманеврової генерації з можливістю швидкого пуску в обсязі щонайменше 2 ГВт та систем накопичення енергії в обсязі щонайменше 2 ГВт. (</w:t>
            </w:r>
            <w:hyperlink r:id="rId18">
              <w:r w:rsidRPr="003864E7">
                <w:rPr>
                  <w:rFonts w:ascii="Times New Roman" w:eastAsia="Times New Roman" w:hAnsi="Times New Roman" w:cs="Times New Roman"/>
                  <w:color w:val="0000FF"/>
                  <w:u w:val="single"/>
                </w:rPr>
                <w:t>проєкт Звіту з оцінки відповідності (достатності) генеруючих потужностей (ua.energy)</w:t>
              </w:r>
            </w:hyperlink>
            <w:r w:rsidRPr="003864E7">
              <w:rPr>
                <w:rFonts w:ascii="Times New Roman" w:eastAsia="Times New Roman" w:hAnsi="Times New Roman" w:cs="Times New Roman"/>
              </w:rPr>
              <w:t>)</w:t>
            </w:r>
          </w:p>
          <w:p w14:paraId="523A8C5E"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джерел енергії в електроенергетичному комплексі</w:t>
            </w:r>
          </w:p>
          <w:p w14:paraId="2B27D940"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w:t>
            </w:r>
          </w:p>
          <w:p w14:paraId="32C643B1" w14:textId="77777777" w:rsidR="00B43B9E" w:rsidRPr="003864E7" w:rsidRDefault="00AF0BE5">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Інтеграція відновлюваних джерел енергії в енергосистему</w:t>
            </w:r>
          </w:p>
          <w:p w14:paraId="7B1FB62A"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w:t>
            </w:r>
          </w:p>
          <w:p w14:paraId="0A9C536F"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lastRenderedPageBreak/>
              <w:t>Звітом з оцінки відповідності (достатності) генеруючих потужностей для покриття прогнозованого попиту на електричну енергію та забезпечення необхідного резерву у 2020 році, затвердженим постановою Національної комісії, що здійснює державне регулювання у сферах енергетики та комунальних послуг від 16 червня 2021 року № 975, визначена необхідність будівництва у максимально стислі строки високоманеврової генерації з можливістю швидкого пуску в обсязі щонайменше 2 ГВт та систем накопичення енергії в обсязі щонайменше 2 ГВт.</w:t>
            </w:r>
          </w:p>
        </w:tc>
        <w:tc>
          <w:tcPr>
            <w:tcW w:w="3969" w:type="dxa"/>
            <w:tcBorders>
              <w:top w:val="single" w:sz="6" w:space="0" w:color="000000"/>
              <w:left w:val="single" w:sz="6" w:space="0" w:color="000000"/>
              <w:bottom w:val="single" w:sz="6" w:space="0" w:color="000000"/>
              <w:right w:val="single" w:sz="6" w:space="0" w:color="000000"/>
            </w:tcBorders>
          </w:tcPr>
          <w:p w14:paraId="2A398BA3"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lastRenderedPageBreak/>
              <w:t>Пропозиції до Розділу «Використання відновлюваних джерел енергії в електроенергетичному комплексі»</w:t>
            </w:r>
          </w:p>
          <w:p w14:paraId="7CAEBC89"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w:t>
            </w:r>
          </w:p>
          <w:p w14:paraId="5683C92E"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Інтеграція відновлюваних джерел енергії в енергосистему</w:t>
            </w:r>
          </w:p>
          <w:p w14:paraId="18C9DBD4"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w:t>
            </w:r>
          </w:p>
          <w:p w14:paraId="13031FFF"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Звітом з оцінки відповідності (достатності) генеруючих потужностей для покриття прогнозованого попиту на електричну енергію та забезпечення необхідного резерву у 2020 році, </w:t>
            </w:r>
            <w:r w:rsidRPr="003864E7">
              <w:rPr>
                <w:rFonts w:ascii="Times New Roman" w:eastAsia="Times New Roman" w:hAnsi="Times New Roman" w:cs="Times New Roman"/>
              </w:rPr>
              <w:lastRenderedPageBreak/>
              <w:t>затвердженим постановою Національної комісії, що здійснює державне регулювання у сферах енергетики та комунальних послуг від 16 червня 2021 року № 975, визначена необхідність будівництва у максимально стислі строки високоманеврової генерації з можливістю швидкого пуску в обсязі щонайменше 1 ГВт та систем накопичення енергії в обсязі щонайменше 0,5 ГВт.</w:t>
            </w:r>
          </w:p>
          <w:p w14:paraId="79EF3427"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68B0B70C"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Не враховано.</w:t>
            </w:r>
          </w:p>
          <w:p w14:paraId="5E6B435D"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Проект Акту погодженно Міненерго.</w:t>
            </w:r>
          </w:p>
          <w:p w14:paraId="5404383A"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Показники проекту НПДВЕ 2030 узгоджувались з ПрАТ «НЕК «Укренерго» на засіданнях Робочої групи з розробки НПДВЕ 2030.</w:t>
            </w:r>
          </w:p>
          <w:p w14:paraId="40EDE30F"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Зауважень від ПрАТ «НЕК «Укренерго» щодо невідповідності показників НПДВЕ 2030 не надходило.</w:t>
            </w:r>
          </w:p>
          <w:p w14:paraId="012C9610"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 проекті акта передбачено перегляд показників розвитку відновлюваної енергетики після закінчення воєнних дій та інвентаризації стану енергетичної системи.</w:t>
            </w:r>
          </w:p>
          <w:p w14:paraId="26858E99" w14:textId="77777777" w:rsidR="00B43B9E" w:rsidRPr="003864E7" w:rsidRDefault="00AF0BE5">
            <w:pPr>
              <w:spacing w:after="80"/>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Звітом з оцінки відповідності (достатності) генеруючих потужностей для покриття прогнозованого попиту на електричну енергію та забезпечення необхідного </w:t>
            </w:r>
            <w:r w:rsidRPr="003864E7">
              <w:rPr>
                <w:rFonts w:ascii="Times New Roman" w:eastAsia="Times New Roman" w:hAnsi="Times New Roman" w:cs="Times New Roman"/>
              </w:rPr>
              <w:lastRenderedPageBreak/>
              <w:t>резерву у 2021 році, затвердженим постановою Національної комісії, що здійснює державне регулювання у сферах енергетики та комунальних послуг від 20 квітня 2022 року № 394, визначена необхідність будівництва у максимально стислі строки високоманевреної генерації з можливістю швидкого пуску в обсязі щонайменше 1,45 ГВт та установок зберігання енергії в обсязі 0,74 ГВт.</w:t>
            </w:r>
          </w:p>
          <w:p w14:paraId="6CBC528E"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p>
          <w:p w14:paraId="0FB8082A"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p>
        </w:tc>
      </w:tr>
      <w:tr w:rsidR="00B43B9E" w:rsidRPr="003864E7" w14:paraId="6777166A"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6FDECF54"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Має бути розроблено механізми заохочення встановлення систем накопичення енергії на діючих та проектованих об’єктах відновлювальної енергетики</w:t>
            </w:r>
          </w:p>
          <w:p w14:paraId="51C4C153"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 Використання відновлюваних джерел енергії в електроенергетичному комплексі</w:t>
            </w:r>
          </w:p>
          <w:p w14:paraId="04397814"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w:t>
            </w:r>
          </w:p>
          <w:p w14:paraId="2BC05276" w14:textId="77777777" w:rsidR="00B43B9E" w:rsidRPr="003864E7" w:rsidRDefault="00AF0BE5">
            <w:pPr>
              <w:spacing w:after="0" w:line="240" w:lineRule="auto"/>
              <w:ind w:firstLine="567"/>
              <w:jc w:val="both"/>
              <w:rPr>
                <w:rFonts w:ascii="Times New Roman" w:eastAsia="Times New Roman" w:hAnsi="Times New Roman" w:cs="Times New Roman"/>
              </w:rPr>
            </w:pPr>
            <w:r w:rsidRPr="003864E7">
              <w:rPr>
                <w:rFonts w:ascii="Times New Roman" w:eastAsia="Times New Roman" w:hAnsi="Times New Roman" w:cs="Times New Roman"/>
              </w:rPr>
              <w:t xml:space="preserve"> Після довготривалих обговорень Комітетом Верховної Ради України з питань енергетики та житлово-комунальних послуг було зареєстровано, узгоджений з учасниками ринку, проект Закону України «Про внесення змін до деяких законів України щодо розвитку систем накопичення енергії» (реєстр. № 5436-д від 17 вересня 2021 року), яким передбачається врегулювання правових, економічних та організаційних засад функціонування систем накопичення енергії в ринку електричної енергії. Прийняття зазначеного законопроекту дозволить створити умови для реалізації проектів з будівництва систем накопичення енергії в Україні, у тому числі на об’єктах відновлюваної енергетики.</w:t>
            </w:r>
          </w:p>
          <w:p w14:paraId="0C283F61"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Окремо має бути розроблено механізми заохочення встановлення систем накопичення енергії на діючих та проектованих об’єктах відновлювальної енергетики.</w:t>
            </w:r>
          </w:p>
        </w:tc>
        <w:tc>
          <w:tcPr>
            <w:tcW w:w="3969" w:type="dxa"/>
            <w:tcBorders>
              <w:top w:val="single" w:sz="6" w:space="0" w:color="000000"/>
              <w:left w:val="single" w:sz="6" w:space="0" w:color="000000"/>
              <w:bottom w:val="single" w:sz="6" w:space="0" w:color="000000"/>
              <w:right w:val="single" w:sz="6" w:space="0" w:color="000000"/>
            </w:tcBorders>
          </w:tcPr>
          <w:p w14:paraId="7F141CCA" w14:textId="77777777" w:rsidR="00B43B9E" w:rsidRPr="003864E7" w:rsidRDefault="00AF0BE5">
            <w:pPr>
              <w:widowControl w:val="0"/>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джерел енергії в електроенергетичному комплексі»</w:t>
            </w:r>
          </w:p>
          <w:p w14:paraId="41A16632" w14:textId="77777777" w:rsidR="00B43B9E" w:rsidRPr="003864E7" w:rsidRDefault="00AF0BE5">
            <w:pPr>
              <w:spacing w:after="0" w:line="240" w:lineRule="auto"/>
              <w:jc w:val="center"/>
              <w:rPr>
                <w:rFonts w:ascii="Times New Roman" w:eastAsia="Times New Roman" w:hAnsi="Times New Roman" w:cs="Times New Roman"/>
              </w:rPr>
            </w:pPr>
            <w:r w:rsidRPr="003864E7">
              <w:rPr>
                <w:rFonts w:ascii="Times New Roman" w:eastAsia="Times New Roman" w:hAnsi="Times New Roman" w:cs="Times New Roman"/>
              </w:rPr>
              <w:t>…</w:t>
            </w:r>
          </w:p>
          <w:p w14:paraId="67DA6CE5" w14:textId="77777777" w:rsidR="00B43B9E" w:rsidRPr="003864E7" w:rsidRDefault="00AF0BE5">
            <w:pPr>
              <w:spacing w:after="0" w:line="240" w:lineRule="auto"/>
              <w:ind w:firstLine="567"/>
              <w:jc w:val="both"/>
              <w:rPr>
                <w:rFonts w:ascii="Times New Roman" w:eastAsia="Times New Roman" w:hAnsi="Times New Roman" w:cs="Times New Roman"/>
              </w:rPr>
            </w:pPr>
            <w:r w:rsidRPr="003864E7">
              <w:rPr>
                <w:rFonts w:ascii="Times New Roman" w:eastAsia="Times New Roman" w:hAnsi="Times New Roman" w:cs="Times New Roman"/>
              </w:rPr>
              <w:t>Після довготривалих обговорень Комітетом Верховної Ради України з питань енергетики та житлово-комунальних послуг було зареєстровано, узгоджений з учасниками ринку, проект Закону України «Про внесення змін до деяких законів України щодо розвитку систем накопичення енергії» (реєстр. № 5436-д від 17 вересня 2021 року), яким передбачається врегулювання правових, економічних та організаційних засад функціонування систем накопичення енергії в ринку електричної енергії. Прийняття зазначеного законопроекту дозволить створити умови для реалізації проектів з будівництва систем накопичення енергії в Україні, у тому числі на об’єктах відновлюваної енергетики.</w:t>
            </w:r>
          </w:p>
          <w:p w14:paraId="41907A23"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954" w:type="dxa"/>
            <w:tcBorders>
              <w:top w:val="single" w:sz="6" w:space="0" w:color="000000"/>
              <w:left w:val="single" w:sz="6" w:space="0" w:color="000000"/>
              <w:bottom w:val="single" w:sz="6" w:space="0" w:color="000000"/>
              <w:right w:val="single" w:sz="6" w:space="0" w:color="000000"/>
            </w:tcBorders>
          </w:tcPr>
          <w:p w14:paraId="5EAA6E99"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Не враховано.</w:t>
            </w:r>
          </w:p>
          <w:p w14:paraId="4B61D446"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 метою створення умов для розвитку систем накопичення енергії та керування попитом Планом заходів проекту НПД ВЕ 2030 передбачається проведення конкурсів на будівництво нової генеруючої потужності та на виконання заходів з управління попитом, відповідно до потреб енергосистеми.</w:t>
            </w:r>
          </w:p>
          <w:p w14:paraId="03196277"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Також, 15.02.2022 Верховною Радою України прийнято Закон України № 2046-IX “Про внесення змін до деяких законів України щодо розвитку установок зберігання енергії”, яким врегульовано питання можливості використання системи накопичення енергії споживачами, а також виробниками електричної енергії, зокрема, виробниками електричної енергії з відновлювальних джерел енергії.</w:t>
            </w:r>
          </w:p>
          <w:p w14:paraId="7FE32B52"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rPr>
            </w:pPr>
          </w:p>
          <w:p w14:paraId="4901DC8E"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p>
        </w:tc>
      </w:tr>
    </w:tbl>
    <w:tbl>
      <w:tblPr>
        <w:tblStyle w:val="afffffffb"/>
        <w:tblW w:w="15310" w:type="dxa"/>
        <w:tblInd w:w="-29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29"/>
        <w:gridCol w:w="3969"/>
        <w:gridCol w:w="5812"/>
      </w:tblGrid>
      <w:tr w:rsidR="00B43B9E" w:rsidRPr="003864E7" w14:paraId="68BAC532"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4D8C3356" w14:textId="77777777" w:rsidR="00B43B9E" w:rsidRPr="003864E7" w:rsidRDefault="00AF0BE5">
            <w:pPr>
              <w:spacing w:after="0" w:line="240" w:lineRule="auto"/>
              <w:ind w:firstLine="709"/>
              <w:jc w:val="both"/>
              <w:rPr>
                <w:rFonts w:ascii="Times New Roman" w:eastAsia="Times New Roman" w:hAnsi="Times New Roman" w:cs="Times New Roman"/>
              </w:rPr>
            </w:pPr>
            <w:bookmarkStart w:id="3" w:name="_heading=h.3znysh7" w:colFirst="0" w:colLast="0"/>
            <w:bookmarkEnd w:id="3"/>
            <w:r w:rsidRPr="003864E7">
              <w:rPr>
                <w:rFonts w:ascii="Times New Roman" w:eastAsia="Times New Roman" w:hAnsi="Times New Roman" w:cs="Times New Roman"/>
              </w:rPr>
              <w:t xml:space="preserve">Має бути розроблено і впроваджено  підзаконні нормативно-правові акти, що регулюють біометан та імплементацію системи гарантій походження біометану для можливості його експорту за кордон. </w:t>
            </w:r>
          </w:p>
          <w:p w14:paraId="169A3F10" w14:textId="77777777" w:rsidR="00B43B9E" w:rsidRPr="003864E7" w:rsidRDefault="00AF0BE5">
            <w:pPr>
              <w:spacing w:after="0" w:line="240" w:lineRule="auto"/>
              <w:ind w:firstLine="709"/>
              <w:jc w:val="center"/>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газів</w:t>
            </w:r>
          </w:p>
          <w:p w14:paraId="367213F7"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Біометан</w:t>
            </w:r>
          </w:p>
          <w:p w14:paraId="5174CBB0"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w:t>
            </w:r>
          </w:p>
          <w:p w14:paraId="08B6FA6E" w14:textId="77777777" w:rsidR="00B43B9E" w:rsidRPr="003864E7" w:rsidRDefault="00AF0BE5">
            <w:pPr>
              <w:spacing w:after="0" w:line="240" w:lineRule="auto"/>
              <w:ind w:firstLine="708"/>
              <w:jc w:val="both"/>
              <w:rPr>
                <w:rFonts w:ascii="Times New Roman" w:eastAsia="Times New Roman" w:hAnsi="Times New Roman" w:cs="Times New Roman"/>
              </w:rPr>
            </w:pPr>
            <w:r w:rsidRPr="003864E7">
              <w:rPr>
                <w:rFonts w:ascii="Times New Roman" w:eastAsia="Times New Roman" w:hAnsi="Times New Roman" w:cs="Times New Roman"/>
              </w:rPr>
              <w:t xml:space="preserve">Верховною Радою України прийнято Закон України №1820-IX від 21.10.2021 «Про внесення змін до деяких законів України щодо розвитку виробництва біометану», реалізація якого сприятиме розвитку ринку біометану в Україні, налагодженню його експорту в країни ЄС та заміщенню природного газу. </w:t>
            </w:r>
          </w:p>
          <w:p w14:paraId="6EB1F91E"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rPr>
              <w:t>Додатково має бути розроблено і впроваджено  підзаконні нормативно-правові акти, що регулюють біометан та імплементації системи гарантій походження біометану для можливості його експорту закордон.]</w:t>
            </w:r>
          </w:p>
        </w:tc>
        <w:tc>
          <w:tcPr>
            <w:tcW w:w="3969" w:type="dxa"/>
            <w:tcBorders>
              <w:top w:val="single" w:sz="6" w:space="0" w:color="000000"/>
              <w:left w:val="single" w:sz="6" w:space="0" w:color="000000"/>
              <w:bottom w:val="single" w:sz="6" w:space="0" w:color="000000"/>
              <w:right w:val="single" w:sz="6" w:space="0" w:color="000000"/>
            </w:tcBorders>
          </w:tcPr>
          <w:p w14:paraId="3CAEE5B7" w14:textId="77777777" w:rsidR="00B43B9E" w:rsidRPr="003864E7" w:rsidRDefault="00AF0BE5">
            <w:pPr>
              <w:spacing w:after="0" w:line="240" w:lineRule="auto"/>
              <w:ind w:firstLine="709"/>
              <w:jc w:val="center"/>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газів»</w:t>
            </w:r>
          </w:p>
          <w:p w14:paraId="1CAF7406"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Біометан</w:t>
            </w:r>
          </w:p>
          <w:p w14:paraId="1202DC28"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w:t>
            </w:r>
          </w:p>
          <w:p w14:paraId="12C49312" w14:textId="77777777" w:rsidR="00B43B9E" w:rsidRPr="003864E7" w:rsidRDefault="00AF0BE5">
            <w:pPr>
              <w:spacing w:after="0" w:line="240" w:lineRule="auto"/>
              <w:ind w:firstLine="708"/>
              <w:jc w:val="both"/>
              <w:rPr>
                <w:rFonts w:ascii="Times New Roman" w:eastAsia="Times New Roman" w:hAnsi="Times New Roman" w:cs="Times New Roman"/>
              </w:rPr>
            </w:pPr>
            <w:r w:rsidRPr="003864E7">
              <w:rPr>
                <w:rFonts w:ascii="Times New Roman" w:eastAsia="Times New Roman" w:hAnsi="Times New Roman" w:cs="Times New Roman"/>
              </w:rPr>
              <w:t xml:space="preserve">Верховною Радою України прийнято Закон України №1820-IX від 21.10.2021 «Про внесення змін до деяких законів України щодо розвитку виробництва біометану», реалізація якого сприятиме розвитку ринку біометану в Україні, налагодженню його експорту в країни ЄС та заміщенню природного газу. </w:t>
            </w:r>
          </w:p>
          <w:p w14:paraId="1A4AD748"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812" w:type="dxa"/>
            <w:tcBorders>
              <w:top w:val="single" w:sz="6" w:space="0" w:color="000000"/>
              <w:left w:val="single" w:sz="6" w:space="0" w:color="000000"/>
              <w:bottom w:val="single" w:sz="6" w:space="0" w:color="000000"/>
              <w:right w:val="single" w:sz="6" w:space="0" w:color="000000"/>
            </w:tcBorders>
          </w:tcPr>
          <w:p w14:paraId="4431B268" w14:textId="77777777" w:rsidR="00B43B9E" w:rsidRPr="003864E7" w:rsidRDefault="00AF0BE5">
            <w:pPr>
              <w:pBdr>
                <w:top w:val="nil"/>
                <w:left w:val="nil"/>
                <w:bottom w:val="nil"/>
                <w:right w:val="nil"/>
                <w:between w:val="nil"/>
              </w:pBdr>
              <w:spacing w:after="0" w:line="240" w:lineRule="auto"/>
              <w:ind w:left="60" w:right="57" w:firstLine="365"/>
              <w:jc w:val="both"/>
              <w:rPr>
                <w:rFonts w:ascii="Times New Roman" w:eastAsia="Times New Roman" w:hAnsi="Times New Roman" w:cs="Times New Roman"/>
              </w:rPr>
            </w:pPr>
            <w:r w:rsidRPr="003864E7">
              <w:rPr>
                <w:rFonts w:ascii="Times New Roman" w:eastAsia="Times New Roman" w:hAnsi="Times New Roman" w:cs="Times New Roman"/>
              </w:rPr>
              <w:t>Не враховано.</w:t>
            </w:r>
          </w:p>
          <w:p w14:paraId="41962409" w14:textId="77777777" w:rsidR="00B43B9E" w:rsidRPr="003864E7" w:rsidRDefault="00AF0BE5">
            <w:pPr>
              <w:pBdr>
                <w:top w:val="nil"/>
                <w:left w:val="nil"/>
                <w:bottom w:val="nil"/>
                <w:right w:val="nil"/>
                <w:between w:val="nil"/>
              </w:pBdr>
              <w:spacing w:after="0" w:line="240" w:lineRule="auto"/>
              <w:ind w:left="60" w:right="57" w:firstLine="365"/>
              <w:jc w:val="both"/>
              <w:rPr>
                <w:rFonts w:ascii="Times New Roman" w:eastAsia="Times New Roman" w:hAnsi="Times New Roman" w:cs="Times New Roman"/>
              </w:rPr>
            </w:pPr>
            <w:r w:rsidRPr="003864E7">
              <w:rPr>
                <w:rFonts w:ascii="Times New Roman" w:eastAsia="Times New Roman" w:hAnsi="Times New Roman" w:cs="Times New Roman"/>
              </w:rPr>
              <w:t>Відповідно до прикінцевих положень Закону України 1820-IX  від 21.10.2021, яким  закладено нормативне підґрунтя для розвитку ринку біометану в Україні, Міненерго та Держенергоефективності розроблено  проект постанови Уряду «Про затвердження Порядку функціонування реєстру біометану».</w:t>
            </w:r>
          </w:p>
          <w:p w14:paraId="37F14875" w14:textId="77777777" w:rsidR="00B43B9E" w:rsidRPr="003864E7" w:rsidRDefault="00AF0BE5">
            <w:pPr>
              <w:pBdr>
                <w:top w:val="nil"/>
                <w:left w:val="nil"/>
                <w:bottom w:val="nil"/>
                <w:right w:val="nil"/>
                <w:between w:val="nil"/>
              </w:pBdr>
              <w:spacing w:after="0" w:line="240" w:lineRule="auto"/>
              <w:ind w:left="60" w:right="57" w:firstLine="365"/>
              <w:jc w:val="both"/>
              <w:rPr>
                <w:rFonts w:ascii="Times New Roman" w:eastAsia="Times New Roman" w:hAnsi="Times New Roman" w:cs="Times New Roman"/>
              </w:rPr>
            </w:pPr>
            <w:r w:rsidRPr="003864E7">
              <w:rPr>
                <w:rFonts w:ascii="Times New Roman" w:eastAsia="Times New Roman" w:hAnsi="Times New Roman" w:cs="Times New Roman"/>
              </w:rPr>
              <w:t>Проект акта на сьогодні проходить процедуру погодження із зацікавленими ЦОВВ.</w:t>
            </w:r>
          </w:p>
          <w:p w14:paraId="3E758C84" w14:textId="77777777" w:rsidR="00B43B9E" w:rsidRPr="003864E7" w:rsidRDefault="00AF0BE5">
            <w:pPr>
              <w:spacing w:after="0" w:line="240" w:lineRule="auto"/>
              <w:ind w:left="60" w:firstLine="365"/>
              <w:jc w:val="both"/>
              <w:rPr>
                <w:rFonts w:ascii="Times New Roman" w:eastAsia="Times New Roman" w:hAnsi="Times New Roman" w:cs="Times New Roman"/>
              </w:rPr>
            </w:pPr>
            <w:r w:rsidRPr="003864E7">
              <w:rPr>
                <w:rFonts w:ascii="Times New Roman" w:eastAsia="Times New Roman" w:hAnsi="Times New Roman" w:cs="Times New Roman"/>
              </w:rPr>
              <w:t>Запуск Реєстру біометану забезпечить можливість верифікувати та надавати гарантії походження на  біометан, поданий в газотранспортну систему.</w:t>
            </w:r>
          </w:p>
          <w:p w14:paraId="3E9C7FE4" w14:textId="77777777" w:rsidR="00B43B9E" w:rsidRPr="003864E7" w:rsidRDefault="00AF0BE5">
            <w:pPr>
              <w:spacing w:after="0" w:line="240" w:lineRule="auto"/>
              <w:ind w:left="60" w:firstLine="365"/>
              <w:jc w:val="both"/>
              <w:rPr>
                <w:rFonts w:ascii="Times New Roman" w:eastAsia="Times New Roman" w:hAnsi="Times New Roman" w:cs="Times New Roman"/>
              </w:rPr>
            </w:pPr>
            <w:r w:rsidRPr="003864E7">
              <w:rPr>
                <w:rFonts w:ascii="Times New Roman" w:eastAsia="Times New Roman" w:hAnsi="Times New Roman" w:cs="Times New Roman"/>
              </w:rPr>
              <w:t>Реєстр біометану розроблено з урахуванням правил функціонування подібних реєстрів країн ЄС, тому його запуск дозволить торгувати біометаном, не тільки на внутрішньому ринку, а й стане потенційною можливістю його продажу в країни ЄС.</w:t>
            </w:r>
          </w:p>
          <w:p w14:paraId="14E322CD"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tc>
      </w:tr>
      <w:tr w:rsidR="00B43B9E" w:rsidRPr="003864E7" w14:paraId="615F3A56"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602C0E3E"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Пропонуємо додатково зазначити, щодо можливості використання офшорних вітрових електростанцій</w:t>
            </w:r>
          </w:p>
          <w:p w14:paraId="152B3CC3"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газів</w:t>
            </w:r>
          </w:p>
          <w:p w14:paraId="36C6CF52"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w:t>
            </w:r>
          </w:p>
          <w:p w14:paraId="040C4566"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Відновлюваний водень</w:t>
            </w:r>
          </w:p>
          <w:p w14:paraId="65CF0DE7"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Напрямок виробництва водню з використанням відновлюваних джерел енергії є новим не лише в Україні, а й загалом в світі. Наразі найбільш доцільним способом отримання «зеленого» водню є розщеплення води в електролізерах на водень і кисень електроенергією, виробленою з відновлюваних джерел. В умовах України перш за все йдеться про об’єкти вітряної, зокрема, офшорної, та сонячної генерації або їх комбінації – гібридних електростанцій. </w:t>
            </w:r>
          </w:p>
          <w:p w14:paraId="53554B6E" w14:textId="77777777" w:rsidR="00B43B9E" w:rsidRPr="003864E7" w:rsidRDefault="00B43B9E">
            <w:pPr>
              <w:spacing w:after="0" w:line="240" w:lineRule="auto"/>
              <w:ind w:left="57" w:right="57"/>
              <w:rPr>
                <w:rFonts w:ascii="Times New Roman" w:eastAsia="Times New Roman" w:hAnsi="Times New Roman" w:cs="Times New Roman"/>
                <w:color w:val="000008"/>
              </w:rPr>
            </w:pPr>
          </w:p>
        </w:tc>
        <w:tc>
          <w:tcPr>
            <w:tcW w:w="3969" w:type="dxa"/>
            <w:tcBorders>
              <w:top w:val="single" w:sz="6" w:space="0" w:color="000000"/>
              <w:left w:val="single" w:sz="6" w:space="0" w:color="000000"/>
              <w:bottom w:val="single" w:sz="6" w:space="0" w:color="000000"/>
              <w:right w:val="single" w:sz="6" w:space="0" w:color="000000"/>
            </w:tcBorders>
          </w:tcPr>
          <w:p w14:paraId="0A3BA61D"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газів»</w:t>
            </w:r>
          </w:p>
          <w:p w14:paraId="2D605046"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w:t>
            </w:r>
          </w:p>
          <w:p w14:paraId="62F44792"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 xml:space="preserve"> «Зелений» водень</w:t>
            </w:r>
          </w:p>
          <w:p w14:paraId="506AAA71"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Напрямок виробництва водню з використанням відновлюваних джерел енергії є новим не лише в Україні, а й загалом в світі. Наразі найбільш доцільним способом отримання «зеленого» водню є розщеплення води в електролізерах на водень і кисень електроенергією, виробленою з відновлюваних джерел. В умовах України перш за все йдеться про об’єкти вітряної та сонячної генерації або їх комбінації – гібридних електростанцій.</w:t>
            </w:r>
          </w:p>
        </w:tc>
        <w:tc>
          <w:tcPr>
            <w:tcW w:w="5812" w:type="dxa"/>
            <w:tcBorders>
              <w:top w:val="single" w:sz="6" w:space="0" w:color="000000"/>
              <w:left w:val="single" w:sz="6" w:space="0" w:color="000000"/>
              <w:bottom w:val="single" w:sz="6" w:space="0" w:color="000000"/>
              <w:right w:val="single" w:sz="6" w:space="0" w:color="000000"/>
            </w:tcBorders>
          </w:tcPr>
          <w:p w14:paraId="27199B4D"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Частково враховано.</w:t>
            </w:r>
          </w:p>
          <w:p w14:paraId="1C67A22E" w14:textId="77777777" w:rsidR="00B43B9E" w:rsidRPr="003864E7" w:rsidRDefault="00B43B9E">
            <w:pPr>
              <w:pBdr>
                <w:top w:val="nil"/>
                <w:left w:val="nil"/>
                <w:bottom w:val="nil"/>
                <w:right w:val="nil"/>
                <w:between w:val="nil"/>
              </w:pBdr>
              <w:spacing w:after="0" w:line="240" w:lineRule="auto"/>
              <w:ind w:right="57"/>
              <w:jc w:val="both"/>
              <w:rPr>
                <w:rFonts w:ascii="Times New Roman" w:eastAsia="Times New Roman" w:hAnsi="Times New Roman" w:cs="Times New Roman"/>
              </w:rPr>
            </w:pPr>
          </w:p>
          <w:p w14:paraId="4EC583F2" w14:textId="77777777" w:rsidR="00B43B9E" w:rsidRPr="003864E7" w:rsidRDefault="00AF0BE5">
            <w:pPr>
              <w:pBdr>
                <w:top w:val="nil"/>
                <w:left w:val="nil"/>
                <w:bottom w:val="nil"/>
                <w:right w:val="nil"/>
                <w:between w:val="nil"/>
              </w:pBdr>
              <w:spacing w:after="0" w:line="240" w:lineRule="auto"/>
              <w:ind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r w:rsidRPr="003864E7">
              <w:rPr>
                <w:rFonts w:ascii="Times New Roman" w:eastAsia="Times New Roman" w:hAnsi="Times New Roman" w:cs="Times New Roman"/>
              </w:rPr>
              <w:t xml:space="preserve"> включення  в абзац  слів “зокрема, офшорної”,  оскільки д</w:t>
            </w:r>
            <w:r w:rsidRPr="003864E7">
              <w:rPr>
                <w:rFonts w:ascii="Times New Roman" w:eastAsia="Times New Roman" w:hAnsi="Times New Roman" w:cs="Times New Roman"/>
                <w:color w:val="000000"/>
              </w:rPr>
              <w:t>о об’єктів вітрової генерації, визначених в абзаці, відносяться наземні та офшорні вітроелектростанції.</w:t>
            </w:r>
          </w:p>
          <w:p w14:paraId="0A63AE76" w14:textId="77777777" w:rsidR="00B43B9E" w:rsidRPr="003864E7" w:rsidRDefault="00B43B9E">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p w14:paraId="2D28ACA6"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Враховано пропозицію щодо зміни назви.</w:t>
            </w:r>
          </w:p>
          <w:p w14:paraId="0C743699"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назва підрозділу “Зелений” водень” змінена на “Відновлюваний” водень”</w:t>
            </w:r>
          </w:p>
        </w:tc>
      </w:tr>
      <w:tr w:rsidR="00B43B9E" w:rsidRPr="003864E7" w14:paraId="7DC246E9"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1D4DDC45" w14:textId="77777777" w:rsidR="00B43B9E" w:rsidRPr="003864E7" w:rsidRDefault="00AF0BE5">
            <w:pPr>
              <w:pBdr>
                <w:top w:val="nil"/>
                <w:left w:val="nil"/>
                <w:bottom w:val="nil"/>
                <w:right w:val="nil"/>
                <w:between w:val="nil"/>
              </w:pBdr>
              <w:spacing w:after="0" w:line="240" w:lineRule="auto"/>
              <w:ind w:right="345"/>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Пропонуємо додатково зазначити, щодо необхідності розробки нормативно-правової бази регулювання відновлюваного/renewable hydrogen</w:t>
            </w:r>
          </w:p>
          <w:p w14:paraId="4F08138A"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Використання відновлюваних газів</w:t>
            </w:r>
          </w:p>
          <w:p w14:paraId="03E2721F"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w:t>
            </w:r>
          </w:p>
          <w:p w14:paraId="2140D2B3"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 xml:space="preserve"> «Зелений» водень</w:t>
            </w:r>
          </w:p>
          <w:p w14:paraId="4EDFE2C9"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w:t>
            </w:r>
          </w:p>
          <w:p w14:paraId="7E0C16FA" w14:textId="77777777" w:rsidR="00B43B9E" w:rsidRPr="003864E7" w:rsidRDefault="00AF0BE5">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Пріоритетні напрямки виробництва та використання водню в Україні буде визначено у Стратегії розвитку водневої енергетики в Україні на період до 2030 року. </w:t>
            </w:r>
          </w:p>
          <w:p w14:paraId="30DA6C7B" w14:textId="77777777" w:rsidR="00B43B9E" w:rsidRPr="003864E7" w:rsidRDefault="00AF0BE5">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Додатково має бути розроблено нормативно-правову базу регулювання відновлюваного водню.</w:t>
            </w:r>
          </w:p>
          <w:p w14:paraId="468087AB" w14:textId="77777777" w:rsidR="00B43B9E" w:rsidRPr="003864E7" w:rsidRDefault="00B43B9E">
            <w:pPr>
              <w:spacing w:after="0" w:line="240" w:lineRule="auto"/>
              <w:ind w:left="57" w:right="57"/>
              <w:rPr>
                <w:rFonts w:ascii="Times New Roman" w:eastAsia="Times New Roman" w:hAnsi="Times New Roman" w:cs="Times New Roman"/>
                <w:color w:val="000008"/>
              </w:rPr>
            </w:pPr>
          </w:p>
        </w:tc>
        <w:tc>
          <w:tcPr>
            <w:tcW w:w="3969" w:type="dxa"/>
            <w:tcBorders>
              <w:top w:val="single" w:sz="6" w:space="0" w:color="000000"/>
              <w:left w:val="single" w:sz="6" w:space="0" w:color="000000"/>
              <w:bottom w:val="single" w:sz="6" w:space="0" w:color="000000"/>
              <w:right w:val="single" w:sz="6" w:space="0" w:color="000000"/>
            </w:tcBorders>
          </w:tcPr>
          <w:p w14:paraId="4BE194EB"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відновлюваних газів»</w:t>
            </w:r>
          </w:p>
          <w:p w14:paraId="281AE77F"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w:t>
            </w:r>
          </w:p>
          <w:p w14:paraId="2B2FAABC" w14:textId="77777777" w:rsidR="00B43B9E" w:rsidRPr="003864E7" w:rsidRDefault="00AF0BE5">
            <w:pPr>
              <w:spacing w:after="0" w:line="240" w:lineRule="auto"/>
              <w:ind w:firstLine="708"/>
              <w:jc w:val="center"/>
              <w:rPr>
                <w:rFonts w:ascii="Times New Roman" w:eastAsia="Times New Roman" w:hAnsi="Times New Roman" w:cs="Times New Roman"/>
              </w:rPr>
            </w:pPr>
            <w:r w:rsidRPr="003864E7">
              <w:rPr>
                <w:rFonts w:ascii="Times New Roman" w:eastAsia="Times New Roman" w:hAnsi="Times New Roman" w:cs="Times New Roman"/>
              </w:rPr>
              <w:t xml:space="preserve"> «Зелений» водень</w:t>
            </w:r>
          </w:p>
          <w:p w14:paraId="5EB5BF98"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w:t>
            </w:r>
          </w:p>
          <w:p w14:paraId="7D840720" w14:textId="77777777" w:rsidR="00B43B9E" w:rsidRPr="003864E7" w:rsidRDefault="00AF0BE5">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Пріоритетні напрямки виробництва та використання водню в Україні буде визначено у Стратегії розвитку водневої енергетики в Україні на період до 2030 року. </w:t>
            </w:r>
          </w:p>
          <w:p w14:paraId="4D125FD1"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812" w:type="dxa"/>
            <w:tcBorders>
              <w:top w:val="single" w:sz="6" w:space="0" w:color="000000"/>
              <w:left w:val="single" w:sz="6" w:space="0" w:color="000000"/>
              <w:bottom w:val="single" w:sz="6" w:space="0" w:color="000000"/>
              <w:right w:val="single" w:sz="6" w:space="0" w:color="000000"/>
            </w:tcBorders>
          </w:tcPr>
          <w:p w14:paraId="54F2C53E"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0085C015"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26268FF7"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Питання розроблення нормативно-правової бази щодо розбудови водневої енергетики будуть визначені у відповідній стратегії. Відновлюваний водень не потребує додаткового регулювання, оскільки той самий за властивостями водень можна виробити, як за допомогою електроенергії, отриманої з відновлюваних джерел, так і, наприклад, за допомогою електроенергії, виробленої  на АЕС.</w:t>
            </w:r>
          </w:p>
          <w:p w14:paraId="306DC243"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У даному акті розглядються питання виробництва енергії з відновлюваних джерел та збільшення обсягу її використання, а не способи використання такої енергії.</w:t>
            </w:r>
          </w:p>
        </w:tc>
      </w:tr>
      <w:tr w:rsidR="00B43B9E" w:rsidRPr="003864E7" w14:paraId="12DC25F2"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2127548A" w14:textId="77777777" w:rsidR="00B43B9E" w:rsidRPr="003864E7" w:rsidRDefault="00AF0BE5">
            <w:pPr>
              <w:spacing w:after="0" w:line="240" w:lineRule="auto"/>
              <w:ind w:left="57" w:right="57"/>
              <w:jc w:val="both"/>
              <w:rPr>
                <w:rFonts w:ascii="Times New Roman" w:eastAsia="Times New Roman" w:hAnsi="Times New Roman" w:cs="Times New Roman"/>
                <w:color w:val="000008"/>
              </w:rPr>
            </w:pPr>
            <w:r w:rsidRPr="003864E7">
              <w:rPr>
                <w:rFonts w:ascii="Times New Roman" w:eastAsia="Times New Roman" w:hAnsi="Times New Roman" w:cs="Times New Roman"/>
              </w:rPr>
              <w:t>Пропонуємо додатково зазначити механізми заохочення створення підприємств з виробництва обладнання відновлюваної енергетики.</w:t>
            </w:r>
          </w:p>
        </w:tc>
        <w:tc>
          <w:tcPr>
            <w:tcW w:w="3969" w:type="dxa"/>
            <w:tcBorders>
              <w:top w:val="single" w:sz="6" w:space="0" w:color="000000"/>
              <w:left w:val="single" w:sz="6" w:space="0" w:color="000000"/>
              <w:bottom w:val="single" w:sz="6" w:space="0" w:color="000000"/>
              <w:right w:val="single" w:sz="6" w:space="0" w:color="000000"/>
            </w:tcBorders>
          </w:tcPr>
          <w:p w14:paraId="7CE305F9"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Пропозиції до Розділу «Використання локального обладнання для виробництва енергії з відновлюваних джерел енергії»</w:t>
            </w:r>
          </w:p>
          <w:p w14:paraId="2C692B7A" w14:textId="77777777" w:rsidR="00B43B9E" w:rsidRPr="003864E7" w:rsidRDefault="00AF0BE5">
            <w:pPr>
              <w:spacing w:after="0" w:line="240" w:lineRule="auto"/>
              <w:ind w:firstLine="709"/>
              <w:jc w:val="both"/>
              <w:rPr>
                <w:rFonts w:ascii="Times New Roman" w:eastAsia="Times New Roman" w:hAnsi="Times New Roman" w:cs="Times New Roman"/>
              </w:rPr>
            </w:pPr>
            <w:r w:rsidRPr="003864E7">
              <w:rPr>
                <w:rFonts w:ascii="Times New Roman" w:eastAsia="Times New Roman" w:hAnsi="Times New Roman" w:cs="Times New Roman"/>
              </w:rPr>
              <w:t xml:space="preserve">Враховуючи те, що потреба в «зеленій» енергії зростатиме відповідно зростатиме і потреба у обладнанні для виробництва енергії з відновлюваних джерел енергії, систем накопичення енергії, балансуючих потужностей тощо. Оскільки таке обладнання має кінцевий строк експлуатації (20-25 років вітрові та сонячні електростанції, 7-10 років системи накопичення енергії), Україна зацікавлена у створенні на своїй території потужностей для виробництва вітчизняного обладнання. Це дозволить створити нові робочі місця в середині держави та зменшити імпортну залежність від поставок обладнання. </w:t>
            </w:r>
          </w:p>
          <w:p w14:paraId="59B5B146"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812" w:type="dxa"/>
            <w:tcBorders>
              <w:top w:val="single" w:sz="6" w:space="0" w:color="000000"/>
              <w:left w:val="single" w:sz="6" w:space="0" w:color="000000"/>
              <w:bottom w:val="single" w:sz="6" w:space="0" w:color="000000"/>
              <w:right w:val="single" w:sz="6" w:space="0" w:color="000000"/>
            </w:tcBorders>
          </w:tcPr>
          <w:p w14:paraId="2A5EAEFC"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0D6BCA40"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Планом заходів проекту НПДВЕ 2030 передбачено завдання щодо створення сприятливих умов для розвитку виробничих потужностей із виготовлення обладнання українського виробництва, що використовує відновлювані джерела, систем накопичення енергії, балансуючих потужностей. </w:t>
            </w:r>
          </w:p>
          <w:p w14:paraId="7B3A9E69"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15ED3588"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22A87BE0"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t>Необхідно актуалізувати дані щодо вітру</w:t>
            </w:r>
          </w:p>
          <w:p w14:paraId="34A4F460" w14:textId="77777777" w:rsidR="00B43B9E" w:rsidRPr="003864E7" w:rsidRDefault="00AF0BE5">
            <w:pPr>
              <w:spacing w:after="0" w:line="240" w:lineRule="auto"/>
              <w:ind w:left="57" w:right="57"/>
              <w:jc w:val="both"/>
              <w:rPr>
                <w:rFonts w:ascii="Times New Roman" w:eastAsia="Times New Roman" w:hAnsi="Times New Roman" w:cs="Times New Roman"/>
                <w:color w:val="000008"/>
              </w:rPr>
            </w:pPr>
            <w:r w:rsidRPr="003864E7">
              <w:rPr>
                <w:rFonts w:ascii="Times New Roman" w:eastAsia="Times New Roman" w:hAnsi="Times New Roman" w:cs="Times New Roman"/>
                <w:color w:val="000008"/>
              </w:rPr>
              <w:lastRenderedPageBreak/>
              <w:t>в заході «Розвиток електрогенеруючих потужностей на основі використання енергії вітру»</w:t>
            </w:r>
          </w:p>
          <w:p w14:paraId="373FE2F6" w14:textId="77777777" w:rsidR="00B43B9E" w:rsidRPr="003864E7" w:rsidRDefault="00AF0BE5">
            <w:pPr>
              <w:numPr>
                <w:ilvl w:val="0"/>
                <w:numId w:val="5"/>
              </w:numPr>
              <w:pBdr>
                <w:top w:val="nil"/>
                <w:left w:val="nil"/>
                <w:bottom w:val="nil"/>
                <w:right w:val="nil"/>
                <w:between w:val="nil"/>
              </w:pBdr>
              <w:spacing w:after="0" w:line="240" w:lineRule="auto"/>
              <w:ind w:left="42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Встановлена потужність станом на 31 грудня 2030 р., -  7300 МВт (включно з офшорними ВЕС)</w:t>
            </w:r>
          </w:p>
          <w:p w14:paraId="28F2DA46" w14:textId="77777777" w:rsidR="00B43B9E" w:rsidRPr="003864E7" w:rsidRDefault="000242BE">
            <w:pPr>
              <w:numPr>
                <w:ilvl w:val="0"/>
                <w:numId w:val="5"/>
              </w:numPr>
              <w:pBdr>
                <w:top w:val="nil"/>
                <w:left w:val="nil"/>
                <w:bottom w:val="nil"/>
                <w:right w:val="nil"/>
                <w:between w:val="nil"/>
              </w:pBdr>
              <w:spacing w:after="0" w:line="240" w:lineRule="auto"/>
              <w:ind w:left="427"/>
              <w:jc w:val="both"/>
              <w:rPr>
                <w:rFonts w:ascii="Times New Roman" w:eastAsia="Times New Roman" w:hAnsi="Times New Roman" w:cs="Times New Roman"/>
                <w:color w:val="000000"/>
              </w:rPr>
            </w:pPr>
            <w:sdt>
              <w:sdtPr>
                <w:rPr>
                  <w:rFonts w:ascii="Times New Roman" w:hAnsi="Times New Roman" w:cs="Times New Roman"/>
                </w:rPr>
                <w:tag w:val="goog_rdk_0"/>
                <w:id w:val="-1134637775"/>
              </w:sdtPr>
              <w:sdtEndPr/>
              <w:sdtContent>
                <w:r w:rsidR="00AF0BE5" w:rsidRPr="003864E7">
                  <w:rPr>
                    <w:rFonts w:ascii="Times New Roman" w:eastAsia="Gungsuh" w:hAnsi="Times New Roman" w:cs="Times New Roman"/>
                    <w:color w:val="000000"/>
                  </w:rPr>
                  <w:t>Виробництво електроенергії  у 2030 році, - 24133,4 ГВт∙год</w:t>
                </w:r>
              </w:sdtContent>
            </w:sdt>
          </w:p>
          <w:p w14:paraId="07AC8048" w14:textId="77777777" w:rsidR="00B43B9E" w:rsidRPr="003864E7" w:rsidRDefault="00AF0BE5">
            <w:pPr>
              <w:numPr>
                <w:ilvl w:val="0"/>
                <w:numId w:val="5"/>
              </w:numPr>
              <w:pBdr>
                <w:top w:val="nil"/>
                <w:left w:val="nil"/>
                <w:bottom w:val="nil"/>
                <w:right w:val="nil"/>
                <w:between w:val="nil"/>
              </w:pBdr>
              <w:spacing w:after="0" w:line="240" w:lineRule="auto"/>
              <w:ind w:left="427"/>
              <w:jc w:val="both"/>
              <w:rPr>
                <w:rFonts w:ascii="Times New Roman" w:eastAsia="Times New Roman" w:hAnsi="Times New Roman" w:cs="Times New Roman"/>
                <w:color w:val="000008"/>
              </w:rPr>
            </w:pPr>
            <w:r w:rsidRPr="003864E7">
              <w:rPr>
                <w:rFonts w:ascii="Times New Roman" w:eastAsia="Times New Roman" w:hAnsi="Times New Roman" w:cs="Times New Roman"/>
                <w:color w:val="000000"/>
              </w:rPr>
              <w:t>Орієнтовний обсяг фінансування* - 240 000 000 тис. Гривень</w:t>
            </w:r>
          </w:p>
          <w:p w14:paraId="7FC1FD41" w14:textId="77777777" w:rsidR="00B43B9E" w:rsidRPr="003864E7" w:rsidRDefault="00AF0BE5">
            <w:pPr>
              <w:numPr>
                <w:ilvl w:val="0"/>
                <w:numId w:val="5"/>
              </w:numPr>
              <w:pBdr>
                <w:top w:val="nil"/>
                <w:left w:val="nil"/>
                <w:bottom w:val="nil"/>
                <w:right w:val="nil"/>
                <w:between w:val="nil"/>
              </w:pBdr>
              <w:spacing w:after="0" w:line="240" w:lineRule="auto"/>
              <w:ind w:left="427"/>
              <w:jc w:val="both"/>
              <w:rPr>
                <w:rFonts w:ascii="Times New Roman" w:eastAsia="Times New Roman" w:hAnsi="Times New Roman" w:cs="Times New Roman"/>
                <w:color w:val="000008"/>
              </w:rPr>
            </w:pPr>
            <w:r w:rsidRPr="003864E7">
              <w:rPr>
                <w:rFonts w:ascii="Times New Roman" w:eastAsia="Times New Roman" w:hAnsi="Times New Roman" w:cs="Times New Roman"/>
                <w:color w:val="000000"/>
              </w:rPr>
              <w:t xml:space="preserve">Обсяг енергії з відновлюваних джерел у валовому кінцевому споживанні в 2030 році - 2101 тис. тонн нафтового еквіваленту </w:t>
            </w:r>
          </w:p>
        </w:tc>
        <w:tc>
          <w:tcPr>
            <w:tcW w:w="3969" w:type="dxa"/>
            <w:tcBorders>
              <w:top w:val="single" w:sz="6" w:space="0" w:color="000000"/>
              <w:left w:val="single" w:sz="6" w:space="0" w:color="000000"/>
              <w:bottom w:val="single" w:sz="6" w:space="0" w:color="000000"/>
              <w:right w:val="single" w:sz="6" w:space="0" w:color="000000"/>
            </w:tcBorders>
          </w:tcPr>
          <w:p w14:paraId="501DA22B" w14:textId="77777777" w:rsidR="00B43B9E" w:rsidRPr="003864E7" w:rsidRDefault="00AF0BE5">
            <w:pPr>
              <w:shd w:val="clear" w:color="auto" w:fill="FFFFFF"/>
              <w:spacing w:after="0" w:line="240" w:lineRule="auto"/>
              <w:ind w:left="450" w:right="450"/>
              <w:jc w:val="center"/>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Ціль 1. Розвиток електроенергетичної сфери</w:t>
            </w:r>
          </w:p>
          <w:p w14:paraId="1BE339B1" w14:textId="77777777" w:rsidR="00B43B9E" w:rsidRPr="003864E7" w:rsidRDefault="00AF0BE5">
            <w:pPr>
              <w:spacing w:after="0" w:line="240" w:lineRule="auto"/>
              <w:ind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lastRenderedPageBreak/>
              <w:t>захід «Розвиток електрогенеруючих потужностей:</w:t>
            </w:r>
          </w:p>
          <w:p w14:paraId="77290E9E"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на основі використання енергії вітру»</w:t>
            </w:r>
          </w:p>
          <w:p w14:paraId="7D22C2FF" w14:textId="77777777" w:rsidR="00B43B9E" w:rsidRPr="003864E7" w:rsidRDefault="00AF0BE5">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Встановлена потужність станом на 31 грудня 2030 р., -  5033 МВт;</w:t>
            </w:r>
          </w:p>
          <w:p w14:paraId="399FBDBA" w14:textId="77777777" w:rsidR="00B43B9E" w:rsidRPr="003864E7" w:rsidRDefault="000242BE">
            <w:pPr>
              <w:numPr>
                <w:ilvl w:val="0"/>
                <w:numId w:val="5"/>
              </w:numPr>
              <w:pBdr>
                <w:top w:val="nil"/>
                <w:left w:val="nil"/>
                <w:bottom w:val="nil"/>
                <w:right w:val="nil"/>
                <w:between w:val="nil"/>
              </w:pBdr>
              <w:spacing w:after="0" w:line="240" w:lineRule="auto"/>
              <w:ind w:left="426"/>
              <w:jc w:val="both"/>
              <w:rPr>
                <w:rFonts w:ascii="Times New Roman" w:eastAsia="Times New Roman" w:hAnsi="Times New Roman" w:cs="Times New Roman"/>
                <w:color w:val="000000"/>
              </w:rPr>
            </w:pPr>
            <w:sdt>
              <w:sdtPr>
                <w:rPr>
                  <w:rFonts w:ascii="Times New Roman" w:hAnsi="Times New Roman" w:cs="Times New Roman"/>
                </w:rPr>
                <w:tag w:val="goog_rdk_1"/>
                <w:id w:val="698050709"/>
              </w:sdtPr>
              <w:sdtEndPr/>
              <w:sdtContent>
                <w:r w:rsidR="00AF0BE5" w:rsidRPr="003864E7">
                  <w:rPr>
                    <w:rFonts w:ascii="Times New Roman" w:eastAsia="Gungsuh" w:hAnsi="Times New Roman" w:cs="Times New Roman"/>
                    <w:color w:val="000000"/>
                  </w:rPr>
                  <w:t>Виробництво електроенергії  у 2030 році, - 15251 ГВт∙год;</w:t>
                </w:r>
              </w:sdtContent>
            </w:sdt>
          </w:p>
          <w:p w14:paraId="403E639C" w14:textId="77777777" w:rsidR="00B43B9E" w:rsidRPr="003864E7" w:rsidRDefault="00AF0BE5">
            <w:pPr>
              <w:numPr>
                <w:ilvl w:val="0"/>
                <w:numId w:val="5"/>
              </w:numPr>
              <w:pBdr>
                <w:top w:val="nil"/>
                <w:left w:val="nil"/>
                <w:bottom w:val="nil"/>
                <w:right w:val="nil"/>
                <w:between w:val="nil"/>
              </w:pBdr>
              <w:spacing w:after="0" w:line="240" w:lineRule="auto"/>
              <w:ind w:left="426"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Орієнтовний обсяг фінансування* - 113 124 000 тис. Гривен;</w:t>
            </w:r>
          </w:p>
          <w:p w14:paraId="348025C0" w14:textId="77777777" w:rsidR="00B43B9E" w:rsidRPr="003864E7" w:rsidRDefault="00AF0BE5">
            <w:pPr>
              <w:numPr>
                <w:ilvl w:val="0"/>
                <w:numId w:val="5"/>
              </w:numPr>
              <w:pBdr>
                <w:top w:val="nil"/>
                <w:left w:val="nil"/>
                <w:bottom w:val="nil"/>
                <w:right w:val="nil"/>
                <w:between w:val="nil"/>
              </w:pBdr>
              <w:spacing w:after="0" w:line="240" w:lineRule="auto"/>
              <w:ind w:left="426" w:right="5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Обсяг енергії з відновлюваних джерел у валовому кінцевому споживанні в 2030 році - 1312 тис. тонн нафтового еквіваленту.</w:t>
            </w:r>
          </w:p>
          <w:p w14:paraId="3334F491"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812" w:type="dxa"/>
            <w:tcBorders>
              <w:top w:val="single" w:sz="6" w:space="0" w:color="000000"/>
              <w:left w:val="single" w:sz="6" w:space="0" w:color="000000"/>
              <w:bottom w:val="single" w:sz="6" w:space="0" w:color="000000"/>
              <w:right w:val="single" w:sz="6" w:space="0" w:color="000000"/>
            </w:tcBorders>
          </w:tcPr>
          <w:p w14:paraId="119732E6"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Не враховано.</w:t>
            </w:r>
          </w:p>
          <w:p w14:paraId="70885B52"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Проект Акта погодженно Міненерго.</w:t>
            </w:r>
          </w:p>
          <w:p w14:paraId="3A245AB7" w14:textId="77777777" w:rsidR="00B43B9E" w:rsidRPr="003864E7" w:rsidRDefault="00AF0BE5">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Показники проекту узгоджувались на засіданнях Робочої групи з розробки НПДВЕ 2030.</w:t>
            </w:r>
          </w:p>
          <w:p w14:paraId="1FB8F71F"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4A134499"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482B7101" w14:textId="77777777" w:rsidR="00B43B9E" w:rsidRPr="003864E7" w:rsidRDefault="00AF0BE5">
            <w:pPr>
              <w:shd w:val="clear" w:color="auto" w:fill="FFFFFF"/>
              <w:spacing w:after="0" w:line="240" w:lineRule="auto"/>
              <w:ind w:right="450"/>
              <w:jc w:val="both"/>
              <w:rPr>
                <w:rFonts w:ascii="Times New Roman" w:eastAsia="Times New Roman" w:hAnsi="Times New Roman" w:cs="Times New Roman"/>
                <w:color w:val="000000"/>
              </w:rPr>
            </w:pPr>
            <w:r w:rsidRPr="003864E7">
              <w:rPr>
                <w:rFonts w:ascii="Times New Roman" w:eastAsia="Times New Roman" w:hAnsi="Times New Roman" w:cs="Times New Roman"/>
              </w:rPr>
              <w:t xml:space="preserve">Пропонуємо в пункті 2 Плану заходів </w:t>
            </w:r>
            <w:r w:rsidRPr="003864E7">
              <w:rPr>
                <w:rFonts w:ascii="Times New Roman" w:eastAsia="Times New Roman" w:hAnsi="Times New Roman" w:cs="Times New Roman"/>
                <w:color w:val="000000"/>
              </w:rPr>
              <w:t xml:space="preserve">Ціль 4. Нормативно-правове та організаційне забезпечення розвитку відновлюваної енергетики  </w:t>
            </w:r>
          </w:p>
          <w:p w14:paraId="459B21F5"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color w:val="000000"/>
              </w:rPr>
              <w:t>«Проведення аукціонів з розподілу квоти підтримки виробництва електричної енергії з альтернативних джерел енергії»  визначити строк початку проведення аукціонів - 2022 р., строк проведення - 2022 – 2029.</w:t>
            </w:r>
          </w:p>
        </w:tc>
        <w:tc>
          <w:tcPr>
            <w:tcW w:w="3969" w:type="dxa"/>
            <w:tcBorders>
              <w:top w:val="single" w:sz="6" w:space="0" w:color="000000"/>
              <w:left w:val="single" w:sz="6" w:space="0" w:color="000000"/>
              <w:bottom w:val="single" w:sz="6" w:space="0" w:color="000000"/>
              <w:right w:val="single" w:sz="6" w:space="0" w:color="000000"/>
            </w:tcBorders>
          </w:tcPr>
          <w:p w14:paraId="6B7291BD" w14:textId="77777777" w:rsidR="00B43B9E" w:rsidRPr="003864E7" w:rsidRDefault="00AF0BE5">
            <w:pPr>
              <w:shd w:val="clear" w:color="auto" w:fill="FFFFFF"/>
              <w:spacing w:after="0" w:line="240" w:lineRule="auto"/>
              <w:ind w:right="450"/>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Пункт 2 Плану заходів Ціль 4. Нормативно-правове та організаційне забезпечення розвитку відновлюваної енергетики </w:t>
            </w:r>
          </w:p>
          <w:p w14:paraId="254DE26B" w14:textId="77777777" w:rsidR="00B43B9E" w:rsidRPr="003864E7" w:rsidRDefault="00AF0BE5">
            <w:pPr>
              <w:shd w:val="clear" w:color="auto" w:fill="FFFFFF"/>
              <w:spacing w:after="0" w:line="240" w:lineRule="auto"/>
              <w:ind w:right="450"/>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«Проведення аукціонів з розподілу квоти підтримки виробництва електричної енергії з альтернативних»</w:t>
            </w:r>
          </w:p>
          <w:p w14:paraId="37F3E5EF" w14:textId="77777777" w:rsidR="00B43B9E" w:rsidRPr="003864E7" w:rsidRDefault="00AF0BE5">
            <w:pPr>
              <w:shd w:val="clear" w:color="auto" w:fill="FFFFFF"/>
              <w:spacing w:after="0" w:line="240" w:lineRule="auto"/>
              <w:ind w:right="450"/>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Строк виконання:</w:t>
            </w:r>
          </w:p>
          <w:p w14:paraId="22C8CB1B" w14:textId="77777777" w:rsidR="00B43B9E" w:rsidRPr="003864E7" w:rsidRDefault="00AF0BE5">
            <w:pPr>
              <w:spacing w:after="0" w:line="240" w:lineRule="auto"/>
              <w:ind w:left="-154" w:right="971" w:firstLine="154"/>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2022-2029роки</w:t>
            </w:r>
          </w:p>
          <w:p w14:paraId="0C249704" w14:textId="77777777" w:rsidR="00B43B9E" w:rsidRPr="003864E7" w:rsidRDefault="00AF0BE5">
            <w:pPr>
              <w:shd w:val="clear" w:color="auto" w:fill="FFFFFF"/>
              <w:spacing w:after="0" w:line="240" w:lineRule="auto"/>
              <w:ind w:right="450"/>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(відповідно до рішення Кабінету Міністрів України)</w:t>
            </w:r>
          </w:p>
          <w:p w14:paraId="72C21D83" w14:textId="77777777" w:rsidR="00B43B9E" w:rsidRPr="003864E7" w:rsidRDefault="00B43B9E">
            <w:pPr>
              <w:shd w:val="clear" w:color="auto" w:fill="FFFFFF"/>
              <w:spacing w:after="0" w:line="240" w:lineRule="auto"/>
              <w:ind w:left="450" w:right="450"/>
              <w:jc w:val="both"/>
              <w:rPr>
                <w:rFonts w:ascii="Times New Roman" w:eastAsia="Times New Roman" w:hAnsi="Times New Roman" w:cs="Times New Roman"/>
                <w:color w:val="000000"/>
              </w:rPr>
            </w:pPr>
          </w:p>
        </w:tc>
        <w:tc>
          <w:tcPr>
            <w:tcW w:w="5812" w:type="dxa"/>
            <w:tcBorders>
              <w:top w:val="single" w:sz="6" w:space="0" w:color="000000"/>
              <w:left w:val="single" w:sz="6" w:space="0" w:color="000000"/>
              <w:bottom w:val="single" w:sz="6" w:space="0" w:color="000000"/>
              <w:right w:val="single" w:sz="6" w:space="0" w:color="000000"/>
            </w:tcBorders>
          </w:tcPr>
          <w:p w14:paraId="1BF3191D"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58171E03" w14:textId="77777777" w:rsidR="00B43B9E" w:rsidRPr="003864E7" w:rsidRDefault="00AF0BE5">
            <w:pPr>
              <w:pBdr>
                <w:top w:val="nil"/>
                <w:left w:val="nil"/>
                <w:bottom w:val="nil"/>
                <w:right w:val="nil"/>
                <w:between w:val="nil"/>
              </w:pBdr>
              <w:tabs>
                <w:tab w:val="left" w:pos="531"/>
                <w:tab w:val="left" w:pos="1997"/>
                <w:tab w:val="left" w:pos="3458"/>
                <w:tab w:val="left" w:pos="4660"/>
                <w:tab w:val="left" w:pos="5930"/>
                <w:tab w:val="left" w:pos="7111"/>
                <w:tab w:val="left" w:pos="7668"/>
              </w:tabs>
              <w:spacing w:after="0" w:line="216" w:lineRule="auto"/>
              <w:ind w:right="108" w:firstLine="709"/>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З початку повномасштабної збройної агресії російської федерації проти України рівень споживання електричної енергії в Україні суттєво - на 30-35% порівняно із аналогічним періодом 2021 року. Крім того, у зв’язку з проведенням бойових дій суттєво знизився рівень розрахунків на ринку електричної енергії.</w:t>
            </w:r>
          </w:p>
          <w:p w14:paraId="09E746F0" w14:textId="77777777" w:rsidR="00B43B9E" w:rsidRPr="003864E7" w:rsidRDefault="00AF0BE5">
            <w:pPr>
              <w:pBdr>
                <w:top w:val="nil"/>
                <w:left w:val="nil"/>
                <w:bottom w:val="nil"/>
                <w:right w:val="nil"/>
                <w:between w:val="nil"/>
              </w:pBdr>
              <w:tabs>
                <w:tab w:val="left" w:pos="531"/>
                <w:tab w:val="left" w:pos="1997"/>
                <w:tab w:val="left" w:pos="3458"/>
                <w:tab w:val="left" w:pos="4660"/>
                <w:tab w:val="left" w:pos="5930"/>
                <w:tab w:val="left" w:pos="7111"/>
                <w:tab w:val="left" w:pos="7668"/>
              </w:tabs>
              <w:spacing w:after="0" w:line="216" w:lineRule="auto"/>
              <w:ind w:right="108" w:firstLine="709"/>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Це призвело до суттєвого зниження обсягу надходжень НЕК «Укренерго» та відповідно можливості в повному обсязі сплачувати ДП «Гарантований покупець» послугу із забезпечення частки виробництва електричної енергії з альтернативних джерел.</w:t>
            </w:r>
          </w:p>
          <w:p w14:paraId="0899239B" w14:textId="77777777" w:rsidR="00B43B9E" w:rsidRPr="003864E7" w:rsidRDefault="00AF0BE5">
            <w:pPr>
              <w:pBdr>
                <w:top w:val="nil"/>
                <w:left w:val="nil"/>
                <w:bottom w:val="nil"/>
                <w:right w:val="nil"/>
                <w:between w:val="nil"/>
              </w:pBdr>
              <w:tabs>
                <w:tab w:val="left" w:pos="531"/>
                <w:tab w:val="left" w:pos="1997"/>
                <w:tab w:val="left" w:pos="3458"/>
                <w:tab w:val="left" w:pos="4660"/>
                <w:tab w:val="left" w:pos="5930"/>
                <w:tab w:val="left" w:pos="7111"/>
                <w:tab w:val="left" w:pos="7668"/>
              </w:tabs>
              <w:spacing w:after="0" w:line="216" w:lineRule="auto"/>
              <w:ind w:right="108" w:firstLine="709"/>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На сьогодні, середньозважений рівень розрахунків ДП «Гарантований покупець» з виробниками за «зеленим» тарифом за відпущену електричну енергію становить близько 20%, а заборгованість підприємства перевищує 15 млрд грн.</w:t>
            </w:r>
          </w:p>
          <w:p w14:paraId="75F7B08C"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rPr>
              <w:t>Враховуючи зазначене, в таких умовах, проведення успішних аукціонів з розподілу квоти підтримки у 2022 році не вбачається можливим до завершення військового стану та стабілізації фінансового стану ринку електричної енергії, зокрема забезпечення стабільного фінансування ДП «Гарантований покупець».</w:t>
            </w:r>
          </w:p>
          <w:p w14:paraId="3A3CD063"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07203663"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603B8B3B"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Пропонуємо в пункт 8 Плану заходів </w:t>
            </w:r>
            <w:r w:rsidRPr="003864E7">
              <w:rPr>
                <w:rFonts w:ascii="Times New Roman" w:eastAsia="Times New Roman" w:hAnsi="Times New Roman" w:cs="Times New Roman"/>
                <w:color w:val="000000"/>
              </w:rPr>
              <w:t xml:space="preserve">Цілі 4. Нормативно-правове та організаційне забезпечення </w:t>
            </w:r>
            <w:r w:rsidRPr="003864E7">
              <w:rPr>
                <w:rFonts w:ascii="Times New Roman" w:eastAsia="Times New Roman" w:hAnsi="Times New Roman" w:cs="Times New Roman"/>
                <w:color w:val="000000"/>
              </w:rPr>
              <w:lastRenderedPageBreak/>
              <w:t>розвитку відновлюваної енергетики  «Розроблення та подання Кабінетові Міністрів України законопроекту щодо розвитку морської (офшорної) вітрової енергетики, у тому числі щодо процедури проведення оцінки впливу на довкілля для офшорних вітроенергетичних проектів та щодо морського просторового планування та визначення статусу територій для будівництва офшорних вітроелектростанцій» визначити строк виконання</w:t>
            </w:r>
            <w:r w:rsidRPr="003864E7">
              <w:rPr>
                <w:rFonts w:ascii="Times New Roman" w:eastAsia="Times New Roman" w:hAnsi="Times New Roman" w:cs="Times New Roman"/>
              </w:rPr>
              <w:t xml:space="preserve"> 2022 рік</w:t>
            </w:r>
          </w:p>
        </w:tc>
        <w:tc>
          <w:tcPr>
            <w:tcW w:w="3969" w:type="dxa"/>
            <w:tcBorders>
              <w:top w:val="single" w:sz="6" w:space="0" w:color="000000"/>
              <w:left w:val="single" w:sz="6" w:space="0" w:color="000000"/>
              <w:bottom w:val="single" w:sz="6" w:space="0" w:color="000000"/>
              <w:right w:val="single" w:sz="6" w:space="0" w:color="000000"/>
            </w:tcBorders>
          </w:tcPr>
          <w:p w14:paraId="6759349E" w14:textId="77777777" w:rsidR="00B43B9E" w:rsidRPr="003864E7" w:rsidRDefault="00AF0BE5" w:rsidP="00943A0E">
            <w:pPr>
              <w:shd w:val="clear" w:color="auto" w:fill="FFFFFF"/>
              <w:spacing w:after="0" w:line="240" w:lineRule="auto"/>
              <w:ind w:right="33"/>
              <w:jc w:val="both"/>
              <w:rPr>
                <w:rFonts w:ascii="Times New Roman" w:eastAsia="Times New Roman" w:hAnsi="Times New Roman" w:cs="Times New Roman"/>
                <w:color w:val="000000"/>
              </w:rPr>
            </w:pPr>
            <w:r w:rsidRPr="003864E7">
              <w:rPr>
                <w:rFonts w:ascii="Times New Roman" w:eastAsia="Times New Roman" w:hAnsi="Times New Roman" w:cs="Times New Roman"/>
              </w:rPr>
              <w:lastRenderedPageBreak/>
              <w:t xml:space="preserve">пункт 8 Плану заходів </w:t>
            </w:r>
            <w:r w:rsidRPr="003864E7">
              <w:rPr>
                <w:rFonts w:ascii="Times New Roman" w:eastAsia="Times New Roman" w:hAnsi="Times New Roman" w:cs="Times New Roman"/>
                <w:color w:val="000000"/>
              </w:rPr>
              <w:t xml:space="preserve">Цілі 4. Нормативно-правове та організаційне </w:t>
            </w:r>
            <w:r w:rsidRPr="003864E7">
              <w:rPr>
                <w:rFonts w:ascii="Times New Roman" w:eastAsia="Times New Roman" w:hAnsi="Times New Roman" w:cs="Times New Roman"/>
                <w:color w:val="000000"/>
              </w:rPr>
              <w:lastRenderedPageBreak/>
              <w:t>забезпечення розвитку відновлюваної енергетики  «Розроблення та подання Кабінетові Міністрів України законопроекту щодо розвитку морської (офшорної) вітрової енергетики, у тому числі щодо процедури проведення оцінки впливу на довкілля для офшорних вітроенергетичних проектів та щодо морського просторового планування та визначення статусу територій для будівництва офшорних вітроелектростанцій» строк виконання</w:t>
            </w:r>
            <w:r w:rsidRPr="003864E7">
              <w:rPr>
                <w:rFonts w:ascii="Times New Roman" w:eastAsia="Times New Roman" w:hAnsi="Times New Roman" w:cs="Times New Roman"/>
              </w:rPr>
              <w:t xml:space="preserve"> 2023 рік</w:t>
            </w:r>
          </w:p>
          <w:p w14:paraId="64447799" w14:textId="77777777" w:rsidR="00B43B9E" w:rsidRPr="003864E7" w:rsidRDefault="00B43B9E">
            <w:pPr>
              <w:shd w:val="clear" w:color="auto" w:fill="FFFFFF"/>
              <w:spacing w:after="0" w:line="240" w:lineRule="auto"/>
              <w:ind w:left="450" w:right="450"/>
              <w:jc w:val="both"/>
              <w:rPr>
                <w:rFonts w:ascii="Times New Roman" w:eastAsia="Times New Roman" w:hAnsi="Times New Roman" w:cs="Times New Roman"/>
                <w:color w:val="000000"/>
              </w:rPr>
            </w:pPr>
          </w:p>
        </w:tc>
        <w:tc>
          <w:tcPr>
            <w:tcW w:w="5812" w:type="dxa"/>
            <w:tcBorders>
              <w:top w:val="single" w:sz="6" w:space="0" w:color="000000"/>
              <w:left w:val="single" w:sz="6" w:space="0" w:color="000000"/>
              <w:bottom w:val="single" w:sz="6" w:space="0" w:color="000000"/>
              <w:right w:val="single" w:sz="6" w:space="0" w:color="000000"/>
            </w:tcBorders>
          </w:tcPr>
          <w:p w14:paraId="31AD1F7F"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Не враховано</w:t>
            </w:r>
          </w:p>
          <w:p w14:paraId="599E08BA"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1EC1AD40"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lastRenderedPageBreak/>
              <w:t>Перенесення терміну на 2022 вважаємо недоцільним зважаючи не строк, необхідний на розробку зазначеного НПА</w:t>
            </w:r>
          </w:p>
        </w:tc>
      </w:tr>
      <w:tr w:rsidR="00B43B9E" w:rsidRPr="003864E7" w14:paraId="46A1340C"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79D32809" w14:textId="77777777" w:rsidR="00B43B9E" w:rsidRPr="003864E7" w:rsidRDefault="00AF0BE5">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 xml:space="preserve">Коментар: Загалом, хоча нормативно встановлені вимоги до змісту, обсягу та рівня деталізації національних планів дій відсутні, однак враховуючи назву документу – Національний план дій з розвитку відновлюваної енергетики на період до 2030 року, доцільно було б у цьому документі визначити чіткий перелік дій, необхідних для розвитку кожного із сегментів відновлюваної енергетики, що передбачені в такому Національному плані дій. </w:t>
            </w:r>
          </w:p>
          <w:p w14:paraId="34B3EAB0" w14:textId="77777777" w:rsidR="00B43B9E" w:rsidRPr="003864E7" w:rsidRDefault="00AF0BE5">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Пропонується уникати в Національному плані дій декларативних формулювань, що не встановлюють чітких вимог до таких дій, наприклад, «створення сприятливих умов», «розширення міжнародного співробітництва», «популяризація», оскільки це значно знижує ефективність документу.</w:t>
            </w:r>
          </w:p>
          <w:p w14:paraId="753F40DE" w14:textId="77777777" w:rsidR="00B43B9E" w:rsidRPr="003864E7" w:rsidRDefault="00AF0BE5">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 xml:space="preserve">З урахуванням зазначеного вище, пропонується переглянути таблицю «Ціль 4. Нормативно-правове та організаційне забезпечення розвитку відновлюваної енергетики», а саме: </w:t>
            </w:r>
          </w:p>
          <w:p w14:paraId="16A88A2C" w14:textId="77777777" w:rsidR="00B43B9E" w:rsidRPr="003864E7" w:rsidRDefault="00AF0BE5">
            <w:pPr>
              <w:numPr>
                <w:ilvl w:val="0"/>
                <w:numId w:val="4"/>
              </w:numPr>
              <w:pBdr>
                <w:top w:val="nil"/>
                <w:left w:val="nil"/>
                <w:bottom w:val="nil"/>
                <w:right w:val="nil"/>
                <w:between w:val="nil"/>
              </w:pBdr>
              <w:spacing w:after="0" w:line="240" w:lineRule="auto"/>
              <w:ind w:left="595" w:right="345" w:hanging="42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привести запропоновані у таблиці заходи у відповідність до вимог законодавства, або виключити (наприклад, таблиця містить захід «1. Подання Кабінетові Міністрів України проекту розпорядження Кабінету Міністрів </w:t>
            </w:r>
            <w:r w:rsidRPr="003864E7">
              <w:rPr>
                <w:rFonts w:ascii="Times New Roman" w:eastAsia="Times New Roman" w:hAnsi="Times New Roman" w:cs="Times New Roman"/>
                <w:color w:val="000000"/>
              </w:rPr>
              <w:lastRenderedPageBreak/>
              <w:t>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 Однак він не в повні мірі відповідає ч. 5 ст. 9</w:t>
            </w:r>
            <w:r w:rsidRPr="003864E7">
              <w:rPr>
                <w:rFonts w:ascii="Times New Roman" w:eastAsia="Times New Roman" w:hAnsi="Times New Roman" w:cs="Times New Roman"/>
                <w:color w:val="000000"/>
                <w:vertAlign w:val="superscript"/>
              </w:rPr>
              <w:t xml:space="preserve">3 </w:t>
            </w:r>
            <w:r w:rsidRPr="003864E7">
              <w:rPr>
                <w:rFonts w:ascii="Times New Roman" w:eastAsia="Times New Roman" w:hAnsi="Times New Roman" w:cs="Times New Roman"/>
                <w:color w:val="000000"/>
              </w:rPr>
              <w:t>Закону України «Про альтернативні джерела енергії», згідно з якою Кабінет Міністрів України за поданням центрального органу виконавчої влади, що забезпечує формування та реалізує державну політику в електроенергетичному комплексі, щороку, не пізніше 1 грудня, встановлює річну квоту підтримки та графік проведення аукціонів на наступний рік, а також індикативні прогнозні показники річних квот підтримки на чотири роки, що йдуть за роком, на який встановлюється річна квота підтримки. Пропозиції щодо розміру річних квот підтримки готуються центральним органом виконавчої влади, що реалізує державну політику у сфері ефективного використання паливно-енергетичних ресурсів, енергозбереження, відновлюваних джерел енергії та альтернативних видів палива, та оператором системи передачі з урахуванням міжнародних зобов’язань України щодо розвитку відновлюваної енергетики, Енергетичної стратегії України, звіту з оцінки відповідності (достатності) генеруючих потужностей та плану розвитку системи передачі, стану реалізації проектів будівництва об’єктів відновлюваної енергетики.);</w:t>
            </w:r>
          </w:p>
          <w:p w14:paraId="5AC987D5" w14:textId="77777777" w:rsidR="00B43B9E" w:rsidRPr="003864E7" w:rsidRDefault="00AF0BE5">
            <w:pPr>
              <w:numPr>
                <w:ilvl w:val="0"/>
                <w:numId w:val="4"/>
              </w:numPr>
              <w:pBdr>
                <w:top w:val="nil"/>
                <w:left w:val="nil"/>
                <w:bottom w:val="nil"/>
                <w:right w:val="nil"/>
                <w:between w:val="nil"/>
              </w:pBdr>
              <w:spacing w:after="0" w:line="240" w:lineRule="auto"/>
              <w:ind w:left="595" w:right="345" w:hanging="42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доповнити заходи що стосуються розробки нормативно-правових актів основними положеннями, що мають містити такі акти.</w:t>
            </w:r>
          </w:p>
          <w:p w14:paraId="006CEC05" w14:textId="77777777" w:rsidR="00B43B9E" w:rsidRPr="003864E7" w:rsidRDefault="00AF0BE5">
            <w:pPr>
              <w:spacing w:after="0" w:line="240" w:lineRule="auto"/>
              <w:rPr>
                <w:rFonts w:ascii="Times New Roman" w:hAnsi="Times New Roman" w:cs="Times New Roman"/>
              </w:rPr>
            </w:pPr>
            <w:r w:rsidRPr="003864E7">
              <w:rPr>
                <w:rFonts w:ascii="Times New Roman" w:eastAsia="Times New Roman" w:hAnsi="Times New Roman" w:cs="Times New Roman"/>
                <w:color w:val="000000"/>
              </w:rPr>
              <w:lastRenderedPageBreak/>
              <w:t>переглянути передбачені в таблиці заходи на предмет їх чіткості та ефективності для розвитку відновлюваної енергетики.</w:t>
            </w:r>
          </w:p>
        </w:tc>
        <w:tc>
          <w:tcPr>
            <w:tcW w:w="3969" w:type="dxa"/>
            <w:tcBorders>
              <w:top w:val="single" w:sz="6" w:space="0" w:color="000000"/>
              <w:left w:val="single" w:sz="6" w:space="0" w:color="000000"/>
              <w:bottom w:val="single" w:sz="6" w:space="0" w:color="000000"/>
              <w:right w:val="single" w:sz="6" w:space="0" w:color="000000"/>
            </w:tcBorders>
          </w:tcPr>
          <w:p w14:paraId="6DA73609" w14:textId="77777777" w:rsidR="00B43B9E" w:rsidRPr="003864E7" w:rsidRDefault="00AF0BE5">
            <w:pPr>
              <w:shd w:val="clear" w:color="auto" w:fill="FFFFFF"/>
              <w:spacing w:after="0" w:line="240" w:lineRule="auto"/>
              <w:ind w:right="450"/>
              <w:jc w:val="center"/>
              <w:rPr>
                <w:rFonts w:ascii="Times New Roman" w:eastAsia="Times New Roman" w:hAnsi="Times New Roman" w:cs="Times New Roman"/>
                <w:color w:val="000000"/>
              </w:rPr>
            </w:pPr>
            <w:r w:rsidRPr="003864E7">
              <w:rPr>
                <w:rFonts w:ascii="Times New Roman" w:eastAsia="Times New Roman" w:hAnsi="Times New Roman" w:cs="Times New Roman"/>
              </w:rPr>
              <w:lastRenderedPageBreak/>
              <w:t xml:space="preserve">Пропозиції до Плану заходів </w:t>
            </w:r>
            <w:r w:rsidRPr="003864E7">
              <w:rPr>
                <w:rFonts w:ascii="Times New Roman" w:eastAsia="Times New Roman" w:hAnsi="Times New Roman" w:cs="Times New Roman"/>
                <w:color w:val="000000"/>
              </w:rPr>
              <w:t xml:space="preserve">Ціль 4. Нормативно-правове та організаційне забезпечення розвитку відновлюваної енергетики </w:t>
            </w:r>
          </w:p>
          <w:p w14:paraId="42D0D648" w14:textId="77777777" w:rsidR="00B43B9E" w:rsidRPr="003864E7" w:rsidRDefault="00B43B9E">
            <w:pPr>
              <w:shd w:val="clear" w:color="auto" w:fill="FFFFFF"/>
              <w:spacing w:after="0" w:line="240" w:lineRule="auto"/>
              <w:ind w:left="450" w:right="450"/>
              <w:jc w:val="center"/>
              <w:rPr>
                <w:rFonts w:ascii="Times New Roman" w:hAnsi="Times New Roman" w:cs="Times New Roman"/>
                <w:color w:val="000000"/>
              </w:rPr>
            </w:pPr>
          </w:p>
        </w:tc>
        <w:tc>
          <w:tcPr>
            <w:tcW w:w="5812" w:type="dxa"/>
            <w:tcBorders>
              <w:top w:val="single" w:sz="6" w:space="0" w:color="000000"/>
              <w:left w:val="single" w:sz="6" w:space="0" w:color="000000"/>
              <w:bottom w:val="single" w:sz="6" w:space="0" w:color="000000"/>
              <w:right w:val="single" w:sz="6" w:space="0" w:color="000000"/>
            </w:tcBorders>
          </w:tcPr>
          <w:p w14:paraId="60B95375"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Враховано частково.</w:t>
            </w:r>
          </w:p>
          <w:p w14:paraId="40C39E66" w14:textId="77777777" w:rsidR="00B43B9E" w:rsidRPr="003864E7" w:rsidRDefault="00AF0BE5">
            <w:pPr>
              <w:pBdr>
                <w:top w:val="nil"/>
                <w:left w:val="nil"/>
                <w:bottom w:val="nil"/>
                <w:right w:val="nil"/>
                <w:between w:val="nil"/>
              </w:pBdr>
              <w:spacing w:after="0" w:line="240" w:lineRule="auto"/>
              <w:ind w:right="57" w:firstLine="567"/>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Відповідно до пункту 6 Порядку проведення аукціонів з розподілу квоти підтримки, затвердженого постановою Кабінету Міністрів України від 27 грудня 2019 р. № 1175,  проект рішення щодо встановлення річних квот підтримки суб’єктів господарювання, які виробляють електричну енергію з альтернативних джерел енергії подається Кабінетові Міністрів України щороку до 31 жовтня.</w:t>
            </w:r>
          </w:p>
          <w:p w14:paraId="2BA0824D" w14:textId="77777777" w:rsidR="00B43B9E" w:rsidRPr="003864E7" w:rsidRDefault="00AF0BE5">
            <w:pPr>
              <w:spacing w:after="0" w:line="240" w:lineRule="auto"/>
              <w:ind w:left="57" w:right="57" w:firstLine="708"/>
              <w:jc w:val="both"/>
              <w:rPr>
                <w:rFonts w:ascii="Times New Roman" w:eastAsia="Times New Roman" w:hAnsi="Times New Roman" w:cs="Times New Roman"/>
              </w:rPr>
            </w:pPr>
            <w:r w:rsidRPr="003864E7">
              <w:rPr>
                <w:rFonts w:ascii="Times New Roman" w:eastAsia="Times New Roman" w:hAnsi="Times New Roman" w:cs="Times New Roman"/>
              </w:rPr>
              <w:t>Пункт 1 Цілі 4 викладено у такій редакції: «Подання Кабінетові Міністрів України проекту розпорядження Кабінету Міністрів України про встановлення річної квоти підтримки та графіку проведення аукціонів на наступний рік, а також індикативних прогнозних показників річних квот підтримки на чотири роки, що йдуть за роком, на який встановлюється річна квота підтримки»</w:t>
            </w:r>
          </w:p>
          <w:p w14:paraId="47B3963E"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 Відповідальні за виконання: </w:t>
            </w:r>
          </w:p>
          <w:p w14:paraId="4F97B34C"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Міненерго </w:t>
            </w:r>
          </w:p>
          <w:p w14:paraId="09C63E3C"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Держенергоефективності </w:t>
            </w:r>
          </w:p>
          <w:p w14:paraId="154E2C30"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ПрАТ «НЕК» Укренерго» (за згодою)</w:t>
            </w:r>
          </w:p>
          <w:p w14:paraId="7301DD3D" w14:textId="77777777" w:rsidR="00B43B9E" w:rsidRPr="003864E7" w:rsidRDefault="00AF0BE5">
            <w:pPr>
              <w:spacing w:after="0" w:line="240" w:lineRule="auto"/>
              <w:ind w:left="57" w:right="57" w:firstLine="708"/>
              <w:jc w:val="right"/>
              <w:rPr>
                <w:rFonts w:ascii="Times New Roman" w:eastAsia="Times New Roman" w:hAnsi="Times New Roman" w:cs="Times New Roman"/>
              </w:rPr>
            </w:pPr>
            <w:r w:rsidRPr="003864E7">
              <w:rPr>
                <w:rFonts w:ascii="Times New Roman" w:eastAsia="Times New Roman" w:hAnsi="Times New Roman" w:cs="Times New Roman"/>
              </w:rPr>
              <w:t xml:space="preserve">Строк виконання: </w:t>
            </w:r>
          </w:p>
          <w:p w14:paraId="29916905" w14:textId="77777777" w:rsidR="00B43B9E" w:rsidRPr="003864E7" w:rsidRDefault="00AF0BE5">
            <w:pPr>
              <w:pBdr>
                <w:top w:val="nil"/>
                <w:left w:val="nil"/>
                <w:bottom w:val="nil"/>
                <w:right w:val="nil"/>
                <w:between w:val="nil"/>
              </w:pBdr>
              <w:spacing w:after="0" w:line="240" w:lineRule="auto"/>
              <w:ind w:left="57" w:right="57" w:firstLine="558"/>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щороку до 31 жовтня</w:t>
            </w:r>
          </w:p>
          <w:p w14:paraId="4A76A208" w14:textId="77777777" w:rsidR="00B43B9E" w:rsidRPr="003864E7" w:rsidRDefault="00AF0BE5">
            <w:pPr>
              <w:pBdr>
                <w:top w:val="nil"/>
                <w:left w:val="nil"/>
                <w:bottom w:val="nil"/>
                <w:right w:val="nil"/>
                <w:between w:val="nil"/>
              </w:pBdr>
              <w:spacing w:after="0" w:line="240" w:lineRule="auto"/>
              <w:ind w:right="34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Не враховано питання щодо доповнення заходів змістом основниих положеннь, що мають містити такі акти, та визначення чіткості заходів </w:t>
            </w:r>
          </w:p>
          <w:p w14:paraId="4432F61B"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7218448B"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План заходів містить пункти щодо розробки нових схем підтримки сфери відновлюваної енергетики, які грунтуються на принципах, зазначених у Директиві (ЄС) 2018/2001, адаптованих рішенням Ради Міністрів Енергетичного Співтовариства від 30 листопада 2021 року, а також зміст основних положень яких викладено  в  тексті НПДВЕ 2030.</w:t>
            </w:r>
          </w:p>
          <w:p w14:paraId="280A876D"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Кожний пункт плану заходів має чіткі строки виконання та відповідальних виконавців.</w:t>
            </w:r>
          </w:p>
          <w:p w14:paraId="36FA2F0C"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36EBC005"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0D323F6F"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p w14:paraId="5BB840F7"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5D36A1EB"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315694EA" w14:textId="77777777" w:rsidR="00B43B9E" w:rsidRPr="003864E7" w:rsidRDefault="00AF0BE5">
            <w:pPr>
              <w:spacing w:after="0" w:line="240" w:lineRule="auto"/>
              <w:rPr>
                <w:rFonts w:ascii="Times New Roman" w:eastAsia="Times New Roman" w:hAnsi="Times New Roman" w:cs="Times New Roman"/>
                <w:color w:val="000000"/>
              </w:rPr>
            </w:pPr>
            <w:r w:rsidRPr="003864E7">
              <w:rPr>
                <w:rFonts w:ascii="Times New Roman" w:eastAsia="Times New Roman" w:hAnsi="Times New Roman" w:cs="Times New Roman"/>
              </w:rPr>
              <w:lastRenderedPageBreak/>
              <w:t xml:space="preserve">Пропонуємо до  Плану заходів </w:t>
            </w:r>
            <w:r w:rsidRPr="003864E7">
              <w:rPr>
                <w:rFonts w:ascii="Times New Roman" w:eastAsia="Times New Roman" w:hAnsi="Times New Roman" w:cs="Times New Roman"/>
                <w:color w:val="000000"/>
              </w:rPr>
              <w:t>Цілі 4. Нормативно-правове та організаційне забезпечення розвитку відновлюваної енергетики  доповнити наступним пунктом «Розроблення і подання Кабінетові Міністрів України проекту Стратегії розвитку офшорної вітрової енергетики України на період до 2050 року та розроблено інші нормативно-правові акти, що регулюють офшорну енергетику в Україні».</w:t>
            </w:r>
          </w:p>
          <w:p w14:paraId="619BA5B4" w14:textId="77777777" w:rsidR="00B43B9E" w:rsidRPr="003864E7" w:rsidRDefault="00AF0BE5">
            <w:pPr>
              <w:spacing w:after="0" w:line="240" w:lineRule="auto"/>
              <w:ind w:left="57" w:right="57"/>
              <w:rPr>
                <w:rFonts w:ascii="Times New Roman" w:eastAsia="Times New Roman" w:hAnsi="Times New Roman" w:cs="Times New Roman"/>
                <w:color w:val="000000"/>
              </w:rPr>
            </w:pPr>
            <w:r w:rsidRPr="003864E7">
              <w:rPr>
                <w:rFonts w:ascii="Times New Roman" w:eastAsia="Times New Roman" w:hAnsi="Times New Roman" w:cs="Times New Roman"/>
                <w:color w:val="000000"/>
              </w:rPr>
              <w:t>Відповідальні за виконання:</w:t>
            </w:r>
          </w:p>
          <w:p w14:paraId="2B30DC49" w14:textId="77777777" w:rsidR="00B43B9E" w:rsidRPr="003864E7" w:rsidRDefault="00B43B9E">
            <w:pPr>
              <w:spacing w:after="0" w:line="240" w:lineRule="auto"/>
              <w:ind w:left="57" w:right="57"/>
              <w:rPr>
                <w:rFonts w:ascii="Times New Roman" w:eastAsia="Times New Roman" w:hAnsi="Times New Roman" w:cs="Times New Roman"/>
                <w:color w:val="000000"/>
              </w:rPr>
            </w:pPr>
          </w:p>
          <w:p w14:paraId="0C7F9398" w14:textId="77777777" w:rsidR="00B43B9E" w:rsidRPr="003864E7" w:rsidRDefault="00AF0BE5">
            <w:pPr>
              <w:spacing w:after="0" w:line="240" w:lineRule="auto"/>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Міненерго</w:t>
            </w:r>
          </w:p>
          <w:p w14:paraId="154DF51B" w14:textId="77777777" w:rsidR="00B43B9E" w:rsidRPr="003864E7" w:rsidRDefault="00AF0BE5">
            <w:pPr>
              <w:spacing w:after="0" w:line="240" w:lineRule="auto"/>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Держенергоефективності </w:t>
            </w:r>
          </w:p>
          <w:p w14:paraId="6AC0B9D7" w14:textId="77777777" w:rsidR="00B43B9E" w:rsidRPr="003864E7" w:rsidRDefault="00AF0BE5">
            <w:pPr>
              <w:spacing w:after="0" w:line="240" w:lineRule="auto"/>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Міндовкілля</w:t>
            </w:r>
          </w:p>
          <w:p w14:paraId="7EA64D4F" w14:textId="77777777" w:rsidR="00B43B9E" w:rsidRPr="003864E7" w:rsidRDefault="00AF0BE5">
            <w:pPr>
              <w:spacing w:after="0" w:line="240" w:lineRule="auto"/>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Мінрегіон</w:t>
            </w:r>
          </w:p>
          <w:p w14:paraId="4CF0D898" w14:textId="77777777" w:rsidR="00B43B9E" w:rsidRPr="003864E7" w:rsidRDefault="00AF0BE5">
            <w:pPr>
              <w:spacing w:after="0" w:line="240" w:lineRule="auto"/>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НКРЕКП (за згодою)</w:t>
            </w:r>
          </w:p>
          <w:p w14:paraId="4EB213AA" w14:textId="77777777" w:rsidR="00B43B9E" w:rsidRPr="003864E7" w:rsidRDefault="00AF0BE5">
            <w:pPr>
              <w:spacing w:after="0" w:line="240" w:lineRule="auto"/>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ПрАТ «НЕК «Укренерго» (за згодою)</w:t>
            </w:r>
          </w:p>
          <w:p w14:paraId="20A92F6F" w14:textId="77777777" w:rsidR="00B43B9E" w:rsidRPr="003864E7" w:rsidRDefault="00AF0BE5">
            <w:pPr>
              <w:spacing w:after="0" w:line="240" w:lineRule="auto"/>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МЗС</w:t>
            </w:r>
          </w:p>
          <w:p w14:paraId="158D8487" w14:textId="77777777" w:rsidR="00B43B9E" w:rsidRPr="003864E7" w:rsidRDefault="00AF0BE5">
            <w:pPr>
              <w:spacing w:after="0" w:line="240" w:lineRule="auto"/>
              <w:ind w:left="57" w:right="57"/>
              <w:jc w:val="right"/>
              <w:rPr>
                <w:rFonts w:ascii="Times New Roman" w:eastAsia="Times New Roman" w:hAnsi="Times New Roman" w:cs="Times New Roman"/>
                <w:color w:val="000000"/>
              </w:rPr>
            </w:pPr>
            <w:r w:rsidRPr="003864E7">
              <w:rPr>
                <w:rFonts w:ascii="Times New Roman" w:eastAsia="Times New Roman" w:hAnsi="Times New Roman" w:cs="Times New Roman"/>
                <w:color w:val="000000"/>
              </w:rPr>
              <w:t>Держприкордонслужба</w:t>
            </w:r>
          </w:p>
          <w:p w14:paraId="7121E24B" w14:textId="77777777" w:rsidR="00B43B9E" w:rsidRPr="003864E7" w:rsidRDefault="00B43B9E">
            <w:pPr>
              <w:spacing w:after="0" w:line="240" w:lineRule="auto"/>
              <w:ind w:left="57" w:right="57"/>
              <w:jc w:val="right"/>
              <w:rPr>
                <w:rFonts w:ascii="Times New Roman" w:eastAsia="Times New Roman" w:hAnsi="Times New Roman" w:cs="Times New Roman"/>
              </w:rPr>
            </w:pPr>
          </w:p>
          <w:p w14:paraId="3BF33A60"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color w:val="000000"/>
              </w:rPr>
              <w:t>Строк виконання – 2022 рік</w:t>
            </w:r>
          </w:p>
        </w:tc>
        <w:tc>
          <w:tcPr>
            <w:tcW w:w="3969" w:type="dxa"/>
            <w:tcBorders>
              <w:top w:val="single" w:sz="6" w:space="0" w:color="000000"/>
              <w:left w:val="single" w:sz="6" w:space="0" w:color="000000"/>
              <w:bottom w:val="single" w:sz="6" w:space="0" w:color="000000"/>
              <w:right w:val="single" w:sz="6" w:space="0" w:color="000000"/>
            </w:tcBorders>
          </w:tcPr>
          <w:p w14:paraId="7D135AB3" w14:textId="77777777" w:rsidR="00B43B9E" w:rsidRPr="003864E7" w:rsidRDefault="00AF0BE5">
            <w:pPr>
              <w:shd w:val="clear" w:color="auto" w:fill="FFFFFF"/>
              <w:spacing w:after="0" w:line="240" w:lineRule="auto"/>
              <w:ind w:left="450" w:right="450"/>
              <w:jc w:val="center"/>
              <w:rPr>
                <w:rFonts w:ascii="Times New Roman" w:eastAsia="Times New Roman" w:hAnsi="Times New Roman" w:cs="Times New Roman"/>
                <w:color w:val="000000"/>
              </w:rPr>
            </w:pPr>
            <w:r w:rsidRPr="003864E7">
              <w:rPr>
                <w:rFonts w:ascii="Times New Roman" w:eastAsia="Times New Roman" w:hAnsi="Times New Roman" w:cs="Times New Roman"/>
                <w:color w:val="000000"/>
              </w:rPr>
              <w:t>П</w:t>
            </w:r>
            <w:r w:rsidRPr="003864E7">
              <w:rPr>
                <w:rFonts w:ascii="Times New Roman" w:eastAsia="Times New Roman" w:hAnsi="Times New Roman" w:cs="Times New Roman"/>
              </w:rPr>
              <w:t xml:space="preserve">ропозиції до Плану заходів </w:t>
            </w:r>
            <w:r w:rsidRPr="003864E7">
              <w:rPr>
                <w:rFonts w:ascii="Times New Roman" w:eastAsia="Times New Roman" w:hAnsi="Times New Roman" w:cs="Times New Roman"/>
                <w:color w:val="000000"/>
              </w:rPr>
              <w:t>Цілі 4. Нормативно-правове та організаційне забезпечення розвитку відновлюваної енергетики</w:t>
            </w:r>
          </w:p>
        </w:tc>
        <w:tc>
          <w:tcPr>
            <w:tcW w:w="5812" w:type="dxa"/>
            <w:tcBorders>
              <w:top w:val="single" w:sz="6" w:space="0" w:color="000000"/>
              <w:left w:val="single" w:sz="6" w:space="0" w:color="000000"/>
              <w:bottom w:val="single" w:sz="6" w:space="0" w:color="000000"/>
              <w:right w:val="single" w:sz="6" w:space="0" w:color="000000"/>
            </w:tcBorders>
          </w:tcPr>
          <w:p w14:paraId="6A8B7F75"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04A5A438"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Проектом НПДВЕ 2030 передбачається розвиток сфери відновлюваної енергетики в тому числі і офшорної вітрової енергетики. </w:t>
            </w:r>
          </w:p>
          <w:p w14:paraId="61999D5B"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Крім того, для стимулювання розвитку офшорної вітроенергетики Планом заходів проекту НПДВЕ 2030 передбачено «розроблення та подання Кабінетові Міністрів України законопроекту щодо розвитку морської (офшорної) вітрової енергетики, у тому числі щодо процедури проведення оцінки впливу на довкілля для офшорних вітроенергетичних проектів та щодо морського просторового планування та визначення статусу територій для будівництва офшорних вітроелектростанцій».</w:t>
            </w:r>
          </w:p>
        </w:tc>
      </w:tr>
      <w:tr w:rsidR="00B43B9E" w:rsidRPr="003864E7" w14:paraId="08AD9079"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13EEA9DD" w14:textId="77777777" w:rsidR="00B43B9E" w:rsidRPr="003864E7" w:rsidRDefault="00AF0BE5">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Необхідно привести Національний план у відповідність до Директиви  (ЄС) 2018/2001</w:t>
            </w:r>
          </w:p>
          <w:p w14:paraId="45F72F91" w14:textId="77777777" w:rsidR="00B43B9E" w:rsidRPr="003864E7" w:rsidRDefault="00AF0BE5">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 xml:space="preserve">Коментар: Україна повинна імплементувати Директиву (ЄС) 2018/2001 адаптовану рішенням Ради Міністрів Енергетичного Співтовариства від 30 листопада 2021 року до 31 грудня 2022 року, тому при розробці прогнозів та заходів з розвитку ВДЕ рекомендується застосування цієї директиви замість Директиви 2009/28/ЄС. Крім цього, пропонуємо врахувати вимоги нової директиви у розробці заходів з розвитку генерації з ВДЕ, зокрема: </w:t>
            </w:r>
          </w:p>
          <w:p w14:paraId="36E8B4EE" w14:textId="77777777" w:rsidR="00B43B9E" w:rsidRPr="003864E7" w:rsidRDefault="00AF0BE5">
            <w:pPr>
              <w:numPr>
                <w:ilvl w:val="0"/>
                <w:numId w:val="7"/>
              </w:numPr>
              <w:pBdr>
                <w:top w:val="nil"/>
                <w:left w:val="nil"/>
                <w:bottom w:val="nil"/>
                <w:right w:val="nil"/>
                <w:between w:val="nil"/>
              </w:pBdr>
              <w:spacing w:after="0" w:line="240" w:lineRule="auto"/>
              <w:ind w:left="453" w:right="345" w:hanging="425"/>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інтегрувати загальні вимоги до схем підтримки для ВДЕ, які слугуватимуть принципами при подальшому нормопроектуванні (статті 4, 5 Директиви (ЄС) 2018/2001); </w:t>
            </w:r>
          </w:p>
          <w:p w14:paraId="1871CD7A" w14:textId="77777777" w:rsidR="00B43B9E" w:rsidRPr="003864E7" w:rsidRDefault="00AF0BE5">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color w:val="000000"/>
              </w:rPr>
              <w:lastRenderedPageBreak/>
              <w:t xml:space="preserve">національний план може використовуватись для публікації та оновлення довгострокового графіку з очікуваним розподілом державної підтримки генерації з ВДЕ, включаючи орієнтовний термін і частоту тендерних процедур, очікувану потужність і бюджет, а також очікувані прийнятні технології. </w:t>
            </w:r>
            <w:r w:rsidRPr="003864E7">
              <w:rPr>
                <w:rFonts w:ascii="Times New Roman" w:eastAsia="Times New Roman" w:hAnsi="Times New Roman" w:cs="Times New Roman"/>
                <w:color w:val="000000"/>
                <w:u w:val="single"/>
              </w:rPr>
              <w:t>Такий графік має оновлюватися на щорічній основі або, за необхідності, відображати останні зміни на ринку або очікуваний розподіл підтримки державної</w:t>
            </w:r>
            <w:r w:rsidRPr="003864E7">
              <w:rPr>
                <w:rFonts w:ascii="Times New Roman" w:eastAsia="Times New Roman" w:hAnsi="Times New Roman" w:cs="Times New Roman"/>
                <w:color w:val="000000"/>
              </w:rPr>
              <w:t xml:space="preserve"> (пункт 3 статті 6 Директиви (ЄС) 2018/2001); </w:t>
            </w:r>
          </w:p>
        </w:tc>
        <w:tc>
          <w:tcPr>
            <w:tcW w:w="3969" w:type="dxa"/>
            <w:tcBorders>
              <w:top w:val="single" w:sz="6" w:space="0" w:color="000000"/>
              <w:left w:val="single" w:sz="6" w:space="0" w:color="000000"/>
              <w:bottom w:val="single" w:sz="6" w:space="0" w:color="000000"/>
              <w:right w:val="single" w:sz="6" w:space="0" w:color="000000"/>
            </w:tcBorders>
          </w:tcPr>
          <w:p w14:paraId="60E491F1" w14:textId="77777777" w:rsidR="00B43B9E" w:rsidRPr="003864E7" w:rsidRDefault="00AF0BE5">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lastRenderedPageBreak/>
              <w:t>Пропозиції до проекту НПДВЕ 2030</w:t>
            </w:r>
          </w:p>
          <w:p w14:paraId="3BBFB579" w14:textId="77777777" w:rsidR="00B43B9E" w:rsidRPr="003864E7" w:rsidRDefault="00B43B9E">
            <w:pPr>
              <w:spacing w:after="0" w:line="240" w:lineRule="auto"/>
              <w:jc w:val="both"/>
              <w:rPr>
                <w:rFonts w:ascii="Times New Roman" w:eastAsia="Times New Roman" w:hAnsi="Times New Roman" w:cs="Times New Roman"/>
                <w:color w:val="000000"/>
              </w:rPr>
            </w:pPr>
          </w:p>
        </w:tc>
        <w:tc>
          <w:tcPr>
            <w:tcW w:w="5812" w:type="dxa"/>
            <w:tcBorders>
              <w:top w:val="single" w:sz="6" w:space="0" w:color="000000"/>
              <w:left w:val="single" w:sz="6" w:space="0" w:color="000000"/>
              <w:bottom w:val="single" w:sz="6" w:space="0" w:color="000000"/>
              <w:right w:val="single" w:sz="6" w:space="0" w:color="000000"/>
            </w:tcBorders>
          </w:tcPr>
          <w:p w14:paraId="44A1C484"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rPr>
              <w:t>Не в</w:t>
            </w:r>
            <w:r w:rsidRPr="003864E7">
              <w:rPr>
                <w:rFonts w:ascii="Times New Roman" w:eastAsia="Times New Roman" w:hAnsi="Times New Roman" w:cs="Times New Roman"/>
                <w:color w:val="000000"/>
              </w:rPr>
              <w:t>раховано.</w:t>
            </w:r>
          </w:p>
          <w:p w14:paraId="0CFCC277"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Планом заходів проекту НПДВЕ 2030 передбачено розробку нормативно-правових актів, які будуть включати відповідні положення Директиви ЄС від 11.12.2018 2018/2001  «Про заохочення використання енергії з відновлюваних джерел».</w:t>
            </w:r>
          </w:p>
          <w:p w14:paraId="57BCFFC8"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A8722F" w:rsidRPr="003864E7" w14:paraId="498470FA" w14:textId="77777777" w:rsidTr="009C70B5">
        <w:tc>
          <w:tcPr>
            <w:tcW w:w="15310" w:type="dxa"/>
            <w:gridSpan w:val="3"/>
            <w:tcBorders>
              <w:top w:val="single" w:sz="6" w:space="0" w:color="000000"/>
              <w:left w:val="single" w:sz="6" w:space="0" w:color="000000"/>
              <w:bottom w:val="single" w:sz="6" w:space="0" w:color="000000"/>
              <w:right w:val="single" w:sz="6" w:space="0" w:color="000000"/>
            </w:tcBorders>
          </w:tcPr>
          <w:p w14:paraId="443BE9C8" w14:textId="51319C5D" w:rsidR="00A8722F" w:rsidRPr="003864E7" w:rsidRDefault="00A8722F" w:rsidP="00C645A3">
            <w:pPr>
              <w:pBdr>
                <w:top w:val="nil"/>
                <w:left w:val="nil"/>
                <w:bottom w:val="nil"/>
                <w:right w:val="nil"/>
                <w:between w:val="nil"/>
              </w:pBdr>
              <w:spacing w:after="0" w:line="240" w:lineRule="auto"/>
              <w:ind w:left="57" w:right="57" w:firstLine="558"/>
              <w:jc w:val="center"/>
              <w:rPr>
                <w:rFonts w:ascii="Times New Roman" w:eastAsia="Times New Roman" w:hAnsi="Times New Roman" w:cs="Times New Roman"/>
                <w:b/>
                <w:bCs/>
              </w:rPr>
            </w:pPr>
            <w:r w:rsidRPr="003864E7">
              <w:rPr>
                <w:rFonts w:ascii="Times New Roman" w:eastAsia="Times New Roman" w:hAnsi="Times New Roman" w:cs="Times New Roman"/>
                <w:b/>
                <w:bCs/>
              </w:rPr>
              <w:t>ГО</w:t>
            </w:r>
            <w:r w:rsidR="003864E7">
              <w:rPr>
                <w:rFonts w:ascii="Times New Roman" w:eastAsia="Times New Roman" w:hAnsi="Times New Roman" w:cs="Times New Roman"/>
                <w:b/>
                <w:bCs/>
              </w:rPr>
              <w:t xml:space="preserve"> </w:t>
            </w:r>
            <w:r w:rsidRPr="003864E7">
              <w:rPr>
                <w:rFonts w:ascii="Times New Roman" w:eastAsia="Times New Roman" w:hAnsi="Times New Roman" w:cs="Times New Roman"/>
                <w:b/>
                <w:bCs/>
              </w:rPr>
              <w:t>"Центр ресурсоефективного і чистого виробництва"</w:t>
            </w:r>
          </w:p>
        </w:tc>
      </w:tr>
      <w:tr w:rsidR="00A8722F" w:rsidRPr="003864E7" w14:paraId="641C1640"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486B37C3" w14:textId="35535C51" w:rsidR="00A8722F" w:rsidRPr="003864E7" w:rsidRDefault="00A8722F" w:rsidP="00A8722F">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У розділі «Транспорт»:</w:t>
            </w:r>
          </w:p>
          <w:p w14:paraId="484A8505" w14:textId="57305224" w:rsidR="00A8722F" w:rsidRPr="003864E7" w:rsidRDefault="00A8722F" w:rsidP="00A8722F">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 xml:space="preserve">Агенції з енергоефективності та енергозбереження разом з Міненерго України, розробити  Стимули, Програми і Закони України з використання зеленої електроенергії для розвитку комфортного, екологічного, громадського транспорту в територіальних громадах України, як це робить, наприклад, Міненергетики США. </w:t>
            </w:r>
          </w:p>
        </w:tc>
        <w:tc>
          <w:tcPr>
            <w:tcW w:w="3969" w:type="dxa"/>
            <w:tcBorders>
              <w:top w:val="single" w:sz="6" w:space="0" w:color="000000"/>
              <w:left w:val="single" w:sz="6" w:space="0" w:color="000000"/>
              <w:bottom w:val="single" w:sz="6" w:space="0" w:color="000000"/>
              <w:right w:val="single" w:sz="6" w:space="0" w:color="000000"/>
            </w:tcBorders>
          </w:tcPr>
          <w:p w14:paraId="63415FFA" w14:textId="6D450F0C" w:rsidR="00A8722F" w:rsidRPr="003864E7" w:rsidRDefault="00A8722F" w:rsidP="00A8722F">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Пропозиція до проекту Плану заходів </w:t>
            </w:r>
          </w:p>
          <w:p w14:paraId="6DDDF07F" w14:textId="77777777" w:rsidR="00A8722F" w:rsidRPr="003864E7" w:rsidRDefault="00A8722F">
            <w:pPr>
              <w:spacing w:after="0" w:line="240" w:lineRule="auto"/>
              <w:jc w:val="both"/>
              <w:rPr>
                <w:rFonts w:ascii="Times New Roman" w:eastAsia="Times New Roman" w:hAnsi="Times New Roman" w:cs="Times New Roman"/>
              </w:rPr>
            </w:pPr>
          </w:p>
        </w:tc>
        <w:tc>
          <w:tcPr>
            <w:tcW w:w="5812" w:type="dxa"/>
            <w:tcBorders>
              <w:top w:val="single" w:sz="6" w:space="0" w:color="000000"/>
              <w:left w:val="single" w:sz="6" w:space="0" w:color="000000"/>
              <w:bottom w:val="single" w:sz="6" w:space="0" w:color="000000"/>
              <w:right w:val="single" w:sz="6" w:space="0" w:color="000000"/>
            </w:tcBorders>
          </w:tcPr>
          <w:p w14:paraId="3229FC06" w14:textId="77777777"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Враховано</w:t>
            </w:r>
          </w:p>
          <w:p w14:paraId="0FB644FB" w14:textId="77777777"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пункту 18 Цілі 4 проєкту Плану заходів викладено в такій редакції:</w:t>
            </w:r>
          </w:p>
          <w:p w14:paraId="08500966" w14:textId="1A58768C"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 xml:space="preserve"> «Розроблення та подання Кабінетові Міністрів України проекту Закону України Про інфраструктуру зарядних станцій для електричних транспортних засобів</w:t>
            </w:r>
            <w:r w:rsidR="00D74D54">
              <w:rPr>
                <w:rFonts w:ascii="Times New Roman" w:eastAsia="Times New Roman" w:hAnsi="Times New Roman" w:cs="Times New Roman"/>
              </w:rPr>
              <w:t>»</w:t>
            </w:r>
          </w:p>
          <w:p w14:paraId="0E58910B" w14:textId="71A4DC63"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Також Ціль 4 проєкту Плану заходів доповнено наступними пунктами:</w:t>
            </w:r>
          </w:p>
          <w:p w14:paraId="76C103C5" w14:textId="77777777"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w:t>
            </w:r>
            <w:r w:rsidRPr="003864E7">
              <w:rPr>
                <w:rFonts w:ascii="Times New Roman" w:eastAsia="Times New Roman" w:hAnsi="Times New Roman" w:cs="Times New Roman"/>
              </w:rPr>
              <w:tab/>
              <w:t>розроблення Концепції державної політики у сфері розвитку інфраструктури зарядних станцій для електричних транспортних засобів;</w:t>
            </w:r>
          </w:p>
          <w:p w14:paraId="2122B0E6" w14:textId="77777777"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w:t>
            </w:r>
            <w:r w:rsidRPr="003864E7">
              <w:rPr>
                <w:rFonts w:ascii="Times New Roman" w:eastAsia="Times New Roman" w:hAnsi="Times New Roman" w:cs="Times New Roman"/>
              </w:rPr>
              <w:tab/>
              <w:t>розроблення плану заходів з реалізації Концепції державної політики у сфері розвитку інфраструктури зарядних станцій для електричних транспортних засобів;</w:t>
            </w:r>
          </w:p>
          <w:p w14:paraId="7D2FD84F" w14:textId="77777777"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w:t>
            </w:r>
            <w:r w:rsidRPr="003864E7">
              <w:rPr>
                <w:rFonts w:ascii="Times New Roman" w:eastAsia="Times New Roman" w:hAnsi="Times New Roman" w:cs="Times New Roman"/>
              </w:rPr>
              <w:tab/>
              <w:t>створення інтерактивної карти сприятливих місць розташування зарядних станцій для електромобілів.</w:t>
            </w:r>
          </w:p>
          <w:p w14:paraId="7660369D" w14:textId="641023A3" w:rsidR="00A8722F" w:rsidRPr="003864E7" w:rsidRDefault="00A8722F"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p>
        </w:tc>
      </w:tr>
      <w:tr w:rsidR="00A8722F" w:rsidRPr="003864E7" w14:paraId="7A12CD05"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475C57B0" w14:textId="67B586CC" w:rsidR="00A8722F" w:rsidRPr="003864E7" w:rsidRDefault="00A8722F" w:rsidP="00A8722F">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У розділі «Транспорт»:</w:t>
            </w:r>
          </w:p>
          <w:p w14:paraId="020E4EE8" w14:textId="0AF2BD7E" w:rsidR="00A8722F" w:rsidRPr="003864E7" w:rsidRDefault="00A8722F" w:rsidP="00A8722F">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Мінрегіону України, розробити Положення та винайти кошти, за рахунок проведення аукціонів з продажу землі під парковки і стоянки  транспорту. Коштами стимулювати банківські відсотки догоговорів з лізінгу на придбання територіальними громадами комфортного, екологічного, громадського електричного транспорту.</w:t>
            </w:r>
          </w:p>
        </w:tc>
        <w:tc>
          <w:tcPr>
            <w:tcW w:w="3969" w:type="dxa"/>
            <w:tcBorders>
              <w:top w:val="single" w:sz="6" w:space="0" w:color="000000"/>
              <w:left w:val="single" w:sz="6" w:space="0" w:color="000000"/>
              <w:bottom w:val="single" w:sz="6" w:space="0" w:color="000000"/>
              <w:right w:val="single" w:sz="6" w:space="0" w:color="000000"/>
            </w:tcBorders>
          </w:tcPr>
          <w:p w14:paraId="150270B9" w14:textId="77777777" w:rsidR="00A8722F" w:rsidRPr="003864E7" w:rsidRDefault="00A8722F" w:rsidP="00A8722F">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Пропозиція до проекту Плану заходів </w:t>
            </w:r>
          </w:p>
          <w:p w14:paraId="79F5CC8E" w14:textId="77777777" w:rsidR="00A8722F" w:rsidRPr="003864E7" w:rsidRDefault="00A8722F">
            <w:pPr>
              <w:spacing w:after="0" w:line="240" w:lineRule="auto"/>
              <w:jc w:val="both"/>
              <w:rPr>
                <w:rFonts w:ascii="Times New Roman" w:eastAsia="Times New Roman" w:hAnsi="Times New Roman" w:cs="Times New Roman"/>
              </w:rPr>
            </w:pPr>
          </w:p>
        </w:tc>
        <w:tc>
          <w:tcPr>
            <w:tcW w:w="5812" w:type="dxa"/>
            <w:tcBorders>
              <w:top w:val="single" w:sz="6" w:space="0" w:color="000000"/>
              <w:left w:val="single" w:sz="6" w:space="0" w:color="000000"/>
              <w:bottom w:val="single" w:sz="6" w:space="0" w:color="000000"/>
              <w:right w:val="single" w:sz="6" w:space="0" w:color="000000"/>
            </w:tcBorders>
          </w:tcPr>
          <w:p w14:paraId="159422C2" w14:textId="77777777"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Враховано</w:t>
            </w:r>
          </w:p>
          <w:p w14:paraId="6F061ED3" w14:textId="77777777"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пункту 18 Цілі 4 проєкту Плану заходів викладено в такій редакції:</w:t>
            </w:r>
          </w:p>
          <w:p w14:paraId="58D98740" w14:textId="77777777"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 xml:space="preserve"> «Розроблення та подання Кабінетові Міністрів України проекту Закону України Про інфраструктуру зарядних станцій для електричних транспортних засобів.</w:t>
            </w:r>
          </w:p>
          <w:p w14:paraId="21520611" w14:textId="77777777"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p>
          <w:p w14:paraId="5E8215DC" w14:textId="4778A61D"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Також Ціль 4 проєкту Плану заходів доповнено наступними пунктами:</w:t>
            </w:r>
          </w:p>
          <w:p w14:paraId="3F8D886A" w14:textId="77777777"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w:t>
            </w:r>
            <w:r w:rsidRPr="003864E7">
              <w:rPr>
                <w:rFonts w:ascii="Times New Roman" w:eastAsia="Times New Roman" w:hAnsi="Times New Roman" w:cs="Times New Roman"/>
              </w:rPr>
              <w:tab/>
              <w:t>розроблення Концепції державної політики у сфері розвитку інфраструктури зарядних станцій для електричних транспортних засобів;</w:t>
            </w:r>
          </w:p>
          <w:p w14:paraId="439D99ED" w14:textId="77777777"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w:t>
            </w:r>
            <w:r w:rsidRPr="003864E7">
              <w:rPr>
                <w:rFonts w:ascii="Times New Roman" w:eastAsia="Times New Roman" w:hAnsi="Times New Roman" w:cs="Times New Roman"/>
              </w:rPr>
              <w:tab/>
              <w:t>розроблення плану заходів з реалізації Концепції державної політики у сфері розвитку інфраструктури зарядних станцій для електричних транспортних засобів;</w:t>
            </w:r>
          </w:p>
          <w:p w14:paraId="3EA1328B" w14:textId="77777777" w:rsidR="00C645A3" w:rsidRPr="003864E7" w:rsidRDefault="00C645A3"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w:t>
            </w:r>
            <w:r w:rsidRPr="003864E7">
              <w:rPr>
                <w:rFonts w:ascii="Times New Roman" w:eastAsia="Times New Roman" w:hAnsi="Times New Roman" w:cs="Times New Roman"/>
              </w:rPr>
              <w:tab/>
              <w:t>створення інтерактивної карти сприятливих місць розташування зарядних станцій для електромобілів.</w:t>
            </w:r>
          </w:p>
          <w:p w14:paraId="65B55F38" w14:textId="39DCBB74" w:rsidR="00A8722F" w:rsidRPr="003864E7" w:rsidRDefault="00A8722F" w:rsidP="00C645A3">
            <w:pPr>
              <w:pBdr>
                <w:top w:val="nil"/>
                <w:left w:val="nil"/>
                <w:bottom w:val="nil"/>
                <w:right w:val="nil"/>
                <w:between w:val="nil"/>
              </w:pBdr>
              <w:spacing w:after="0" w:line="240" w:lineRule="auto"/>
              <w:ind w:right="57"/>
              <w:jc w:val="both"/>
              <w:rPr>
                <w:rFonts w:ascii="Times New Roman" w:eastAsia="Times New Roman" w:hAnsi="Times New Roman" w:cs="Times New Roman"/>
              </w:rPr>
            </w:pPr>
          </w:p>
        </w:tc>
      </w:tr>
      <w:tr w:rsidR="00A8722F" w:rsidRPr="003864E7" w14:paraId="1202DB60"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1F9D193A" w14:textId="77777777" w:rsidR="00A8722F" w:rsidRPr="003864E7" w:rsidRDefault="00A8722F" w:rsidP="00A8722F">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 xml:space="preserve">В розділі "Освіта". </w:t>
            </w:r>
          </w:p>
          <w:p w14:paraId="3E502550" w14:textId="340E31E6" w:rsidR="00A8722F" w:rsidRPr="003864E7" w:rsidRDefault="00A8722F" w:rsidP="00A8722F">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1. Ввести в програму освіти школярів та абітурієнтів  навчальних закладів України, професію "спеціаліст з альтернативних джерел енергії".</w:t>
            </w:r>
          </w:p>
        </w:tc>
        <w:tc>
          <w:tcPr>
            <w:tcW w:w="3969" w:type="dxa"/>
            <w:tcBorders>
              <w:top w:val="single" w:sz="6" w:space="0" w:color="000000"/>
              <w:left w:val="single" w:sz="6" w:space="0" w:color="000000"/>
              <w:bottom w:val="single" w:sz="6" w:space="0" w:color="000000"/>
              <w:right w:val="single" w:sz="6" w:space="0" w:color="000000"/>
            </w:tcBorders>
          </w:tcPr>
          <w:p w14:paraId="19AB1D96" w14:textId="77777777" w:rsidR="00A8722F" w:rsidRPr="003864E7" w:rsidRDefault="00A8722F" w:rsidP="00A8722F">
            <w:pPr>
              <w:spacing w:after="0" w:line="240" w:lineRule="auto"/>
              <w:ind w:right="345"/>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Пропозиція до проекту Плану заходів </w:t>
            </w:r>
          </w:p>
          <w:p w14:paraId="23B44881" w14:textId="77777777" w:rsidR="00A8722F" w:rsidRPr="003864E7" w:rsidRDefault="00A8722F">
            <w:pPr>
              <w:spacing w:after="0" w:line="240" w:lineRule="auto"/>
              <w:jc w:val="both"/>
              <w:rPr>
                <w:rFonts w:ascii="Times New Roman" w:eastAsia="Times New Roman" w:hAnsi="Times New Roman" w:cs="Times New Roman"/>
              </w:rPr>
            </w:pPr>
          </w:p>
        </w:tc>
        <w:tc>
          <w:tcPr>
            <w:tcW w:w="5812" w:type="dxa"/>
            <w:tcBorders>
              <w:top w:val="single" w:sz="6" w:space="0" w:color="000000"/>
              <w:left w:val="single" w:sz="6" w:space="0" w:color="000000"/>
              <w:bottom w:val="single" w:sz="6" w:space="0" w:color="000000"/>
              <w:right w:val="single" w:sz="6" w:space="0" w:color="000000"/>
            </w:tcBorders>
          </w:tcPr>
          <w:p w14:paraId="0253B536" w14:textId="77777777" w:rsidR="00A8722F" w:rsidRPr="003864E7" w:rsidRDefault="00A8722F" w:rsidP="00A8722F">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3864E7">
              <w:rPr>
                <w:rFonts w:ascii="Times New Roman" w:eastAsia="Times New Roman" w:hAnsi="Times New Roman" w:cs="Times New Roman"/>
              </w:rPr>
              <w:t>Враховано</w:t>
            </w:r>
          </w:p>
          <w:p w14:paraId="605B8CFE" w14:textId="77777777" w:rsidR="00C645A3" w:rsidRPr="003864E7" w:rsidRDefault="00C645A3" w:rsidP="00C645A3">
            <w:pPr>
              <w:spacing w:after="0" w:line="240" w:lineRule="auto"/>
              <w:ind w:left="25" w:hanging="25"/>
              <w:jc w:val="both"/>
              <w:rPr>
                <w:rFonts w:ascii="Times New Roman" w:eastAsia="Times New Roman" w:hAnsi="Times New Roman" w:cs="Times New Roman"/>
                <w:bCs/>
              </w:rPr>
            </w:pPr>
            <w:r w:rsidRPr="003864E7">
              <w:rPr>
                <w:rFonts w:ascii="Times New Roman" w:eastAsia="Times New Roman" w:hAnsi="Times New Roman" w:cs="Times New Roman"/>
                <w:bCs/>
              </w:rPr>
              <w:t>В проекті Плану заходів передбачено пункт «Модернізація системи підготовки кадрів для енергетичного сектору шляхом запровадження нових спеціальностей та програм перепідготовки фахівців відповідно до потреб сфери виробництва енергоносіїв з відновлюваних джерел енергії та альтернативних видів палива» відповідальним за виконання є Міністерство освіти і науки.</w:t>
            </w:r>
          </w:p>
          <w:p w14:paraId="564E398E" w14:textId="68A0F7EA" w:rsidR="00C645A3" w:rsidRPr="003864E7" w:rsidRDefault="00C645A3" w:rsidP="00A8722F">
            <w:pPr>
              <w:pBdr>
                <w:top w:val="nil"/>
                <w:left w:val="nil"/>
                <w:bottom w:val="nil"/>
                <w:right w:val="nil"/>
                <w:between w:val="nil"/>
              </w:pBdr>
              <w:spacing w:after="0" w:line="240" w:lineRule="auto"/>
              <w:ind w:right="57"/>
              <w:jc w:val="both"/>
              <w:rPr>
                <w:rFonts w:ascii="Times New Roman" w:eastAsia="Times New Roman" w:hAnsi="Times New Roman" w:cs="Times New Roman"/>
              </w:rPr>
            </w:pPr>
          </w:p>
        </w:tc>
      </w:tr>
      <w:tr w:rsidR="00A561E2" w:rsidRPr="003864E7" w14:paraId="39E1FC46" w14:textId="77777777" w:rsidTr="00A06C20">
        <w:tc>
          <w:tcPr>
            <w:tcW w:w="15310" w:type="dxa"/>
            <w:gridSpan w:val="3"/>
            <w:tcBorders>
              <w:top w:val="single" w:sz="6" w:space="0" w:color="000000"/>
              <w:left w:val="single" w:sz="6" w:space="0" w:color="000000"/>
              <w:bottom w:val="single" w:sz="6" w:space="0" w:color="000000"/>
              <w:right w:val="single" w:sz="6" w:space="0" w:color="000000"/>
            </w:tcBorders>
          </w:tcPr>
          <w:p w14:paraId="3A4D1316" w14:textId="1CEDDB56" w:rsidR="00A561E2" w:rsidRPr="003864E7" w:rsidRDefault="00A561E2" w:rsidP="00A561E2">
            <w:pPr>
              <w:pBdr>
                <w:top w:val="nil"/>
                <w:left w:val="nil"/>
                <w:bottom w:val="nil"/>
                <w:right w:val="nil"/>
                <w:between w:val="nil"/>
              </w:pBdr>
              <w:spacing w:after="0" w:line="240" w:lineRule="auto"/>
              <w:ind w:left="57" w:right="57" w:firstLine="558"/>
              <w:jc w:val="center"/>
              <w:rPr>
                <w:rFonts w:ascii="Times New Roman" w:eastAsia="Times New Roman" w:hAnsi="Times New Roman" w:cs="Times New Roman"/>
                <w:b/>
                <w:bCs/>
              </w:rPr>
            </w:pPr>
            <w:r w:rsidRPr="003864E7">
              <w:rPr>
                <w:rFonts w:ascii="Times New Roman" w:eastAsia="Times New Roman" w:hAnsi="Times New Roman" w:cs="Times New Roman"/>
                <w:b/>
                <w:bCs/>
              </w:rPr>
              <w:t>гр. Педан Є.</w:t>
            </w:r>
          </w:p>
        </w:tc>
      </w:tr>
      <w:tr w:rsidR="00A8722F" w:rsidRPr="003864E7" w14:paraId="19508F0C"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29465C22" w14:textId="77777777" w:rsidR="00A561E2" w:rsidRPr="003864E7" w:rsidRDefault="00A561E2" w:rsidP="00A561E2">
            <w:pPr>
              <w:spacing w:after="0" w:line="240" w:lineRule="auto"/>
              <w:jc w:val="both"/>
              <w:rPr>
                <w:rFonts w:ascii="Times New Roman" w:hAnsi="Times New Roman" w:cs="Times New Roman"/>
              </w:rPr>
            </w:pPr>
            <w:r w:rsidRPr="003864E7">
              <w:rPr>
                <w:rFonts w:ascii="Times New Roman" w:hAnsi="Times New Roman" w:cs="Times New Roman"/>
              </w:rPr>
              <w:t>Пропозиції що до змін у законодавстві для розвитку енергетики та новітніх технологій в Україні.</w:t>
            </w:r>
          </w:p>
          <w:p w14:paraId="2D97D5A2" w14:textId="1FC02489" w:rsidR="00A8722F"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Розробити законопроект щодо стимулювання виробництва в Україні систем накопичення (energy storage) для добового балансування енергії в системі, передусім на основі акумуляторних батарей, а також електролізерів та водневих паливних комірок (fuel cell) для довгострокового балансування енергії. Прийнятий у першому читанні законопроект №5436-д про накопичувачі енергії, на жаль, не містять стимулів для виробництва в Україні.</w:t>
            </w:r>
          </w:p>
        </w:tc>
        <w:tc>
          <w:tcPr>
            <w:tcW w:w="3969" w:type="dxa"/>
            <w:tcBorders>
              <w:top w:val="single" w:sz="6" w:space="0" w:color="000000"/>
              <w:left w:val="single" w:sz="6" w:space="0" w:color="000000"/>
              <w:bottom w:val="single" w:sz="6" w:space="0" w:color="000000"/>
              <w:right w:val="single" w:sz="6" w:space="0" w:color="000000"/>
            </w:tcBorders>
          </w:tcPr>
          <w:p w14:paraId="34EB7747" w14:textId="24458B16" w:rsidR="00A8722F" w:rsidRPr="003864E7" w:rsidRDefault="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Пропозиції до проекту Плану заходів  </w:t>
            </w:r>
          </w:p>
        </w:tc>
        <w:tc>
          <w:tcPr>
            <w:tcW w:w="5812" w:type="dxa"/>
            <w:tcBorders>
              <w:top w:val="single" w:sz="6" w:space="0" w:color="000000"/>
              <w:left w:val="single" w:sz="6" w:space="0" w:color="000000"/>
              <w:bottom w:val="single" w:sz="6" w:space="0" w:color="000000"/>
              <w:right w:val="single" w:sz="6" w:space="0" w:color="000000"/>
            </w:tcBorders>
          </w:tcPr>
          <w:p w14:paraId="19FDBF48" w14:textId="55B2EE4B" w:rsidR="005C0E7F" w:rsidRDefault="005C0E7F" w:rsidP="005C0E7F">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Pr>
                <w:rFonts w:ascii="Times New Roman" w:eastAsia="Times New Roman" w:hAnsi="Times New Roman" w:cs="Times New Roman"/>
              </w:rPr>
              <w:t>Не враховано.</w:t>
            </w:r>
          </w:p>
          <w:p w14:paraId="24617C88" w14:textId="38C934DC" w:rsidR="00A8722F" w:rsidRDefault="005C0E7F" w:rsidP="005C0E7F">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5C0E7F">
              <w:rPr>
                <w:rFonts w:ascii="Times New Roman" w:eastAsia="Times New Roman" w:hAnsi="Times New Roman" w:cs="Times New Roman"/>
              </w:rPr>
              <w:t>Верховною Радою України 15 лютого 2022 року було прийнято Закон України № 2046-IX «Про внесення змін до деяких законів України щодо розвитку установок зберігання енергії» (далі – Закон), яким передбачається врегулювання правових, економічних та організаційних засад функціонування установок зберігання енергії в ринку електричної енергії.</w:t>
            </w:r>
          </w:p>
          <w:p w14:paraId="38C0B5BD" w14:textId="77777777" w:rsidR="005C0E7F" w:rsidRDefault="005C0E7F" w:rsidP="005C0E7F">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p>
          <w:p w14:paraId="6C30108C" w14:textId="4D17E152" w:rsidR="005C0E7F" w:rsidRDefault="005C0E7F" w:rsidP="005C0E7F">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bCs/>
              </w:rPr>
              <w:t>В проекті Плану заходів</w:t>
            </w:r>
            <w:r>
              <w:rPr>
                <w:rFonts w:ascii="Times New Roman" w:eastAsia="Times New Roman" w:hAnsi="Times New Roman" w:cs="Times New Roman"/>
                <w:bCs/>
              </w:rPr>
              <w:t xml:space="preserve"> вже</w:t>
            </w:r>
            <w:r w:rsidRPr="003864E7">
              <w:rPr>
                <w:rFonts w:ascii="Times New Roman" w:eastAsia="Times New Roman" w:hAnsi="Times New Roman" w:cs="Times New Roman"/>
                <w:bCs/>
              </w:rPr>
              <w:t xml:space="preserve"> передбачено пункт</w:t>
            </w:r>
            <w:r>
              <w:rPr>
                <w:rFonts w:ascii="Times New Roman" w:eastAsia="Times New Roman" w:hAnsi="Times New Roman" w:cs="Times New Roman"/>
                <w:bCs/>
              </w:rPr>
              <w:t xml:space="preserve"> 9:</w:t>
            </w:r>
          </w:p>
          <w:p w14:paraId="484BA6F3" w14:textId="2267AB0A" w:rsidR="005C0E7F" w:rsidRPr="003864E7" w:rsidRDefault="005C0E7F" w:rsidP="005C0E7F">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Pr>
                <w:rFonts w:ascii="Times New Roman" w:eastAsia="Times New Roman" w:hAnsi="Times New Roman" w:cs="Times New Roman"/>
              </w:rPr>
              <w:t>«</w:t>
            </w:r>
            <w:r w:rsidRPr="005C0E7F">
              <w:rPr>
                <w:rFonts w:ascii="Times New Roman" w:eastAsia="Times New Roman" w:hAnsi="Times New Roman" w:cs="Times New Roman"/>
              </w:rPr>
              <w:t>Проведення конкурсів на будівництво нової генеруючої потужності та на виконання заходів з управління попитом, відповідно до потреб енергосистеми</w:t>
            </w:r>
            <w:r>
              <w:rPr>
                <w:rFonts w:ascii="Times New Roman" w:eastAsia="Times New Roman" w:hAnsi="Times New Roman" w:cs="Times New Roman"/>
              </w:rPr>
              <w:t>»</w:t>
            </w:r>
          </w:p>
        </w:tc>
      </w:tr>
      <w:tr w:rsidR="00A8722F" w:rsidRPr="003864E7" w14:paraId="48E32D10"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63F0BE32" w14:textId="43C6919B" w:rsidR="00A561E2" w:rsidRPr="003864E7" w:rsidRDefault="00A561E2" w:rsidP="00A561E2">
            <w:pPr>
              <w:spacing w:after="0" w:line="240" w:lineRule="auto"/>
              <w:jc w:val="both"/>
              <w:rPr>
                <w:rFonts w:ascii="Times New Roman" w:hAnsi="Times New Roman" w:cs="Times New Roman"/>
              </w:rPr>
            </w:pPr>
            <w:r w:rsidRPr="003864E7">
              <w:rPr>
                <w:rFonts w:ascii="Times New Roman" w:eastAsia="Times New Roman" w:hAnsi="Times New Roman" w:cs="Times New Roman"/>
              </w:rPr>
              <w:t>Пропозиції що до змін у законодавстві для розвитку енергетики та новітніх технологій в Україні</w:t>
            </w:r>
            <w:r w:rsidRPr="003864E7">
              <w:rPr>
                <w:rFonts w:ascii="Times New Roman" w:hAnsi="Times New Roman" w:cs="Times New Roman"/>
              </w:rPr>
              <w:t>.</w:t>
            </w:r>
          </w:p>
          <w:p w14:paraId="428C7FDF" w14:textId="0E41EC8C" w:rsidR="00A8722F"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 xml:space="preserve">Внесення змін у закон № 1660-IX «Про внесення змін до розділу XX "Перехідні положення" Податкового кодексу України щодо стимулювання розвитку галузі екологічного транспорту в Україні" з метою </w:t>
            </w:r>
            <w:r w:rsidRPr="003864E7">
              <w:rPr>
                <w:rFonts w:ascii="Times New Roman" w:eastAsia="Times New Roman" w:hAnsi="Times New Roman" w:cs="Times New Roman"/>
              </w:rPr>
              <w:lastRenderedPageBreak/>
              <w:t xml:space="preserve">стимулювання подальшої локалізації виробництва, крім електродвигунів, ще й інверторів, які складають єдине функціональне ціле – регульований електропривод. </w:t>
            </w:r>
          </w:p>
        </w:tc>
        <w:tc>
          <w:tcPr>
            <w:tcW w:w="3969" w:type="dxa"/>
            <w:tcBorders>
              <w:top w:val="single" w:sz="6" w:space="0" w:color="000000"/>
              <w:left w:val="single" w:sz="6" w:space="0" w:color="000000"/>
              <w:bottom w:val="single" w:sz="6" w:space="0" w:color="000000"/>
              <w:right w:val="single" w:sz="6" w:space="0" w:color="000000"/>
            </w:tcBorders>
          </w:tcPr>
          <w:p w14:paraId="231276EA" w14:textId="0DD698A2" w:rsidR="00A8722F" w:rsidRPr="003864E7" w:rsidRDefault="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Пропозиції до проекту Плану заходів  </w:t>
            </w:r>
          </w:p>
        </w:tc>
        <w:tc>
          <w:tcPr>
            <w:tcW w:w="5812" w:type="dxa"/>
            <w:tcBorders>
              <w:top w:val="single" w:sz="6" w:space="0" w:color="000000"/>
              <w:left w:val="single" w:sz="6" w:space="0" w:color="000000"/>
              <w:bottom w:val="single" w:sz="6" w:space="0" w:color="000000"/>
              <w:right w:val="single" w:sz="6" w:space="0" w:color="000000"/>
            </w:tcBorders>
          </w:tcPr>
          <w:p w14:paraId="18E58919" w14:textId="39A727FE" w:rsidR="005C0E7F" w:rsidRDefault="005C0E7F" w:rsidP="005C0E7F">
            <w:pPr>
              <w:pBdr>
                <w:top w:val="nil"/>
                <w:left w:val="nil"/>
                <w:bottom w:val="nil"/>
                <w:right w:val="nil"/>
                <w:between w:val="nil"/>
              </w:pBdr>
              <w:spacing w:after="0" w:line="240" w:lineRule="auto"/>
              <w:ind w:left="57" w:right="57"/>
              <w:jc w:val="both"/>
              <w:rPr>
                <w:rFonts w:ascii="Times New Roman" w:eastAsia="Times New Roman" w:hAnsi="Times New Roman" w:cs="Times New Roman"/>
                <w:bCs/>
              </w:rPr>
            </w:pPr>
            <w:r>
              <w:rPr>
                <w:rFonts w:ascii="Times New Roman" w:eastAsia="Times New Roman" w:hAnsi="Times New Roman" w:cs="Times New Roman"/>
                <w:bCs/>
              </w:rPr>
              <w:t>Не враховано.</w:t>
            </w:r>
          </w:p>
          <w:p w14:paraId="3F1E0AF8" w14:textId="7E50E30C" w:rsidR="005C0E7F" w:rsidRDefault="005C0E7F" w:rsidP="005C0E7F">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bCs/>
              </w:rPr>
              <w:t xml:space="preserve">В проекті Плану заходів </w:t>
            </w:r>
            <w:r>
              <w:rPr>
                <w:rFonts w:ascii="Times New Roman" w:eastAsia="Times New Roman" w:hAnsi="Times New Roman" w:cs="Times New Roman"/>
                <w:bCs/>
              </w:rPr>
              <w:t xml:space="preserve">вже </w:t>
            </w:r>
            <w:r w:rsidRPr="003864E7">
              <w:rPr>
                <w:rFonts w:ascii="Times New Roman" w:eastAsia="Times New Roman" w:hAnsi="Times New Roman" w:cs="Times New Roman"/>
                <w:bCs/>
              </w:rPr>
              <w:t>передбачено пункт</w:t>
            </w:r>
            <w:r>
              <w:rPr>
                <w:rFonts w:ascii="Times New Roman" w:eastAsia="Times New Roman" w:hAnsi="Times New Roman" w:cs="Times New Roman"/>
                <w:bCs/>
              </w:rPr>
              <w:t xml:space="preserve"> 21:</w:t>
            </w:r>
          </w:p>
          <w:p w14:paraId="1668ADE0" w14:textId="18356DCD" w:rsidR="00A8722F" w:rsidRPr="003864E7" w:rsidRDefault="005C0E7F" w:rsidP="005C0E7F">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Pr>
                <w:rFonts w:ascii="Times New Roman" w:eastAsia="Times New Roman" w:hAnsi="Times New Roman" w:cs="Times New Roman"/>
              </w:rPr>
              <w:t>«</w:t>
            </w:r>
            <w:r w:rsidRPr="005C0E7F">
              <w:rPr>
                <w:rFonts w:ascii="Times New Roman" w:eastAsia="Times New Roman" w:hAnsi="Times New Roman" w:cs="Times New Roman"/>
              </w:rPr>
              <w:t>Створення сприятливих умов для розвитку виробничих потужностей із виготовлення обладнання українського виробництва, що використовує відновлювані джерела, установок зберігання енергії, балансуючих потужностей</w:t>
            </w:r>
            <w:r>
              <w:rPr>
                <w:rFonts w:ascii="Times New Roman" w:eastAsia="Times New Roman" w:hAnsi="Times New Roman" w:cs="Times New Roman"/>
              </w:rPr>
              <w:t>»</w:t>
            </w:r>
          </w:p>
        </w:tc>
      </w:tr>
      <w:tr w:rsidR="00A8722F" w:rsidRPr="003864E7" w14:paraId="5C8D2B94"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74A5C889" w14:textId="77777777" w:rsidR="00A8722F"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Розробка цільових комплексних програм для розвитку ключових компетенцій та технологій для трансформації енергетичної сфери та пов’язаних з нею сфер України на новій технологічній основі в рамках концепції «Зеленого енергетичного переходу» та ініціативи Renewable 100% (перехід на 100% відновлювану енергетику).</w:t>
            </w:r>
          </w:p>
          <w:p w14:paraId="46F2FB7A" w14:textId="77777777" w:rsidR="00A561E2" w:rsidRPr="003864E7" w:rsidRDefault="00A561E2" w:rsidP="00A561E2">
            <w:pPr>
              <w:spacing w:after="0" w:line="240" w:lineRule="auto"/>
              <w:jc w:val="both"/>
              <w:rPr>
                <w:rFonts w:ascii="Times New Roman" w:hAnsi="Times New Roman" w:cs="Times New Roman"/>
              </w:rPr>
            </w:pPr>
            <w:r w:rsidRPr="003864E7">
              <w:rPr>
                <w:rFonts w:ascii="Times New Roman" w:hAnsi="Times New Roman" w:cs="Times New Roman"/>
              </w:rPr>
              <w:t>До розробки програм пропонується залучати не тільки профільні міністерства та комітети Верховної Ради України, але й провідні наукові організації, виробників, відповідні об’єднання альтернативної енергетики (Українська асоціація відновлюваної енергетики, Українська вітроенергетична асоціація, Асоціація сонячної енергетики України, Українська воднева рада, Біоенергетична асоціація України), фінансові організації</w:t>
            </w:r>
          </w:p>
          <w:p w14:paraId="117A1ED5" w14:textId="77777777" w:rsidR="00A561E2" w:rsidRPr="003864E7" w:rsidRDefault="00A561E2" w:rsidP="00A561E2">
            <w:pPr>
              <w:spacing w:after="0" w:line="240" w:lineRule="auto"/>
              <w:jc w:val="both"/>
              <w:rPr>
                <w:rFonts w:ascii="Times New Roman" w:hAnsi="Times New Roman" w:cs="Times New Roman"/>
              </w:rPr>
            </w:pPr>
            <w:r w:rsidRPr="003864E7">
              <w:rPr>
                <w:rFonts w:ascii="Times New Roman" w:hAnsi="Times New Roman" w:cs="Times New Roman"/>
              </w:rPr>
              <w:t>Програма може здійснюватися на основі державно-приватного партнерства, як з залученням держаних коштів, коштів з енергоринку за рахунок частки від зниження вартості альтернативної енергії, приватних інвестицій, кредитів від фінансових організацій, у тому числі міжнародних під малі відсотки.</w:t>
            </w:r>
          </w:p>
          <w:p w14:paraId="4E448B9D" w14:textId="6D59C44D" w:rsidR="00A561E2"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hAnsi="Times New Roman" w:cs="Times New Roman"/>
              </w:rPr>
              <w:t>Збільшення бюджетних місць у ВНЗ по спеціальностям: промислова електроніка, електричні машини, технічна електрохімія, фізичне матеріалознавство для електроніки та геліоенергетики, турбінобудування. Створення на базі ВНЗ технопарків та дослідницьких центрів. Сприяння розвитку стартапів у сфері відновлюваної енергетики. Створення ефективних ланцюгів: фундаментальні та прикладні дослідження у наукових центрах та ВНЗ - розробка та виготовлення продукції для виробництва ВЕ впровадження на об’єктах, що входять у сферу діяльності об’єднань альтернативної енергетики.</w:t>
            </w:r>
          </w:p>
        </w:tc>
        <w:tc>
          <w:tcPr>
            <w:tcW w:w="3969" w:type="dxa"/>
            <w:tcBorders>
              <w:top w:val="single" w:sz="6" w:space="0" w:color="000000"/>
              <w:left w:val="single" w:sz="6" w:space="0" w:color="000000"/>
              <w:bottom w:val="single" w:sz="6" w:space="0" w:color="000000"/>
              <w:right w:val="single" w:sz="6" w:space="0" w:color="000000"/>
            </w:tcBorders>
          </w:tcPr>
          <w:p w14:paraId="36ACE6D8" w14:textId="7CAA2B0E" w:rsidR="00A8722F" w:rsidRPr="003864E7" w:rsidRDefault="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Пропозиції до проекту Плану заходів  </w:t>
            </w:r>
          </w:p>
        </w:tc>
        <w:tc>
          <w:tcPr>
            <w:tcW w:w="5812" w:type="dxa"/>
            <w:tcBorders>
              <w:top w:val="single" w:sz="6" w:space="0" w:color="000000"/>
              <w:left w:val="single" w:sz="6" w:space="0" w:color="000000"/>
              <w:bottom w:val="single" w:sz="6" w:space="0" w:color="000000"/>
              <w:right w:val="single" w:sz="6" w:space="0" w:color="000000"/>
            </w:tcBorders>
          </w:tcPr>
          <w:p w14:paraId="5BDCDBD4" w14:textId="5CCD8F7F" w:rsidR="006E493C" w:rsidRDefault="006E493C" w:rsidP="006E493C">
            <w:pPr>
              <w:pBdr>
                <w:top w:val="nil"/>
                <w:left w:val="nil"/>
                <w:bottom w:val="nil"/>
                <w:right w:val="nil"/>
                <w:between w:val="nil"/>
              </w:pBd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Не враховано</w:t>
            </w:r>
          </w:p>
          <w:p w14:paraId="704F8E18" w14:textId="79DED4F1" w:rsidR="006E493C" w:rsidRPr="006E493C" w:rsidRDefault="006E493C" w:rsidP="006E493C">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6E493C">
              <w:rPr>
                <w:rFonts w:ascii="Times New Roman" w:eastAsia="Times New Roman" w:hAnsi="Times New Roman" w:cs="Times New Roman"/>
              </w:rPr>
              <w:t>Для реалізації цілей</w:t>
            </w:r>
            <w:r>
              <w:rPr>
                <w:rFonts w:ascii="Times New Roman" w:eastAsia="Times New Roman" w:hAnsi="Times New Roman" w:cs="Times New Roman"/>
              </w:rPr>
              <w:t xml:space="preserve"> </w:t>
            </w:r>
            <w:r w:rsidRPr="006E493C">
              <w:rPr>
                <w:rFonts w:ascii="Times New Roman" w:eastAsia="Times New Roman" w:hAnsi="Times New Roman" w:cs="Times New Roman"/>
              </w:rPr>
              <w:t>проект</w:t>
            </w:r>
            <w:r>
              <w:rPr>
                <w:rFonts w:ascii="Times New Roman" w:eastAsia="Times New Roman" w:hAnsi="Times New Roman" w:cs="Times New Roman"/>
              </w:rPr>
              <w:t>у</w:t>
            </w:r>
            <w:r w:rsidRPr="006E493C">
              <w:rPr>
                <w:rFonts w:ascii="Times New Roman" w:eastAsia="Times New Roman" w:hAnsi="Times New Roman" w:cs="Times New Roman"/>
              </w:rPr>
              <w:t xml:space="preserve"> НПДВЕ 2030 передбачені заходи, які забезпечать збалансований розвиток відновлюваної електроенергетики, теплоенергетики та споживання ВДЕ транспорті, зокрема:</w:t>
            </w:r>
          </w:p>
          <w:p w14:paraId="370B2123" w14:textId="77777777" w:rsidR="006E493C" w:rsidRPr="006E493C" w:rsidRDefault="006E493C" w:rsidP="006E493C">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6E493C">
              <w:rPr>
                <w:rFonts w:ascii="Times New Roman" w:eastAsia="Times New Roman" w:hAnsi="Times New Roman" w:cs="Times New Roman"/>
              </w:rPr>
              <w:t>-</w:t>
            </w:r>
            <w:r w:rsidRPr="006E493C">
              <w:rPr>
                <w:rFonts w:ascii="Times New Roman" w:eastAsia="Times New Roman" w:hAnsi="Times New Roman" w:cs="Times New Roman"/>
              </w:rPr>
              <w:tab/>
              <w:t>удосконалення умов підтримки виробництва електричної енергії з альтернативних джерел енергії генеруючими установками споживачів, у тому числі енергетичних кооперативів та приватних домогосподарств;</w:t>
            </w:r>
          </w:p>
          <w:p w14:paraId="4102FD47" w14:textId="77777777" w:rsidR="006E493C" w:rsidRPr="006E493C" w:rsidRDefault="006E493C" w:rsidP="006E493C">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6E493C">
              <w:rPr>
                <w:rFonts w:ascii="Times New Roman" w:eastAsia="Times New Roman" w:hAnsi="Times New Roman" w:cs="Times New Roman"/>
              </w:rPr>
              <w:t>-</w:t>
            </w:r>
            <w:r w:rsidRPr="006E493C">
              <w:rPr>
                <w:rFonts w:ascii="Times New Roman" w:eastAsia="Times New Roman" w:hAnsi="Times New Roman" w:cs="Times New Roman"/>
              </w:rPr>
              <w:tab/>
              <w:t>запровадження гарантій походження енергії з відновлюваних джерел;</w:t>
            </w:r>
          </w:p>
          <w:p w14:paraId="2ABB6429" w14:textId="77777777" w:rsidR="006E493C" w:rsidRPr="006E493C" w:rsidRDefault="006E493C" w:rsidP="006E493C">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6E493C">
              <w:rPr>
                <w:rFonts w:ascii="Times New Roman" w:eastAsia="Times New Roman" w:hAnsi="Times New Roman" w:cs="Times New Roman"/>
              </w:rPr>
              <w:t>-</w:t>
            </w:r>
            <w:r w:rsidRPr="006E493C">
              <w:rPr>
                <w:rFonts w:ascii="Times New Roman" w:eastAsia="Times New Roman" w:hAnsi="Times New Roman" w:cs="Times New Roman"/>
              </w:rPr>
              <w:tab/>
              <w:t>запровадження механізмів розвитку виробництва електроенергії з відновлюваних джерел на ринкових засадах (Corporate PPA’s);</w:t>
            </w:r>
          </w:p>
          <w:p w14:paraId="71FE4ACA" w14:textId="77777777" w:rsidR="006E493C" w:rsidRPr="006E493C" w:rsidRDefault="006E493C" w:rsidP="006E493C">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6E493C">
              <w:rPr>
                <w:rFonts w:ascii="Times New Roman" w:eastAsia="Times New Roman" w:hAnsi="Times New Roman" w:cs="Times New Roman"/>
              </w:rPr>
              <w:t>-</w:t>
            </w:r>
            <w:r w:rsidRPr="006E493C">
              <w:rPr>
                <w:rFonts w:ascii="Times New Roman" w:eastAsia="Times New Roman" w:hAnsi="Times New Roman" w:cs="Times New Roman"/>
              </w:rPr>
              <w:tab/>
              <w:t>розробка законопроектів щодо розвитку морської вітроенергетики, біоенергетики, зняття бар'єрів розвитку геотермальної енергетики; збільшення використання біопалива на транспорті;</w:t>
            </w:r>
          </w:p>
          <w:p w14:paraId="438815AD" w14:textId="77777777" w:rsidR="006E493C" w:rsidRPr="006E493C" w:rsidRDefault="006E493C" w:rsidP="006E493C">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6E493C">
              <w:rPr>
                <w:rFonts w:ascii="Times New Roman" w:eastAsia="Times New Roman" w:hAnsi="Times New Roman" w:cs="Times New Roman"/>
              </w:rPr>
              <w:t>-</w:t>
            </w:r>
            <w:r w:rsidRPr="006E493C">
              <w:rPr>
                <w:rFonts w:ascii="Times New Roman" w:eastAsia="Times New Roman" w:hAnsi="Times New Roman" w:cs="Times New Roman"/>
              </w:rPr>
              <w:tab/>
              <w:t>впровадження конкуренції в системах централізованого теплопостачання;</w:t>
            </w:r>
          </w:p>
          <w:p w14:paraId="56B47612" w14:textId="77777777" w:rsidR="006E493C" w:rsidRPr="006E493C" w:rsidRDefault="006E493C" w:rsidP="006E493C">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6E493C">
              <w:rPr>
                <w:rFonts w:ascii="Times New Roman" w:eastAsia="Times New Roman" w:hAnsi="Times New Roman" w:cs="Times New Roman"/>
              </w:rPr>
              <w:t>-</w:t>
            </w:r>
            <w:r w:rsidRPr="006E493C">
              <w:rPr>
                <w:rFonts w:ascii="Times New Roman" w:eastAsia="Times New Roman" w:hAnsi="Times New Roman" w:cs="Times New Roman"/>
              </w:rPr>
              <w:tab/>
              <w:t>розвиток інфраструктури електрозарядних станцій;</w:t>
            </w:r>
          </w:p>
          <w:p w14:paraId="642283C7" w14:textId="77777777" w:rsidR="006E493C" w:rsidRPr="006E493C" w:rsidRDefault="006E493C" w:rsidP="006E493C">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6E493C">
              <w:rPr>
                <w:rFonts w:ascii="Times New Roman" w:eastAsia="Times New Roman" w:hAnsi="Times New Roman" w:cs="Times New Roman"/>
              </w:rPr>
              <w:t>-</w:t>
            </w:r>
            <w:r w:rsidRPr="006E493C">
              <w:rPr>
                <w:rFonts w:ascii="Times New Roman" w:eastAsia="Times New Roman" w:hAnsi="Times New Roman" w:cs="Times New Roman"/>
              </w:rPr>
              <w:tab/>
              <w:t>визначення засад утилізації обладнання ВДЕ після завершення терміну дії;</w:t>
            </w:r>
          </w:p>
          <w:p w14:paraId="7F04CE62" w14:textId="1B265112" w:rsidR="006E493C" w:rsidRDefault="006E493C" w:rsidP="006E493C">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6E493C">
              <w:rPr>
                <w:rFonts w:ascii="Times New Roman" w:eastAsia="Times New Roman" w:hAnsi="Times New Roman" w:cs="Times New Roman"/>
              </w:rPr>
              <w:t>-</w:t>
            </w:r>
            <w:r w:rsidRPr="006E493C">
              <w:rPr>
                <w:rFonts w:ascii="Times New Roman" w:eastAsia="Times New Roman" w:hAnsi="Times New Roman" w:cs="Times New Roman"/>
              </w:rPr>
              <w:tab/>
              <w:t>створення умов для будівництво виробничих потужностей із виготовлення обладнання для виробництва енергії з ВДЕ, систем накопичення та балансуючих потужностей.</w:t>
            </w:r>
          </w:p>
          <w:p w14:paraId="02DD4438" w14:textId="7D8ED029" w:rsidR="006E493C" w:rsidRDefault="006E493C">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p>
          <w:p w14:paraId="7208CAB4" w14:textId="3658B542" w:rsidR="006E493C" w:rsidRDefault="006E493C">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Pr>
                <w:rFonts w:ascii="Times New Roman" w:eastAsia="Times New Roman" w:hAnsi="Times New Roman" w:cs="Times New Roman"/>
              </w:rPr>
              <w:t>Крім того в проекті Плану заходів вже включено пункт 24:</w:t>
            </w:r>
          </w:p>
          <w:p w14:paraId="2220BA06" w14:textId="2956E3E3" w:rsidR="00A8722F" w:rsidRPr="003864E7" w:rsidRDefault="006E493C" w:rsidP="006E493C">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Pr>
                <w:rFonts w:ascii="Times New Roman" w:eastAsia="Times New Roman" w:hAnsi="Times New Roman" w:cs="Times New Roman"/>
              </w:rPr>
              <w:t>«</w:t>
            </w:r>
            <w:r w:rsidRPr="006E493C">
              <w:rPr>
                <w:rFonts w:ascii="Times New Roman" w:eastAsia="Times New Roman" w:hAnsi="Times New Roman" w:cs="Times New Roman"/>
              </w:rPr>
              <w:t xml:space="preserve">Модернізація системи підготовки кадрів для енергетичного сектору шляхом запровадження нових спеціальностей та програм перепідготовки фахівців відповідно до потреб сфери виробництва енергоносіїв з </w:t>
            </w:r>
            <w:r w:rsidRPr="006E493C">
              <w:rPr>
                <w:rFonts w:ascii="Times New Roman" w:eastAsia="Times New Roman" w:hAnsi="Times New Roman" w:cs="Times New Roman"/>
              </w:rPr>
              <w:lastRenderedPageBreak/>
              <w:t>відновлюваних джерел енергії та альтернативних видів палива</w:t>
            </w:r>
            <w:r>
              <w:rPr>
                <w:rFonts w:ascii="Times New Roman" w:eastAsia="Times New Roman" w:hAnsi="Times New Roman" w:cs="Times New Roman"/>
              </w:rPr>
              <w:t>»</w:t>
            </w:r>
          </w:p>
        </w:tc>
      </w:tr>
      <w:tr w:rsidR="00A561E2" w:rsidRPr="003864E7" w14:paraId="1CD3994E"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716028F2" w14:textId="48A87F2B" w:rsidR="00A561E2"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Створення індустрії накопичувачів енергії</w:t>
            </w:r>
          </w:p>
          <w:p w14:paraId="071BD243" w14:textId="45DD7B4F" w:rsidR="00A561E2"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1. На першому етапі розробка та виготовлення потужних двонаправлених перетворювачів у контейнерному виконанні, виготовлення та впровадження накопичувачів на основі акумуляторних батарей для добового балансування енергії в мережі. На цьому етапі передбачається закупка акумуляторних батарей по імпорту.</w:t>
            </w:r>
          </w:p>
          <w:p w14:paraId="515E12E7" w14:textId="694C38C9" w:rsidR="00A561E2"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2. Організація заходів зі створення процесу: добування літієвої та іншої сировини,</w:t>
            </w:r>
          </w:p>
          <w:p w14:paraId="32DA49F0" w14:textId="3E8B92AC" w:rsidR="00A561E2"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виробництво літію та інших компонентів, виробництво літій-іонних (літій-полімерних) акумуляторів. В Україні вже є пілотні проекти з розробки та виробництва елементів для накопичувачів енергії. Так, фірма «Чисті енергетичні технології», м. Івано-Франківськ розробляє та виробляє акумулятори для накопичувачів енергії.</w:t>
            </w:r>
          </w:p>
          <w:p w14:paraId="7B535BA5" w14:textId="10731453" w:rsidR="00A561E2"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3. Розширення виробництва суперконденсаторів в Україні [26].</w:t>
            </w:r>
          </w:p>
          <w:p w14:paraId="51A0493E" w14:textId="20460964" w:rsidR="00A561E2"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4. Виготовлення потужних накопичувачів енергії з літієвих батарей та суперконденсаторів українського виробництва у вигляді стойок (rack) та контейнерів.</w:t>
            </w:r>
          </w:p>
          <w:p w14:paraId="0D26C0D2" w14:textId="34F0BA35" w:rsidR="00A561E2"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5. Враховуючи стрімкий розвиток технологій накопичувачів на основі акумуляторів (на основі</w:t>
            </w:r>
          </w:p>
          <w:p w14:paraId="250B18C0" w14:textId="14D858A4" w:rsidR="00A561E2"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натрію, графенові, проточні) зі значним поліпшенням їх цінових та технічних показників, сприяння впровадження цих інновацій у виробництво.</w:t>
            </w:r>
          </w:p>
          <w:p w14:paraId="607DE401" w14:textId="35C13E57" w:rsidR="00A561E2" w:rsidRPr="003864E7" w:rsidRDefault="00A561E2" w:rsidP="00A561E2">
            <w:pPr>
              <w:spacing w:after="0" w:line="240" w:lineRule="auto"/>
              <w:jc w:val="both"/>
              <w:rPr>
                <w:rFonts w:ascii="Times New Roman" w:eastAsia="Times New Roman" w:hAnsi="Times New Roman" w:cs="Times New Roman"/>
              </w:rPr>
            </w:pPr>
          </w:p>
        </w:tc>
        <w:tc>
          <w:tcPr>
            <w:tcW w:w="3969" w:type="dxa"/>
            <w:tcBorders>
              <w:top w:val="single" w:sz="6" w:space="0" w:color="000000"/>
              <w:left w:val="single" w:sz="6" w:space="0" w:color="000000"/>
              <w:bottom w:val="single" w:sz="6" w:space="0" w:color="000000"/>
              <w:right w:val="single" w:sz="6" w:space="0" w:color="000000"/>
            </w:tcBorders>
          </w:tcPr>
          <w:p w14:paraId="58A0DF71" w14:textId="2742BEBC" w:rsidR="00A561E2" w:rsidRPr="003864E7" w:rsidRDefault="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Пропозиції до проекту Плану заходів  </w:t>
            </w:r>
          </w:p>
        </w:tc>
        <w:tc>
          <w:tcPr>
            <w:tcW w:w="5812" w:type="dxa"/>
            <w:tcBorders>
              <w:top w:val="single" w:sz="6" w:space="0" w:color="000000"/>
              <w:left w:val="single" w:sz="6" w:space="0" w:color="000000"/>
              <w:bottom w:val="single" w:sz="6" w:space="0" w:color="000000"/>
              <w:right w:val="single" w:sz="6" w:space="0" w:color="000000"/>
            </w:tcBorders>
          </w:tcPr>
          <w:p w14:paraId="4B868B34" w14:textId="4AE9E552" w:rsidR="00A561E2" w:rsidRDefault="006E493C" w:rsidP="006E493C">
            <w:pPr>
              <w:pBdr>
                <w:top w:val="nil"/>
                <w:left w:val="nil"/>
                <w:bottom w:val="nil"/>
                <w:right w:val="nil"/>
                <w:between w:val="nil"/>
              </w:pBd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Не враховано</w:t>
            </w:r>
          </w:p>
          <w:p w14:paraId="092E762A" w14:textId="06CCDC04" w:rsidR="006E493C" w:rsidRDefault="006E493C" w:rsidP="006E493C">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Pr>
                <w:rFonts w:ascii="Times New Roman" w:eastAsia="Times New Roman" w:hAnsi="Times New Roman" w:cs="Times New Roman"/>
                <w:bCs/>
              </w:rPr>
              <w:t>Зі стимулювання розвитку системи накопичувачів енергії в</w:t>
            </w:r>
            <w:r w:rsidRPr="003864E7">
              <w:rPr>
                <w:rFonts w:ascii="Times New Roman" w:eastAsia="Times New Roman" w:hAnsi="Times New Roman" w:cs="Times New Roman"/>
                <w:bCs/>
              </w:rPr>
              <w:t xml:space="preserve"> проекті Плану заходів</w:t>
            </w:r>
            <w:r>
              <w:rPr>
                <w:rFonts w:ascii="Times New Roman" w:eastAsia="Times New Roman" w:hAnsi="Times New Roman" w:cs="Times New Roman"/>
                <w:bCs/>
              </w:rPr>
              <w:t xml:space="preserve"> вже</w:t>
            </w:r>
            <w:r w:rsidRPr="003864E7">
              <w:rPr>
                <w:rFonts w:ascii="Times New Roman" w:eastAsia="Times New Roman" w:hAnsi="Times New Roman" w:cs="Times New Roman"/>
                <w:bCs/>
              </w:rPr>
              <w:t xml:space="preserve"> передбачено</w:t>
            </w:r>
            <w:r>
              <w:rPr>
                <w:rFonts w:ascii="Times New Roman" w:eastAsia="Times New Roman" w:hAnsi="Times New Roman" w:cs="Times New Roman"/>
                <w:bCs/>
              </w:rPr>
              <w:t xml:space="preserve"> такі заходи:</w:t>
            </w:r>
          </w:p>
          <w:p w14:paraId="54E492E5" w14:textId="77777777" w:rsidR="006E493C" w:rsidRDefault="006E493C" w:rsidP="006E493C">
            <w:pPr>
              <w:pBdr>
                <w:top w:val="nil"/>
                <w:left w:val="nil"/>
                <w:bottom w:val="nil"/>
                <w:right w:val="nil"/>
                <w:between w:val="nil"/>
              </w:pBd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 xml:space="preserve">« пункт 9. </w:t>
            </w:r>
            <w:r w:rsidRPr="005C0E7F">
              <w:rPr>
                <w:rFonts w:ascii="Times New Roman" w:eastAsia="Times New Roman" w:hAnsi="Times New Roman" w:cs="Times New Roman"/>
              </w:rPr>
              <w:t>Проведення конкурсів на будівництво нової генеруючої потужності та на виконання заходів з управління попитом, відповідно до потреб енергосистеми</w:t>
            </w:r>
            <w:r>
              <w:rPr>
                <w:rFonts w:ascii="Times New Roman" w:eastAsia="Times New Roman" w:hAnsi="Times New Roman" w:cs="Times New Roman"/>
              </w:rPr>
              <w:t>;</w:t>
            </w:r>
          </w:p>
          <w:p w14:paraId="0A0F54A2" w14:textId="4CB02B52" w:rsidR="006E493C" w:rsidRDefault="006E493C" w:rsidP="006E493C">
            <w:pPr>
              <w:pBdr>
                <w:top w:val="nil"/>
                <w:left w:val="nil"/>
                <w:bottom w:val="nil"/>
                <w:right w:val="nil"/>
                <w:between w:val="nil"/>
              </w:pBdr>
              <w:spacing w:after="0" w:line="240" w:lineRule="auto"/>
              <w:ind w:right="57"/>
              <w:jc w:val="both"/>
              <w:rPr>
                <w:rFonts w:ascii="Times New Roman" w:eastAsia="Times New Roman" w:hAnsi="Times New Roman" w:cs="Times New Roman"/>
              </w:rPr>
            </w:pPr>
            <w:r>
              <w:rPr>
                <w:rFonts w:ascii="Times New Roman" w:eastAsia="Times New Roman" w:hAnsi="Times New Roman" w:cs="Times New Roman"/>
              </w:rPr>
              <w:t xml:space="preserve">пункт 21. </w:t>
            </w:r>
            <w:r w:rsidRPr="006E493C">
              <w:rPr>
                <w:rFonts w:ascii="Times New Roman" w:eastAsia="Times New Roman" w:hAnsi="Times New Roman" w:cs="Times New Roman"/>
              </w:rPr>
              <w:t>Створення сприятливих умов для розвитку виробничих потужностей із виготовлення обладнання українського виробництва, що використовує відновлювані джерела, установок зберігання енергії, балансуючих потужностей»</w:t>
            </w:r>
          </w:p>
          <w:p w14:paraId="2EA8CD2A" w14:textId="65CED9CD" w:rsidR="006E493C" w:rsidRPr="003864E7" w:rsidRDefault="006E493C" w:rsidP="006E493C">
            <w:pPr>
              <w:pBdr>
                <w:top w:val="nil"/>
                <w:left w:val="nil"/>
                <w:bottom w:val="nil"/>
                <w:right w:val="nil"/>
                <w:between w:val="nil"/>
              </w:pBdr>
              <w:spacing w:after="0" w:line="240" w:lineRule="auto"/>
              <w:ind w:right="57"/>
              <w:jc w:val="both"/>
              <w:rPr>
                <w:rFonts w:ascii="Times New Roman" w:eastAsia="Times New Roman" w:hAnsi="Times New Roman" w:cs="Times New Roman"/>
              </w:rPr>
            </w:pPr>
          </w:p>
        </w:tc>
      </w:tr>
      <w:tr w:rsidR="00A561E2" w:rsidRPr="003864E7" w14:paraId="4D21785D"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612904E0" w14:textId="0B6DD02D" w:rsidR="00A561E2"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Створення індустрії електромобілів</w:t>
            </w:r>
          </w:p>
          <w:p w14:paraId="0119A208" w14:textId="0E78C5CD" w:rsidR="00A561E2"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1. Базуючись на створенні виробництв по виготовленню літій-іонних (літій-полімерних)акумуляторів адаптація їх до вимог електромобілів, та постачання їх виробникам електромобілів та іншого електротранспорту.</w:t>
            </w:r>
          </w:p>
          <w:p w14:paraId="28B2C2D6" w14:textId="3BC04A55" w:rsidR="00A561E2"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2. Базуючись на компетенціях у галузі електричних машин та перетворювачів організація виробництва тягових двигунів та інверторів для електромобілів та іншого електротранспорту.</w:t>
            </w:r>
          </w:p>
          <w:p w14:paraId="511314FD" w14:textId="7D605752" w:rsidR="00A561E2"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lastRenderedPageBreak/>
              <w:t>3. Розглянути можливості для IT сфери участі у розробці систем автоматичного керуванняелектромобілями (автопілот).</w:t>
            </w:r>
          </w:p>
          <w:p w14:paraId="7CACFF07" w14:textId="48F540EB" w:rsidR="00A561E2" w:rsidRPr="003864E7" w:rsidRDefault="00A561E2" w:rsidP="00A561E2">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4. Залучення інвестицій іноземних фірм у будівництво заводів з виробництва електромобілів в Україні з максимальною локалізацію.</w:t>
            </w:r>
          </w:p>
        </w:tc>
        <w:tc>
          <w:tcPr>
            <w:tcW w:w="3969" w:type="dxa"/>
            <w:tcBorders>
              <w:top w:val="single" w:sz="6" w:space="0" w:color="000000"/>
              <w:left w:val="single" w:sz="6" w:space="0" w:color="000000"/>
              <w:bottom w:val="single" w:sz="6" w:space="0" w:color="000000"/>
              <w:right w:val="single" w:sz="6" w:space="0" w:color="000000"/>
            </w:tcBorders>
          </w:tcPr>
          <w:p w14:paraId="13C0AA81" w14:textId="469BF582" w:rsidR="00A561E2" w:rsidRPr="003864E7" w:rsidRDefault="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Пропозиції до проекту Плану заходів  </w:t>
            </w:r>
          </w:p>
        </w:tc>
        <w:tc>
          <w:tcPr>
            <w:tcW w:w="5812" w:type="dxa"/>
            <w:tcBorders>
              <w:top w:val="single" w:sz="6" w:space="0" w:color="000000"/>
              <w:left w:val="single" w:sz="6" w:space="0" w:color="000000"/>
              <w:bottom w:val="single" w:sz="6" w:space="0" w:color="000000"/>
              <w:right w:val="single" w:sz="6" w:space="0" w:color="000000"/>
            </w:tcBorders>
          </w:tcPr>
          <w:p w14:paraId="10894EA3" w14:textId="77777777" w:rsidR="00D74D54" w:rsidRPr="00D74D54" w:rsidRDefault="00D74D54" w:rsidP="00D74D54">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D74D54">
              <w:rPr>
                <w:rFonts w:ascii="Times New Roman" w:eastAsia="Times New Roman" w:hAnsi="Times New Roman" w:cs="Times New Roman"/>
              </w:rPr>
              <w:t>Враховано</w:t>
            </w:r>
          </w:p>
          <w:p w14:paraId="7E9A87B2" w14:textId="77777777" w:rsidR="00D74D54" w:rsidRPr="00D74D54" w:rsidRDefault="00D74D54" w:rsidP="00D74D54">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D74D54">
              <w:rPr>
                <w:rFonts w:ascii="Times New Roman" w:eastAsia="Times New Roman" w:hAnsi="Times New Roman" w:cs="Times New Roman"/>
              </w:rPr>
              <w:t>пункту 18 Цілі 4 проєкту Плану заходів викладено в такій редакції:</w:t>
            </w:r>
          </w:p>
          <w:p w14:paraId="0954B89F" w14:textId="77777777" w:rsidR="00D74D54" w:rsidRPr="00D74D54" w:rsidRDefault="00D74D54" w:rsidP="00D74D54">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D74D54">
              <w:rPr>
                <w:rFonts w:ascii="Times New Roman" w:eastAsia="Times New Roman" w:hAnsi="Times New Roman" w:cs="Times New Roman"/>
              </w:rPr>
              <w:t xml:space="preserve"> «Розроблення та подання Кабінетові Міністрів України проекту Закону України Про інфраструктуру зарядних станцій для електричних транспортних засобів»</w:t>
            </w:r>
          </w:p>
          <w:p w14:paraId="123B501B" w14:textId="77777777" w:rsidR="00D74D54" w:rsidRPr="00D74D54" w:rsidRDefault="00D74D54" w:rsidP="00D74D54">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D74D54">
              <w:rPr>
                <w:rFonts w:ascii="Times New Roman" w:eastAsia="Times New Roman" w:hAnsi="Times New Roman" w:cs="Times New Roman"/>
              </w:rPr>
              <w:t>Також Ціль 4 проєкту Плану заходів доповнено наступними пунктами:</w:t>
            </w:r>
          </w:p>
          <w:p w14:paraId="087CD2F6" w14:textId="77777777" w:rsidR="00D74D54" w:rsidRPr="00D74D54" w:rsidRDefault="00D74D54" w:rsidP="00D74D54">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D74D54">
              <w:rPr>
                <w:rFonts w:ascii="Times New Roman" w:eastAsia="Times New Roman" w:hAnsi="Times New Roman" w:cs="Times New Roman"/>
              </w:rPr>
              <w:lastRenderedPageBreak/>
              <w:t>-</w:t>
            </w:r>
            <w:r w:rsidRPr="00D74D54">
              <w:rPr>
                <w:rFonts w:ascii="Times New Roman" w:eastAsia="Times New Roman" w:hAnsi="Times New Roman" w:cs="Times New Roman"/>
              </w:rPr>
              <w:tab/>
              <w:t>розроблення Концепції державної політики у сфері розвитку інфраструктури зарядних станцій для електричних транспортних засобів;</w:t>
            </w:r>
          </w:p>
          <w:p w14:paraId="37B5CEDB" w14:textId="77777777" w:rsidR="00D74D54" w:rsidRPr="00D74D54" w:rsidRDefault="00D74D54" w:rsidP="00D74D54">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D74D54">
              <w:rPr>
                <w:rFonts w:ascii="Times New Roman" w:eastAsia="Times New Roman" w:hAnsi="Times New Roman" w:cs="Times New Roman"/>
              </w:rPr>
              <w:t>-</w:t>
            </w:r>
            <w:r w:rsidRPr="00D74D54">
              <w:rPr>
                <w:rFonts w:ascii="Times New Roman" w:eastAsia="Times New Roman" w:hAnsi="Times New Roman" w:cs="Times New Roman"/>
              </w:rPr>
              <w:tab/>
              <w:t>розроблення плану заходів з реалізації Концепції державної політики у сфері розвитку інфраструктури зарядних станцій для електричних транспортних засобів;</w:t>
            </w:r>
          </w:p>
          <w:p w14:paraId="54CD76D5" w14:textId="77777777" w:rsidR="00D74D54" w:rsidRPr="00D74D54" w:rsidRDefault="00D74D54" w:rsidP="00D74D54">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D74D54">
              <w:rPr>
                <w:rFonts w:ascii="Times New Roman" w:eastAsia="Times New Roman" w:hAnsi="Times New Roman" w:cs="Times New Roman"/>
              </w:rPr>
              <w:t>-</w:t>
            </w:r>
            <w:r w:rsidRPr="00D74D54">
              <w:rPr>
                <w:rFonts w:ascii="Times New Roman" w:eastAsia="Times New Roman" w:hAnsi="Times New Roman" w:cs="Times New Roman"/>
              </w:rPr>
              <w:tab/>
              <w:t>створення інтерактивної карти сприятливих місць розташування зарядних станцій для електромобілів.</w:t>
            </w:r>
          </w:p>
          <w:p w14:paraId="6159CD2F" w14:textId="2776908C" w:rsidR="00A561E2" w:rsidRPr="003864E7" w:rsidRDefault="00A561E2" w:rsidP="00D74D54">
            <w:pPr>
              <w:pBdr>
                <w:top w:val="nil"/>
                <w:left w:val="nil"/>
                <w:bottom w:val="nil"/>
                <w:right w:val="nil"/>
                <w:between w:val="nil"/>
              </w:pBdr>
              <w:spacing w:after="0" w:line="240" w:lineRule="auto"/>
              <w:ind w:right="57"/>
              <w:jc w:val="both"/>
              <w:rPr>
                <w:rFonts w:ascii="Times New Roman" w:eastAsia="Times New Roman" w:hAnsi="Times New Roman" w:cs="Times New Roman"/>
              </w:rPr>
            </w:pPr>
          </w:p>
        </w:tc>
      </w:tr>
      <w:tr w:rsidR="00A561E2" w:rsidRPr="003864E7" w14:paraId="4B6419FE"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3828E2E5" w14:textId="31D97C49" w:rsidR="003864E7" w:rsidRPr="003864E7" w:rsidRDefault="003864E7" w:rsidP="003864E7">
            <w:pPr>
              <w:spacing w:after="0" w:line="240" w:lineRule="auto"/>
              <w:ind w:right="21"/>
              <w:jc w:val="both"/>
              <w:rPr>
                <w:rFonts w:ascii="Times New Roman" w:eastAsia="Times New Roman" w:hAnsi="Times New Roman" w:cs="Times New Roman"/>
              </w:rPr>
            </w:pPr>
            <w:r w:rsidRPr="003864E7">
              <w:rPr>
                <w:rFonts w:ascii="Times New Roman" w:eastAsia="Times New Roman" w:hAnsi="Times New Roman" w:cs="Times New Roman"/>
              </w:rPr>
              <w:t>Створення індустрії сонячної фотовольтаїки</w:t>
            </w:r>
          </w:p>
          <w:p w14:paraId="03BF87A6" w14:textId="143FEF8D" w:rsidR="003864E7" w:rsidRPr="003864E7" w:rsidRDefault="003864E7" w:rsidP="003864E7">
            <w:pPr>
              <w:spacing w:after="0" w:line="240" w:lineRule="auto"/>
              <w:ind w:right="21"/>
              <w:jc w:val="both"/>
              <w:rPr>
                <w:rFonts w:ascii="Times New Roman" w:eastAsia="Times New Roman" w:hAnsi="Times New Roman" w:cs="Times New Roman"/>
              </w:rPr>
            </w:pPr>
            <w:r w:rsidRPr="003864E7">
              <w:rPr>
                <w:rFonts w:ascii="Times New Roman" w:eastAsia="Times New Roman" w:hAnsi="Times New Roman" w:cs="Times New Roman"/>
              </w:rPr>
              <w:t>1. Базуючись на наявній сировинній базі, наявному промисловому потенціалі організація процесу: видобуток кварцитів, виробництво полікристалічного та монокристалічного кремнію, виробництво фотоелектричних модулів.</w:t>
            </w:r>
          </w:p>
          <w:p w14:paraId="406F68AE" w14:textId="220EE0A4" w:rsidR="003864E7" w:rsidRPr="003864E7" w:rsidRDefault="003864E7" w:rsidP="003864E7">
            <w:pPr>
              <w:spacing w:after="0" w:line="240" w:lineRule="auto"/>
              <w:ind w:right="21"/>
              <w:jc w:val="both"/>
              <w:rPr>
                <w:rFonts w:ascii="Times New Roman" w:eastAsia="Times New Roman" w:hAnsi="Times New Roman" w:cs="Times New Roman"/>
              </w:rPr>
            </w:pPr>
            <w:r w:rsidRPr="003864E7">
              <w:rPr>
                <w:rFonts w:ascii="Times New Roman" w:eastAsia="Times New Roman" w:hAnsi="Times New Roman" w:cs="Times New Roman"/>
              </w:rPr>
              <w:t>2. Враховуючи стрімких розвиток технологій фотовольтаїки зі зниженням цін та підвищенням к.к.д. модулів, сприяння впровадженню цих інновацій у виробництво. Крім стандартних сонячних модулів, розвиваються гнучкі форми фотовольтаїки, що максимально пристосовані до місць встановлення – дах з фотоелементів (solar roof), зовнішня поверхня стін з фотоелементами різного кольору, віконне скло з плівкою фотоелементів, дах та капот електромобілів з покриттям з фотоелементів.</w:t>
            </w:r>
          </w:p>
          <w:p w14:paraId="18135E08" w14:textId="2BC9845C" w:rsidR="00A561E2" w:rsidRPr="003864E7" w:rsidRDefault="003864E7" w:rsidP="003864E7">
            <w:pPr>
              <w:spacing w:after="0" w:line="240" w:lineRule="auto"/>
              <w:ind w:right="21"/>
              <w:jc w:val="both"/>
              <w:rPr>
                <w:rFonts w:ascii="Times New Roman" w:eastAsia="Times New Roman" w:hAnsi="Times New Roman" w:cs="Times New Roman"/>
              </w:rPr>
            </w:pPr>
            <w:r w:rsidRPr="003864E7">
              <w:rPr>
                <w:rFonts w:ascii="Times New Roman" w:eastAsia="Times New Roman" w:hAnsi="Times New Roman" w:cs="Times New Roman"/>
              </w:rPr>
              <w:t>3. Розробка та організація виробництва різноманітних інверторів від мікроінверторів для окремих модулів, черепиці, покриття стін та ін.  до потужних центральних інверторів</w:t>
            </w:r>
          </w:p>
        </w:tc>
        <w:tc>
          <w:tcPr>
            <w:tcW w:w="3969" w:type="dxa"/>
            <w:tcBorders>
              <w:top w:val="single" w:sz="6" w:space="0" w:color="000000"/>
              <w:left w:val="single" w:sz="6" w:space="0" w:color="000000"/>
              <w:bottom w:val="single" w:sz="6" w:space="0" w:color="000000"/>
              <w:right w:val="single" w:sz="6" w:space="0" w:color="000000"/>
            </w:tcBorders>
          </w:tcPr>
          <w:p w14:paraId="3A0B0F01" w14:textId="68265371" w:rsidR="00A561E2" w:rsidRPr="003864E7" w:rsidRDefault="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Пропозиції до проекту Плану заходів  </w:t>
            </w:r>
          </w:p>
        </w:tc>
        <w:tc>
          <w:tcPr>
            <w:tcW w:w="5812" w:type="dxa"/>
            <w:tcBorders>
              <w:top w:val="single" w:sz="6" w:space="0" w:color="000000"/>
              <w:left w:val="single" w:sz="6" w:space="0" w:color="000000"/>
              <w:bottom w:val="single" w:sz="6" w:space="0" w:color="000000"/>
              <w:right w:val="single" w:sz="6" w:space="0" w:color="000000"/>
            </w:tcBorders>
          </w:tcPr>
          <w:p w14:paraId="6E6BA426" w14:textId="77777777" w:rsidR="00D74D54" w:rsidRPr="00D74D54" w:rsidRDefault="00D74D54" w:rsidP="00D74D54">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D74D54">
              <w:rPr>
                <w:rFonts w:ascii="Times New Roman" w:eastAsia="Times New Roman" w:hAnsi="Times New Roman" w:cs="Times New Roman"/>
              </w:rPr>
              <w:t>Не враховано.</w:t>
            </w:r>
          </w:p>
          <w:p w14:paraId="32852F3B" w14:textId="77777777" w:rsidR="00D74D54" w:rsidRPr="00D74D54" w:rsidRDefault="00D74D54" w:rsidP="00D74D54">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D74D54">
              <w:rPr>
                <w:rFonts w:ascii="Times New Roman" w:eastAsia="Times New Roman" w:hAnsi="Times New Roman" w:cs="Times New Roman"/>
              </w:rPr>
              <w:t>В проекті Плану заходів вже передбачено пункт 21:</w:t>
            </w:r>
          </w:p>
          <w:p w14:paraId="554B78BF" w14:textId="3A71B3CA" w:rsidR="00A561E2" w:rsidRPr="003864E7" w:rsidRDefault="00D74D54" w:rsidP="00D74D54">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D74D54">
              <w:rPr>
                <w:rFonts w:ascii="Times New Roman" w:eastAsia="Times New Roman" w:hAnsi="Times New Roman" w:cs="Times New Roman"/>
              </w:rPr>
              <w:t>«Створення сприятливих умов для розвитку виробничих потужностей із виготовлення обладнання українського виробництва, що використовує відновлювані джерела, установок зберігання енергії, балансуючих потужностей»</w:t>
            </w:r>
          </w:p>
        </w:tc>
      </w:tr>
      <w:tr w:rsidR="00A561E2" w:rsidRPr="003864E7" w14:paraId="2BB72339"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064A42E0" w14:textId="157E3EC3" w:rsidR="003864E7" w:rsidRPr="003864E7" w:rsidRDefault="003864E7" w:rsidP="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Розвиток індустрії вітроенергетики</w:t>
            </w:r>
          </w:p>
          <w:p w14:paraId="58729602" w14:textId="246B4D4E" w:rsidR="003864E7" w:rsidRPr="003864E7" w:rsidRDefault="003864E7" w:rsidP="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1. Локалізація виробництва лопатей на території України. Залучення наукових організацій України до розробки профілів лопатей.</w:t>
            </w:r>
          </w:p>
          <w:p w14:paraId="569C67D9" w14:textId="59A4DF31" w:rsidR="003864E7" w:rsidRPr="003864E7" w:rsidRDefault="003864E7" w:rsidP="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2. Розробка та організація виробництва генераторів для вітрових турбін на основі існуючої промислової бази.</w:t>
            </w:r>
          </w:p>
          <w:p w14:paraId="09AF8EAD" w14:textId="6DDDDDED" w:rsidR="003864E7" w:rsidRPr="003864E7" w:rsidRDefault="003864E7" w:rsidP="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3. Розробка та організація виробництва потужних перетворювачів для вітрових турбін українськими підприємствами.</w:t>
            </w:r>
          </w:p>
          <w:p w14:paraId="5A46009C" w14:textId="2D5619F1" w:rsidR="00A561E2" w:rsidRPr="003864E7" w:rsidRDefault="003864E7" w:rsidP="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lastRenderedPageBreak/>
              <w:t>4. Поліпшення технічних характеристик силових трансформаторів для вітрових турбін, що виробляються українськими підприємствами</w:t>
            </w:r>
          </w:p>
        </w:tc>
        <w:tc>
          <w:tcPr>
            <w:tcW w:w="3969" w:type="dxa"/>
            <w:tcBorders>
              <w:top w:val="single" w:sz="6" w:space="0" w:color="000000"/>
              <w:left w:val="single" w:sz="6" w:space="0" w:color="000000"/>
              <w:bottom w:val="single" w:sz="6" w:space="0" w:color="000000"/>
              <w:right w:val="single" w:sz="6" w:space="0" w:color="000000"/>
            </w:tcBorders>
          </w:tcPr>
          <w:p w14:paraId="4A924A9F" w14:textId="215C0060" w:rsidR="00A561E2" w:rsidRPr="003864E7" w:rsidRDefault="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Пропозиції до проекту Плану заходів  </w:t>
            </w:r>
          </w:p>
        </w:tc>
        <w:tc>
          <w:tcPr>
            <w:tcW w:w="5812" w:type="dxa"/>
            <w:tcBorders>
              <w:top w:val="single" w:sz="6" w:space="0" w:color="000000"/>
              <w:left w:val="single" w:sz="6" w:space="0" w:color="000000"/>
              <w:bottom w:val="single" w:sz="6" w:space="0" w:color="000000"/>
              <w:right w:val="single" w:sz="6" w:space="0" w:color="000000"/>
            </w:tcBorders>
          </w:tcPr>
          <w:p w14:paraId="5C1FD8E8" w14:textId="77777777" w:rsidR="00D74D54" w:rsidRPr="00D74D54" w:rsidRDefault="00D74D54" w:rsidP="00D74D54">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D74D54">
              <w:rPr>
                <w:rFonts w:ascii="Times New Roman" w:eastAsia="Times New Roman" w:hAnsi="Times New Roman" w:cs="Times New Roman"/>
              </w:rPr>
              <w:t>Не враховано.</w:t>
            </w:r>
          </w:p>
          <w:p w14:paraId="4CD12C26" w14:textId="77777777" w:rsidR="00D74D54" w:rsidRPr="00D74D54" w:rsidRDefault="00D74D54" w:rsidP="00D74D54">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D74D54">
              <w:rPr>
                <w:rFonts w:ascii="Times New Roman" w:eastAsia="Times New Roman" w:hAnsi="Times New Roman" w:cs="Times New Roman"/>
              </w:rPr>
              <w:t>В проекті Плану заходів вже передбачено пункт 21:</w:t>
            </w:r>
          </w:p>
          <w:p w14:paraId="69458974" w14:textId="0F978EEA" w:rsidR="00A561E2" w:rsidRPr="003864E7" w:rsidRDefault="00D74D54" w:rsidP="00D74D54">
            <w:pPr>
              <w:pBdr>
                <w:top w:val="nil"/>
                <w:left w:val="nil"/>
                <w:bottom w:val="nil"/>
                <w:right w:val="nil"/>
                <w:between w:val="nil"/>
              </w:pBdr>
              <w:spacing w:after="0" w:line="240" w:lineRule="auto"/>
              <w:ind w:left="57" w:right="57"/>
              <w:jc w:val="both"/>
              <w:rPr>
                <w:rFonts w:ascii="Times New Roman" w:eastAsia="Times New Roman" w:hAnsi="Times New Roman" w:cs="Times New Roman"/>
              </w:rPr>
            </w:pPr>
            <w:r w:rsidRPr="00D74D54">
              <w:rPr>
                <w:rFonts w:ascii="Times New Roman" w:eastAsia="Times New Roman" w:hAnsi="Times New Roman" w:cs="Times New Roman"/>
              </w:rPr>
              <w:t>«Створення сприятливих умов для розвитку виробничих потужностей із виготовлення обладнання українського виробництва, що використовує відновлювані джерела, установок зберігання енергії, балансуючих потужностей»</w:t>
            </w:r>
          </w:p>
        </w:tc>
      </w:tr>
      <w:tr w:rsidR="003864E7" w:rsidRPr="003864E7" w14:paraId="157E805B" w14:textId="77777777" w:rsidTr="00943A0E">
        <w:tc>
          <w:tcPr>
            <w:tcW w:w="5529" w:type="dxa"/>
            <w:tcBorders>
              <w:top w:val="single" w:sz="6" w:space="0" w:color="000000"/>
              <w:left w:val="single" w:sz="6" w:space="0" w:color="000000"/>
              <w:bottom w:val="single" w:sz="6" w:space="0" w:color="000000"/>
              <w:right w:val="single" w:sz="6" w:space="0" w:color="000000"/>
            </w:tcBorders>
          </w:tcPr>
          <w:p w14:paraId="7CCE0DCB" w14:textId="77777777" w:rsidR="003864E7" w:rsidRPr="003864E7" w:rsidRDefault="003864E7" w:rsidP="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Створення індустрії водневої енергетики</w:t>
            </w:r>
          </w:p>
          <w:p w14:paraId="3C55510F" w14:textId="77777777" w:rsidR="003864E7" w:rsidRPr="003864E7" w:rsidRDefault="003864E7" w:rsidP="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1. Розробка та організація виробництва електролізерів для виробки водню, та водневих паливних комірок (hydrogen fuel cell) для вироблення електроенергії з водню.</w:t>
            </w:r>
          </w:p>
          <w:p w14:paraId="6BEA29A5" w14:textId="5A222E54" w:rsidR="003864E7" w:rsidRPr="003864E7" w:rsidRDefault="003864E7" w:rsidP="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2. Організація виробництва потужних випрямлячів (перетворювачів) для живлення постійнім струмом електролізерів, а також розробка та виробництво інверторів для роботи з паливними комірками</w:t>
            </w:r>
          </w:p>
          <w:p w14:paraId="114C83DF" w14:textId="71671FBA" w:rsidR="003864E7" w:rsidRPr="003864E7" w:rsidRDefault="003864E7" w:rsidP="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3. Розробка та виготовлення пікових блоків електростанцій на основі водневих паливних</w:t>
            </w:r>
          </w:p>
          <w:p w14:paraId="3F6BCF43" w14:textId="77777777" w:rsidR="003864E7" w:rsidRPr="003864E7" w:rsidRDefault="003864E7" w:rsidP="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елементів та інверторів.</w:t>
            </w:r>
          </w:p>
          <w:p w14:paraId="4C35EC5C" w14:textId="42284E3B" w:rsidR="003864E7" w:rsidRPr="003864E7" w:rsidRDefault="003864E7" w:rsidP="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4. Адаптація водневих паливних комірок для потреб автомобільного, залізничного та водного транспорту</w:t>
            </w:r>
          </w:p>
        </w:tc>
        <w:tc>
          <w:tcPr>
            <w:tcW w:w="3969" w:type="dxa"/>
            <w:tcBorders>
              <w:top w:val="single" w:sz="6" w:space="0" w:color="000000"/>
              <w:left w:val="single" w:sz="6" w:space="0" w:color="000000"/>
              <w:bottom w:val="single" w:sz="6" w:space="0" w:color="000000"/>
              <w:right w:val="single" w:sz="6" w:space="0" w:color="000000"/>
            </w:tcBorders>
          </w:tcPr>
          <w:p w14:paraId="4BB95EA9" w14:textId="6187330C" w:rsidR="003864E7" w:rsidRPr="003864E7" w:rsidRDefault="003864E7">
            <w:pPr>
              <w:spacing w:after="0" w:line="240" w:lineRule="auto"/>
              <w:jc w:val="both"/>
              <w:rPr>
                <w:rFonts w:ascii="Times New Roman" w:eastAsia="Times New Roman" w:hAnsi="Times New Roman" w:cs="Times New Roman"/>
              </w:rPr>
            </w:pPr>
            <w:r w:rsidRPr="003864E7">
              <w:rPr>
                <w:rFonts w:ascii="Times New Roman" w:eastAsia="Times New Roman" w:hAnsi="Times New Roman" w:cs="Times New Roman"/>
              </w:rPr>
              <w:t xml:space="preserve">Пропозиції до проекту Плану заходів  </w:t>
            </w:r>
          </w:p>
        </w:tc>
        <w:tc>
          <w:tcPr>
            <w:tcW w:w="5812" w:type="dxa"/>
            <w:tcBorders>
              <w:top w:val="single" w:sz="6" w:space="0" w:color="000000"/>
              <w:left w:val="single" w:sz="6" w:space="0" w:color="000000"/>
              <w:bottom w:val="single" w:sz="6" w:space="0" w:color="000000"/>
              <w:right w:val="single" w:sz="6" w:space="0" w:color="000000"/>
            </w:tcBorders>
          </w:tcPr>
          <w:p w14:paraId="1B881D88" w14:textId="77777777" w:rsidR="00D74D54" w:rsidRPr="00D74D54" w:rsidRDefault="00D74D54" w:rsidP="00D74D54">
            <w:pPr>
              <w:pBdr>
                <w:top w:val="nil"/>
                <w:left w:val="nil"/>
                <w:bottom w:val="nil"/>
                <w:right w:val="nil"/>
                <w:between w:val="nil"/>
              </w:pBdr>
              <w:spacing w:after="0" w:line="240" w:lineRule="auto"/>
              <w:ind w:right="57"/>
              <w:jc w:val="both"/>
              <w:rPr>
                <w:rFonts w:ascii="Times New Roman" w:eastAsia="Times New Roman" w:hAnsi="Times New Roman" w:cs="Times New Roman"/>
              </w:rPr>
            </w:pPr>
            <w:r w:rsidRPr="00D74D54">
              <w:rPr>
                <w:rFonts w:ascii="Times New Roman" w:eastAsia="Times New Roman" w:hAnsi="Times New Roman" w:cs="Times New Roman"/>
              </w:rPr>
              <w:t>Не враховано.</w:t>
            </w:r>
          </w:p>
          <w:p w14:paraId="2171600C" w14:textId="4FE1A141" w:rsidR="003864E7" w:rsidRPr="003864E7" w:rsidRDefault="00D74D54" w:rsidP="00D74D54">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rPr>
            </w:pPr>
            <w:r w:rsidRPr="00D74D54">
              <w:rPr>
                <w:rFonts w:ascii="Times New Roman" w:eastAsia="Times New Roman" w:hAnsi="Times New Roman" w:cs="Times New Roman"/>
              </w:rPr>
              <w:t>З метою розвитку водневої енергетики передбачається розробка Міненерго проекту Водневої стратегії, яким буде визначено цілі, показники, плани розвитку водневої енергетики до 2030 року, а також окреслено орієнтири до 2050 року, а також необхідні заходи для реалізації.</w:t>
            </w:r>
          </w:p>
        </w:tc>
      </w:tr>
    </w:tbl>
    <w:tbl>
      <w:tblPr>
        <w:tblStyle w:val="afffffffc"/>
        <w:tblW w:w="15310" w:type="dxa"/>
        <w:tblInd w:w="-292"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15310"/>
      </w:tblGrid>
      <w:tr w:rsidR="00B43B9E" w:rsidRPr="003864E7" w14:paraId="74598813" w14:textId="77777777">
        <w:tc>
          <w:tcPr>
            <w:tcW w:w="15310" w:type="dxa"/>
            <w:tcBorders>
              <w:top w:val="single" w:sz="6" w:space="0" w:color="000000"/>
              <w:left w:val="single" w:sz="6" w:space="0" w:color="000000"/>
              <w:bottom w:val="single" w:sz="6" w:space="0" w:color="000000"/>
              <w:right w:val="single" w:sz="6" w:space="0" w:color="000000"/>
            </w:tcBorders>
          </w:tcPr>
          <w:p w14:paraId="6D8A793A" w14:textId="77777777" w:rsidR="00B43B9E" w:rsidRPr="003864E7" w:rsidRDefault="00AF0BE5">
            <w:pPr>
              <w:pBdr>
                <w:top w:val="nil"/>
                <w:left w:val="nil"/>
                <w:bottom w:val="nil"/>
                <w:right w:val="nil"/>
                <w:between w:val="nil"/>
              </w:pBdr>
              <w:spacing w:after="0" w:line="240" w:lineRule="auto"/>
              <w:ind w:left="57" w:right="57" w:firstLine="558"/>
              <w:jc w:val="center"/>
              <w:rPr>
                <w:rFonts w:ascii="Times New Roman" w:eastAsia="Times New Roman" w:hAnsi="Times New Roman" w:cs="Times New Roman"/>
                <w:b/>
                <w:color w:val="000000"/>
              </w:rPr>
            </w:pPr>
            <w:r w:rsidRPr="003864E7">
              <w:rPr>
                <w:rFonts w:ascii="Times New Roman" w:eastAsia="Times New Roman" w:hAnsi="Times New Roman" w:cs="Times New Roman"/>
                <w:b/>
                <w:color w:val="000000"/>
              </w:rPr>
              <w:t>гр. Донськой О. Б.</w:t>
            </w:r>
          </w:p>
        </w:tc>
      </w:tr>
    </w:tbl>
    <w:tbl>
      <w:tblPr>
        <w:tblStyle w:val="afffffffd"/>
        <w:tblW w:w="15273" w:type="dxa"/>
        <w:tblInd w:w="-276" w:type="dxa"/>
        <w:tblBorders>
          <w:top w:val="single" w:sz="4" w:space="0" w:color="000000"/>
          <w:left w:val="single" w:sz="4" w:space="0" w:color="000000"/>
          <w:bottom w:val="single" w:sz="4" w:space="0" w:color="000000"/>
          <w:right w:val="single" w:sz="4" w:space="0" w:color="000000"/>
        </w:tblBorders>
        <w:tblLayout w:type="fixed"/>
        <w:tblLook w:val="0400" w:firstRow="0" w:lastRow="0" w:firstColumn="0" w:lastColumn="0" w:noHBand="0" w:noVBand="1"/>
      </w:tblPr>
      <w:tblGrid>
        <w:gridCol w:w="5513"/>
        <w:gridCol w:w="3969"/>
        <w:gridCol w:w="5791"/>
      </w:tblGrid>
      <w:tr w:rsidR="00B43B9E" w:rsidRPr="003864E7" w14:paraId="22629D63"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335B15F9"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 xml:space="preserve">Для забезпечення надійності, стійкості та ефективності роботи об’єднаної енергетичної системи України необхідно створити збалансовану структуру потужностей шляхом введення додаткових маневрових потужностей. Як зазначається в Проекті заплановане завершення будівництва гідроакумулюючих електростанцій, а також будівництва нових гідроелектростанцій та гідроакумулюючих електростанцій. </w:t>
            </w:r>
          </w:p>
          <w:p w14:paraId="4866C91F"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 xml:space="preserve">Так для підвищенню гнучкості енергосистеми заплановане будівництво нових гідроакумулюючих електростанцій, визначених Переліком пріоритетних для держави інвестиційних проектів до 2023 року, затвердженим розпорядженням Кабінету Міністрів України від 16.12.2020 № 1581-р, а саме будівництво Канівської ГАЕС- 2 та добудова третьої черги Дністровської ГАЕС в складі трьох гідроагрегатів. Хоча проект «Будівництво Канівської ГАЕС» розпорядженням КМУ від 16.12.2020 № 1581-р включений до переліку пріоритетних для держави </w:t>
            </w:r>
            <w:r w:rsidRPr="003864E7">
              <w:rPr>
                <w:rFonts w:ascii="Times New Roman" w:eastAsia="Times New Roman" w:hAnsi="Times New Roman" w:cs="Times New Roman"/>
                <w:color w:val="000008"/>
              </w:rPr>
              <w:lastRenderedPageBreak/>
              <w:t xml:space="preserve">інвестиційних проєктів на період до 2023 року, але не зважаючи на анонсовані строки будівництва Канівської ГАЕС досі нема ніякої публічної інформації, що таке будівництво реально будо розпочато.  </w:t>
            </w:r>
          </w:p>
          <w:p w14:paraId="2A3E9809"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 xml:space="preserve">Виникає питання, а чи актуальний на даний час цей проект, коли стрімко змінюється ситуація навколо розвитку сучасних технологій систем накопичення енергії? </w:t>
            </w:r>
          </w:p>
          <w:p w14:paraId="3E5B48B8" w14:textId="77777777" w:rsidR="00B43B9E" w:rsidRPr="003864E7" w:rsidRDefault="00B43B9E">
            <w:pPr>
              <w:spacing w:after="0" w:line="240" w:lineRule="auto"/>
              <w:ind w:left="57" w:right="57"/>
              <w:rPr>
                <w:rFonts w:ascii="Times New Roman" w:eastAsia="Times New Roman" w:hAnsi="Times New Roman" w:cs="Times New Roman"/>
                <w:color w:val="000008"/>
              </w:rPr>
            </w:pPr>
          </w:p>
          <w:p w14:paraId="4F017E34"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Зважаючи на те, що будівництво нових ГАЕС фактично повинно заміщувати роботу вугільних блоків теплових електростанцій, то можливо було б доцільним відмовитись від будівництва Канівської ГАЕС, натомість стимулювати розміщення та фінансування на території вугільних електростанцій систем накопичення електроенергії аналогічної потужності? Тим самим виведення з експлуатації застарілих енергоблоків, які не доцільно реконструювати, буде заміщено обладнанням систем накопичення електроенергії, при цьому використовуючи існуюче розподільче електрообладнання електростанцій та лінії ЛЕП, та зберігаючи кваліфіковані кадри енергетиків  та робочі місця.</w:t>
            </w:r>
          </w:p>
        </w:tc>
        <w:tc>
          <w:tcPr>
            <w:tcW w:w="3969" w:type="dxa"/>
            <w:tcBorders>
              <w:top w:val="single" w:sz="6" w:space="0" w:color="000000"/>
              <w:left w:val="single" w:sz="6" w:space="0" w:color="000000"/>
              <w:bottom w:val="single" w:sz="6" w:space="0" w:color="000000"/>
              <w:right w:val="single" w:sz="6" w:space="0" w:color="000000"/>
            </w:tcBorders>
          </w:tcPr>
          <w:p w14:paraId="0753760C" w14:textId="77777777" w:rsidR="00B43B9E" w:rsidRPr="003864E7" w:rsidRDefault="00AF0BE5">
            <w:pPr>
              <w:spacing w:after="0" w:line="240" w:lineRule="auto"/>
              <w:ind w:left="57" w:right="57"/>
              <w:jc w:val="center"/>
              <w:rPr>
                <w:rFonts w:ascii="Times New Roman" w:eastAsia="Times New Roman" w:hAnsi="Times New Roman" w:cs="Times New Roman"/>
              </w:rPr>
            </w:pPr>
            <w:r w:rsidRPr="003864E7">
              <w:rPr>
                <w:rFonts w:ascii="Times New Roman" w:eastAsia="Times New Roman" w:hAnsi="Times New Roman" w:cs="Times New Roman"/>
              </w:rPr>
              <w:lastRenderedPageBreak/>
              <w:t>Пропозиції до підрозділу «Гідроенергетика»</w:t>
            </w:r>
          </w:p>
        </w:tc>
        <w:tc>
          <w:tcPr>
            <w:tcW w:w="5791" w:type="dxa"/>
            <w:tcBorders>
              <w:top w:val="single" w:sz="6" w:space="0" w:color="000000"/>
              <w:left w:val="single" w:sz="6" w:space="0" w:color="000000"/>
              <w:bottom w:val="single" w:sz="6" w:space="0" w:color="000000"/>
              <w:right w:val="single" w:sz="6" w:space="0" w:color="000000"/>
            </w:tcBorders>
          </w:tcPr>
          <w:p w14:paraId="27E46614"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Не враховано.</w:t>
            </w:r>
          </w:p>
          <w:p w14:paraId="002CDE31"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Проектом НПДВЕ 2030 передбачено розвиток балансуючих потужностей, необхідн</w:t>
            </w:r>
            <w:r w:rsidRPr="003864E7">
              <w:rPr>
                <w:rFonts w:ascii="Times New Roman" w:eastAsia="Times New Roman" w:hAnsi="Times New Roman" w:cs="Times New Roman"/>
              </w:rPr>
              <w:t>их</w:t>
            </w:r>
            <w:r w:rsidRPr="003864E7">
              <w:rPr>
                <w:rFonts w:ascii="Times New Roman" w:eastAsia="Times New Roman" w:hAnsi="Times New Roman" w:cs="Times New Roman"/>
                <w:color w:val="000000"/>
              </w:rPr>
              <w:t xml:space="preserve"> для інтеграції об’єктів відновлюваної електроенергетики в енергосистему:</w:t>
            </w:r>
          </w:p>
          <w:p w14:paraId="5454B7DF" w14:textId="77777777" w:rsidR="00B43B9E" w:rsidRPr="003864E7" w:rsidRDefault="00AF0BE5">
            <w:pPr>
              <w:numPr>
                <w:ilvl w:val="0"/>
                <w:numId w:val="3"/>
              </w:numPr>
              <w:pBdr>
                <w:top w:val="nil"/>
                <w:left w:val="nil"/>
                <w:bottom w:val="nil"/>
                <w:right w:val="nil"/>
                <w:between w:val="nil"/>
              </w:pBdr>
              <w:spacing w:after="0" w:line="240" w:lineRule="auto"/>
              <w:ind w:right="57"/>
              <w:jc w:val="both"/>
              <w:rPr>
                <w:rFonts w:ascii="Times New Roman" w:hAnsi="Times New Roman" w:cs="Times New Roman"/>
                <w:color w:val="000000"/>
              </w:rPr>
            </w:pPr>
            <w:r w:rsidRPr="003864E7">
              <w:rPr>
                <w:rFonts w:ascii="Times New Roman" w:eastAsia="Times New Roman" w:hAnsi="Times New Roman" w:cs="Times New Roman"/>
                <w:color w:val="000000"/>
              </w:rPr>
              <w:t>високо маневрова потужність з можливістю швидкого запуску – 1</w:t>
            </w:r>
            <w:r w:rsidRPr="003864E7">
              <w:rPr>
                <w:rFonts w:ascii="Times New Roman" w:eastAsia="Times New Roman" w:hAnsi="Times New Roman" w:cs="Times New Roman"/>
              </w:rPr>
              <w:t>2</w:t>
            </w:r>
            <w:r w:rsidRPr="003864E7">
              <w:rPr>
                <w:rFonts w:ascii="Times New Roman" w:eastAsia="Times New Roman" w:hAnsi="Times New Roman" w:cs="Times New Roman"/>
                <w:color w:val="000000"/>
              </w:rPr>
              <w:t>50 МВт.</w:t>
            </w:r>
          </w:p>
          <w:p w14:paraId="511EB716" w14:textId="77777777" w:rsidR="00B43B9E" w:rsidRPr="003864E7" w:rsidRDefault="00AF0BE5">
            <w:pPr>
              <w:numPr>
                <w:ilvl w:val="0"/>
                <w:numId w:val="3"/>
              </w:numPr>
              <w:pBdr>
                <w:top w:val="nil"/>
                <w:left w:val="nil"/>
                <w:bottom w:val="nil"/>
                <w:right w:val="nil"/>
                <w:between w:val="nil"/>
              </w:pBdr>
              <w:spacing w:after="0" w:line="240" w:lineRule="auto"/>
              <w:ind w:right="57"/>
              <w:jc w:val="both"/>
              <w:rPr>
                <w:rFonts w:ascii="Times New Roman" w:hAnsi="Times New Roman" w:cs="Times New Roman"/>
                <w:color w:val="000000"/>
              </w:rPr>
            </w:pPr>
            <w:r w:rsidRPr="003864E7">
              <w:rPr>
                <w:rFonts w:ascii="Times New Roman" w:eastAsia="Times New Roman" w:hAnsi="Times New Roman" w:cs="Times New Roman"/>
                <w:color w:val="000000"/>
              </w:rPr>
              <w:t>системи накопичення енергії – 640 МВт</w:t>
            </w:r>
          </w:p>
        </w:tc>
      </w:tr>
      <w:tr w:rsidR="00B43B9E" w:rsidRPr="003864E7" w14:paraId="1E858F66"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3C3CA300"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 xml:space="preserve">Пропонується вивчити можливість та доцільність  штучного сезонного обмеження площі дзеркала води дніпровських водосховищ за рахунок облаштування дамб в лівобережних мілководних частинах водосховищ. Це забезпечить можливість сезонного повного спрацювання (до дна) частини водосховища, яка буде відсічена від глибокої частини водосховища дамбою.  </w:t>
            </w:r>
          </w:p>
          <w:p w14:paraId="7D460E23"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 xml:space="preserve">На відміну, наприклад, від існуючої лівобережної водозахисної дамби Київського водосховища, пропоновані лівобережні дамби на Канівському та Кременчуцькому та інших водосховищах будуть </w:t>
            </w:r>
            <w:r w:rsidRPr="003864E7">
              <w:rPr>
                <w:rFonts w:ascii="Times New Roman" w:eastAsia="Times New Roman" w:hAnsi="Times New Roman" w:cs="Times New Roman"/>
                <w:color w:val="000008"/>
              </w:rPr>
              <w:lastRenderedPageBreak/>
              <w:t xml:space="preserve">забезпечувати лише сезонний захист території від затоплення водою. </w:t>
            </w:r>
          </w:p>
          <w:p w14:paraId="03995E70"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 xml:space="preserve">Таким чином, під час весняного паводку «суха» лівобережна частина водосховища, обмежена пропонованою дамбою, буде через спеціальні пропускні гідроспоруди затоплюватись водами Дніпра до існуючих відміток та до існуючої лівобережної берегової лінії і через водопропускні споруди в дамбі буде вільно сполучатись з основною частиною водосховища. В такому режимі дамба буде виглядати так, як ми можемо побачити Черкаську дамбу, яка з обох сторін оточена водами Кременчуцького водосховища на одному рівні.  </w:t>
            </w:r>
          </w:p>
          <w:p w14:paraId="2DC89CC5" w14:textId="77777777" w:rsidR="00B43B9E" w:rsidRPr="003864E7" w:rsidRDefault="00AF0BE5">
            <w:pPr>
              <w:spacing w:after="0" w:line="240" w:lineRule="auto"/>
              <w:ind w:left="57" w:right="57"/>
              <w:rPr>
                <w:rFonts w:ascii="Times New Roman" w:eastAsia="Times New Roman" w:hAnsi="Times New Roman" w:cs="Times New Roman"/>
                <w:color w:val="000008"/>
              </w:rPr>
            </w:pPr>
            <w:r w:rsidRPr="003864E7">
              <w:rPr>
                <w:rFonts w:ascii="Times New Roman" w:eastAsia="Times New Roman" w:hAnsi="Times New Roman" w:cs="Times New Roman"/>
                <w:color w:val="000008"/>
              </w:rPr>
              <w:t>Коли розпочнеться сухий, маловодний період року, лівобережна частина водосховища, обмежена пропонованою дамбою, буде спрацьована до повного осушення дна через додатково встановлені гідроагрегати в лівобережній частині греблі ГЕС (як варіант вода в нічний час буде відкачуватись в основну частину водосховища насосними станціями і потім спрацьовуватись через існуючі гідроагрегати ГЕС).</w:t>
            </w:r>
          </w:p>
        </w:tc>
        <w:tc>
          <w:tcPr>
            <w:tcW w:w="3969" w:type="dxa"/>
            <w:tcBorders>
              <w:top w:val="single" w:sz="6" w:space="0" w:color="000000"/>
              <w:left w:val="single" w:sz="6" w:space="0" w:color="000000"/>
              <w:bottom w:val="single" w:sz="6" w:space="0" w:color="000000"/>
              <w:right w:val="single" w:sz="6" w:space="0" w:color="000000"/>
            </w:tcBorders>
          </w:tcPr>
          <w:p w14:paraId="0433003F" w14:textId="77777777" w:rsidR="00B43B9E" w:rsidRPr="003864E7" w:rsidRDefault="00AF0BE5">
            <w:pPr>
              <w:spacing w:after="0" w:line="240" w:lineRule="auto"/>
              <w:ind w:left="57" w:right="57"/>
              <w:jc w:val="both"/>
              <w:rPr>
                <w:rFonts w:ascii="Times New Roman" w:eastAsia="Times New Roman" w:hAnsi="Times New Roman" w:cs="Times New Roman"/>
              </w:rPr>
            </w:pPr>
            <w:r w:rsidRPr="003864E7">
              <w:rPr>
                <w:rFonts w:ascii="Times New Roman" w:eastAsia="Times New Roman" w:hAnsi="Times New Roman" w:cs="Times New Roman"/>
              </w:rPr>
              <w:lastRenderedPageBreak/>
              <w:t>Пропозиції до підрозділу «Гідроенергетика»</w:t>
            </w:r>
          </w:p>
          <w:p w14:paraId="339D19B9" w14:textId="77777777" w:rsidR="00B43B9E" w:rsidRPr="003864E7" w:rsidRDefault="00B43B9E">
            <w:pPr>
              <w:spacing w:after="0" w:line="240" w:lineRule="auto"/>
              <w:ind w:left="57" w:right="57"/>
              <w:jc w:val="both"/>
              <w:rPr>
                <w:rFonts w:ascii="Times New Roman" w:eastAsia="Times New Roman" w:hAnsi="Times New Roman" w:cs="Times New Roman"/>
              </w:rPr>
            </w:pPr>
          </w:p>
          <w:p w14:paraId="2CF0A7D3" w14:textId="77777777" w:rsidR="00B43B9E" w:rsidRPr="003864E7" w:rsidRDefault="00B43B9E">
            <w:pPr>
              <w:spacing w:after="0" w:line="240" w:lineRule="auto"/>
              <w:ind w:left="57" w:right="57"/>
              <w:jc w:val="both"/>
              <w:rPr>
                <w:rFonts w:ascii="Times New Roman" w:eastAsia="Times New Roman" w:hAnsi="Times New Roman" w:cs="Times New Roman"/>
              </w:rPr>
            </w:pPr>
          </w:p>
        </w:tc>
        <w:tc>
          <w:tcPr>
            <w:tcW w:w="5791" w:type="dxa"/>
            <w:tcBorders>
              <w:top w:val="single" w:sz="6" w:space="0" w:color="000000"/>
              <w:left w:val="single" w:sz="6" w:space="0" w:color="000000"/>
              <w:bottom w:val="single" w:sz="6" w:space="0" w:color="000000"/>
              <w:right w:val="single" w:sz="6" w:space="0" w:color="000000"/>
            </w:tcBorders>
          </w:tcPr>
          <w:p w14:paraId="2763066C" w14:textId="77777777" w:rsidR="00B43B9E" w:rsidRPr="003864E7" w:rsidRDefault="00AF0BE5">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r w:rsidRPr="003864E7">
              <w:rPr>
                <w:rFonts w:ascii="Times New Roman" w:eastAsia="Times New Roman" w:hAnsi="Times New Roman" w:cs="Times New Roman"/>
                <w:color w:val="000000"/>
              </w:rPr>
              <w:t xml:space="preserve">Не враховано </w:t>
            </w:r>
          </w:p>
          <w:p w14:paraId="1CFA1CA0" w14:textId="77777777" w:rsidR="00B43B9E" w:rsidRPr="003864E7" w:rsidRDefault="00AF0BE5">
            <w:pPr>
              <w:spacing w:after="0" w:line="240" w:lineRule="auto"/>
              <w:ind w:left="57" w:right="57" w:firstLine="284"/>
              <w:jc w:val="both"/>
              <w:rPr>
                <w:rFonts w:ascii="Times New Roman" w:eastAsia="Times New Roman" w:hAnsi="Times New Roman" w:cs="Times New Roman"/>
              </w:rPr>
            </w:pPr>
            <w:r w:rsidRPr="003864E7">
              <w:rPr>
                <w:rFonts w:ascii="Times New Roman" w:eastAsia="Times New Roman" w:hAnsi="Times New Roman" w:cs="Times New Roman"/>
              </w:rPr>
              <w:t>Зазначені пропозиції не стосуються цього проекту акта.</w:t>
            </w:r>
          </w:p>
          <w:p w14:paraId="4228F33A" w14:textId="77777777" w:rsidR="00B43B9E" w:rsidRPr="003864E7" w:rsidRDefault="00AF0BE5">
            <w:pPr>
              <w:spacing w:after="0" w:line="240" w:lineRule="auto"/>
              <w:ind w:left="57" w:right="57" w:firstLine="284"/>
              <w:jc w:val="both"/>
              <w:rPr>
                <w:rFonts w:ascii="Times New Roman" w:eastAsia="Times New Roman" w:hAnsi="Times New Roman" w:cs="Times New Roman"/>
              </w:rPr>
            </w:pPr>
            <w:r w:rsidRPr="003864E7">
              <w:rPr>
                <w:rFonts w:ascii="Times New Roman" w:eastAsia="Times New Roman" w:hAnsi="Times New Roman" w:cs="Times New Roman"/>
              </w:rPr>
              <w:t xml:space="preserve">Крім того, облаштування водозахисними дамбами вже існуючих водосховищах, це лише ідея, яка не має економічного та екологічного обґрунтування і потребує оцінки фахівців наукових установ. </w:t>
            </w:r>
          </w:p>
          <w:p w14:paraId="3807CE63" w14:textId="77777777" w:rsidR="00B43B9E" w:rsidRPr="003864E7" w:rsidRDefault="00B43B9E">
            <w:pPr>
              <w:pBdr>
                <w:top w:val="nil"/>
                <w:left w:val="nil"/>
                <w:bottom w:val="nil"/>
                <w:right w:val="nil"/>
                <w:between w:val="nil"/>
              </w:pBdr>
              <w:spacing w:after="0" w:line="240" w:lineRule="auto"/>
              <w:ind w:left="57" w:right="57" w:firstLine="558"/>
              <w:jc w:val="both"/>
              <w:rPr>
                <w:rFonts w:ascii="Times New Roman" w:eastAsia="Times New Roman" w:hAnsi="Times New Roman" w:cs="Times New Roman"/>
                <w:color w:val="000000"/>
              </w:rPr>
            </w:pPr>
          </w:p>
        </w:tc>
      </w:tr>
      <w:tr w:rsidR="00B43B9E" w:rsidRPr="003864E7" w14:paraId="5E5AA39F" w14:textId="77777777">
        <w:trPr>
          <w:trHeight w:val="240"/>
        </w:trPr>
        <w:tc>
          <w:tcPr>
            <w:tcW w:w="15273" w:type="dxa"/>
            <w:gridSpan w:val="3"/>
            <w:tcBorders>
              <w:top w:val="single" w:sz="6" w:space="0" w:color="000000"/>
              <w:left w:val="single" w:sz="6" w:space="0" w:color="000000"/>
              <w:bottom w:val="single" w:sz="6" w:space="0" w:color="000000"/>
              <w:right w:val="single" w:sz="6" w:space="0" w:color="000000"/>
            </w:tcBorders>
          </w:tcPr>
          <w:p w14:paraId="04DAF0F5" w14:textId="77777777" w:rsidR="00B43B9E" w:rsidRPr="003864E7" w:rsidRDefault="00AF0BE5">
            <w:pPr>
              <w:spacing w:after="0" w:line="240" w:lineRule="auto"/>
              <w:ind w:right="57"/>
              <w:jc w:val="center"/>
              <w:rPr>
                <w:rFonts w:ascii="Times New Roman" w:eastAsia="Times New Roman" w:hAnsi="Times New Roman" w:cs="Times New Roman"/>
                <w:b/>
                <w:color w:val="000008"/>
              </w:rPr>
            </w:pPr>
            <w:r w:rsidRPr="003864E7">
              <w:rPr>
                <w:rFonts w:ascii="Times New Roman" w:eastAsia="Times New Roman" w:hAnsi="Times New Roman" w:cs="Times New Roman"/>
                <w:b/>
                <w:color w:val="000008"/>
              </w:rPr>
              <w:t>гр. Кученко Б. В.</w:t>
            </w:r>
          </w:p>
        </w:tc>
      </w:tr>
      <w:tr w:rsidR="00B43B9E" w:rsidRPr="003864E7" w14:paraId="3954BE90" w14:textId="77777777" w:rsidTr="00943A0E">
        <w:tc>
          <w:tcPr>
            <w:tcW w:w="5513" w:type="dxa"/>
            <w:tcBorders>
              <w:top w:val="single" w:sz="6" w:space="0" w:color="000000"/>
              <w:left w:val="single" w:sz="6" w:space="0" w:color="000000"/>
              <w:bottom w:val="single" w:sz="6" w:space="0" w:color="000000"/>
              <w:right w:val="single" w:sz="6" w:space="0" w:color="000000"/>
            </w:tcBorders>
          </w:tcPr>
          <w:p w14:paraId="5643E294"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t xml:space="preserve">На сторінці 10 проєкту Нацплану у розділі «Гідроенергетика» зазначено: «розвиток малої гідроенергетики сприятиме децентралізації загальної енергетичної системи, що дасть змогу розв’язати ряд проблем в енергопостачанні віддалених і важкодоступних районів сільської місцевості». Таке твердження не відповідає дійсності, оскільки в Україні немає жодного населеного пункту, в якому відсутній доступ до електропостачання. А отже немає потреби будувати окремі електрогенеруючі потужності для віддалених і важкодоступних районів. Нові потужності необхідні для заміни традиційних об’єктів енергетики (теплові та атомні та великі гідроелектростанції). </w:t>
            </w:r>
          </w:p>
          <w:p w14:paraId="05581D1D"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lastRenderedPageBreak/>
              <w:t xml:space="preserve">Водночас, в сучасних умовах потенціал гідроенергетики в Україні, на відмінну від сонячної та вітрової енергетики,  є низьким і не може бути використаний для реальної заміни традиційних потужностей. </w:t>
            </w:r>
          </w:p>
          <w:p w14:paraId="206190BE"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t>Також викликає великі сумніви твердження «Мікро-, міні- та малі</w:t>
            </w:r>
          </w:p>
          <w:p w14:paraId="59FA8D22"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t>гідроелектростанції можуть стати потужною основою енергозабезпечення для всіх регіонів Західної України».  Адже коєфецієнт використання встановленої потужності в гідроенергетиці Україні станом на 2019 рік був найнижчим у світі та складав всього 13%.</w:t>
            </w:r>
          </w:p>
          <w:p w14:paraId="7C052F75"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t>Пропозиції</w:t>
            </w:r>
          </w:p>
          <w:p w14:paraId="6DFAA119"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t>Враховуючи значний негативний вплив гідроенергетики на річкові екосистеми,</w:t>
            </w:r>
          </w:p>
          <w:p w14:paraId="43033730"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t xml:space="preserve">необхідно заборонити будівництво нових гідроенергетичних об’єктів на незарегульованих (вільних) ділянках річок та шляхах міграції і місцях нересту видів риб, амфібій, раків тощо, які в наш час перебувають під охороною держави; </w:t>
            </w:r>
          </w:p>
          <w:p w14:paraId="6D69170F"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t>Розвиток гідроенергетики в Україні має бути спрямований не на будівництво нових гідроенергетичних об’єктів, а на підвищення потужності та ефективності (коефіцієнту використання встановленої потужності) існуючих. Відповідну тезу пропонується закріпити у Стратегії. Також має бути внесені зміни до Програми розвитку гідроенергетики до 2026 року, яка є більш вузькопрофільним (галузевим) документом і має бути підпорядкована</w:t>
            </w:r>
          </w:p>
          <w:p w14:paraId="73A6867E"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t>цілям загальної стратегії розвитку відновлювальної енергетики, і аж ніяк не навпаки.</w:t>
            </w:r>
          </w:p>
          <w:p w14:paraId="56828D47"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t xml:space="preserve">Для вирішення проблеми з міграцією риб необхідно передбачити поступову модернізацію всіх існуючих гідроелектростанції із будівництвом на них рибопропускних споруд. </w:t>
            </w:r>
          </w:p>
          <w:p w14:paraId="6972C038" w14:textId="77777777" w:rsidR="00B43B9E" w:rsidRPr="003864E7" w:rsidRDefault="00AF0BE5">
            <w:pPr>
              <w:spacing w:after="0" w:line="240" w:lineRule="auto"/>
              <w:ind w:left="57" w:right="57"/>
              <w:rPr>
                <w:rFonts w:ascii="Times New Roman" w:eastAsia="Times New Roman" w:hAnsi="Times New Roman" w:cs="Times New Roman"/>
              </w:rPr>
            </w:pPr>
            <w:r w:rsidRPr="003864E7">
              <w:rPr>
                <w:rFonts w:ascii="Times New Roman" w:eastAsia="Times New Roman" w:hAnsi="Times New Roman" w:cs="Times New Roman"/>
              </w:rPr>
              <w:lastRenderedPageBreak/>
              <w:t>Ще одним із шляхів розвитку гідроенергетики може бути будівництво нових гідроенергетичних об’єктів на існуючій соціально та економічно значимій гідротехнічній інфраструктурі, зокрема тій, що потребує збереження, відновлення та підтримки працездатного стану: шлюзах-регуляторах, трубопроводах та каналах, меліоративних системах, каналізаційних станціях, водосховищах, що використовуються для очистки промислових вод, греблях та дамбах неенергетичного призначення тощо.</w:t>
            </w:r>
          </w:p>
          <w:p w14:paraId="724525F8" w14:textId="77777777" w:rsidR="00B43B9E" w:rsidRPr="003864E7" w:rsidRDefault="00B43B9E">
            <w:pPr>
              <w:spacing w:after="0" w:line="240" w:lineRule="auto"/>
              <w:ind w:left="57" w:right="57"/>
              <w:rPr>
                <w:rFonts w:ascii="Times New Roman" w:eastAsia="Times New Roman" w:hAnsi="Times New Roman" w:cs="Times New Roman"/>
              </w:rPr>
            </w:pPr>
          </w:p>
        </w:tc>
        <w:tc>
          <w:tcPr>
            <w:tcW w:w="3969" w:type="dxa"/>
            <w:tcBorders>
              <w:top w:val="single" w:sz="6" w:space="0" w:color="000000"/>
              <w:left w:val="single" w:sz="6" w:space="0" w:color="000000"/>
              <w:bottom w:val="single" w:sz="6" w:space="0" w:color="000000"/>
              <w:right w:val="single" w:sz="6" w:space="0" w:color="000000"/>
            </w:tcBorders>
          </w:tcPr>
          <w:p w14:paraId="61CE7E13" w14:textId="77777777" w:rsidR="00B43B9E" w:rsidRPr="003864E7" w:rsidRDefault="00AF0BE5">
            <w:pPr>
              <w:spacing w:after="0" w:line="240" w:lineRule="auto"/>
              <w:ind w:left="57" w:right="57"/>
              <w:jc w:val="center"/>
              <w:rPr>
                <w:rFonts w:ascii="Times New Roman" w:eastAsia="Times New Roman" w:hAnsi="Times New Roman" w:cs="Times New Roman"/>
              </w:rPr>
            </w:pPr>
            <w:r w:rsidRPr="003864E7">
              <w:rPr>
                <w:rFonts w:ascii="Times New Roman" w:eastAsia="Times New Roman" w:hAnsi="Times New Roman" w:cs="Times New Roman"/>
              </w:rPr>
              <w:lastRenderedPageBreak/>
              <w:t>Пропозиції до підрозділу «Гідроенергетика»</w:t>
            </w:r>
          </w:p>
        </w:tc>
        <w:tc>
          <w:tcPr>
            <w:tcW w:w="5791" w:type="dxa"/>
            <w:tcBorders>
              <w:top w:val="single" w:sz="6" w:space="0" w:color="000000"/>
              <w:left w:val="single" w:sz="6" w:space="0" w:color="000000"/>
              <w:bottom w:val="single" w:sz="6" w:space="0" w:color="000000"/>
              <w:right w:val="single" w:sz="6" w:space="0" w:color="000000"/>
            </w:tcBorders>
          </w:tcPr>
          <w:p w14:paraId="49C776CB"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 xml:space="preserve">Не враховано </w:t>
            </w:r>
          </w:p>
          <w:p w14:paraId="04252610" w14:textId="77777777" w:rsidR="00B43B9E" w:rsidRPr="003864E7" w:rsidRDefault="00B43B9E">
            <w:pPr>
              <w:spacing w:after="0" w:line="240" w:lineRule="auto"/>
              <w:ind w:left="57" w:right="57" w:firstLine="558"/>
              <w:jc w:val="both"/>
              <w:rPr>
                <w:rFonts w:ascii="Times New Roman" w:eastAsia="Times New Roman" w:hAnsi="Times New Roman" w:cs="Times New Roman"/>
              </w:rPr>
            </w:pPr>
          </w:p>
          <w:p w14:paraId="2031DEE6"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Вплив на екологію буде здійснено під час проведення стратегічної екологічної оцінки.</w:t>
            </w:r>
          </w:p>
          <w:p w14:paraId="3440E20A"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Питання збереження флори та фауни має вирішуватись іншим законодавством. При цьому безумовною є вимога, що всі об’єкти відновлюваної енергетики мають будуватися з  дотриманням санітарних норм та вимог екологічного законодавства.</w:t>
            </w:r>
          </w:p>
          <w:p w14:paraId="382C7439"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Малі ГЕС сприятимуть розвитку розподіленої генерації, підвищуючи стабільність роботи енергосистеми.</w:t>
            </w:r>
          </w:p>
          <w:p w14:paraId="1C737957"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 xml:space="preserve">Електроенергія, вироблена малою ГЕС споживається поблизу, підвищує надійність електрзабезпечення споживачів та призводить до </w:t>
            </w:r>
            <w:r w:rsidRPr="003864E7">
              <w:rPr>
                <w:rFonts w:ascii="Times New Roman" w:eastAsia="Times New Roman" w:hAnsi="Times New Roman" w:cs="Times New Roman"/>
              </w:rPr>
              <w:t>зниження втрат електроенергії в мережах. Більш того, малі ГЕС можуть споруджуватися в енергодефіцитних регіонах, де відсутні потужні енергоджерела і куди транспортується електроенергія з великими втратами.</w:t>
            </w:r>
          </w:p>
          <w:p w14:paraId="1502AECA"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 xml:space="preserve">Водність річок, дійсно коливається. </w:t>
            </w:r>
          </w:p>
          <w:p w14:paraId="22F826FE" w14:textId="77777777" w:rsidR="00B43B9E" w:rsidRPr="003864E7" w:rsidRDefault="00AF0BE5">
            <w:pPr>
              <w:spacing w:after="0" w:line="240" w:lineRule="auto"/>
              <w:ind w:left="57" w:right="57" w:firstLine="558"/>
              <w:jc w:val="both"/>
              <w:rPr>
                <w:rFonts w:ascii="Times New Roman" w:eastAsia="Times New Roman" w:hAnsi="Times New Roman" w:cs="Times New Roman"/>
              </w:rPr>
            </w:pPr>
            <w:r w:rsidRPr="003864E7">
              <w:rPr>
                <w:rFonts w:ascii="Times New Roman" w:eastAsia="Times New Roman" w:hAnsi="Times New Roman" w:cs="Times New Roman"/>
              </w:rPr>
              <w:t>У 2019 році був мінімум дебету річок, але це не означає загальне довгострокове зневоднення.</w:t>
            </w:r>
          </w:p>
          <w:p w14:paraId="24FCAD2D" w14:textId="77777777" w:rsidR="00B43B9E" w:rsidRPr="003864E7" w:rsidRDefault="00B43B9E">
            <w:pPr>
              <w:spacing w:after="0" w:line="240" w:lineRule="auto"/>
              <w:ind w:left="57" w:right="57" w:firstLine="558"/>
              <w:jc w:val="both"/>
              <w:rPr>
                <w:rFonts w:ascii="Times New Roman" w:eastAsia="Times New Roman" w:hAnsi="Times New Roman" w:cs="Times New Roman"/>
              </w:rPr>
            </w:pPr>
          </w:p>
          <w:p w14:paraId="0C8C5518" w14:textId="77777777" w:rsidR="00B43B9E" w:rsidRPr="003864E7" w:rsidRDefault="00B43B9E">
            <w:pPr>
              <w:spacing w:after="0" w:line="240" w:lineRule="auto"/>
              <w:ind w:left="57" w:right="57" w:firstLine="558"/>
              <w:jc w:val="both"/>
              <w:rPr>
                <w:rFonts w:ascii="Times New Roman" w:eastAsia="Times New Roman" w:hAnsi="Times New Roman" w:cs="Times New Roman"/>
              </w:rPr>
            </w:pPr>
          </w:p>
          <w:p w14:paraId="7EA9209A" w14:textId="77777777" w:rsidR="00B43B9E" w:rsidRPr="003864E7" w:rsidRDefault="00B43B9E">
            <w:pPr>
              <w:spacing w:after="0" w:line="240" w:lineRule="auto"/>
              <w:ind w:left="57" w:right="57" w:firstLine="558"/>
              <w:jc w:val="both"/>
              <w:rPr>
                <w:rFonts w:ascii="Times New Roman" w:eastAsia="Times New Roman" w:hAnsi="Times New Roman" w:cs="Times New Roman"/>
              </w:rPr>
            </w:pPr>
          </w:p>
        </w:tc>
      </w:tr>
    </w:tbl>
    <w:p w14:paraId="031F75A7" w14:textId="77777777" w:rsidR="00B43B9E" w:rsidRPr="003864E7" w:rsidRDefault="00B43B9E">
      <w:pPr>
        <w:tabs>
          <w:tab w:val="left" w:pos="-284"/>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84"/>
        <w:rPr>
          <w:rFonts w:ascii="Times New Roman" w:eastAsia="Times New Roman" w:hAnsi="Times New Roman" w:cs="Times New Roman"/>
          <w:b/>
          <w:color w:val="000000"/>
        </w:rPr>
      </w:pPr>
    </w:p>
    <w:p w14:paraId="68F14B40" w14:textId="77777777" w:rsidR="00B43B9E" w:rsidRPr="003864E7" w:rsidRDefault="00B43B9E">
      <w:pPr>
        <w:tabs>
          <w:tab w:val="left" w:pos="-284"/>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jc w:val="both"/>
        <w:rPr>
          <w:rFonts w:ascii="Times New Roman" w:eastAsia="Times New Roman" w:hAnsi="Times New Roman" w:cs="Times New Roman"/>
          <w:b/>
          <w:color w:val="000000"/>
        </w:rPr>
      </w:pPr>
    </w:p>
    <w:sectPr w:rsidR="00B43B9E" w:rsidRPr="003864E7">
      <w:headerReference w:type="default" r:id="rId19"/>
      <w:pgSz w:w="16838" w:h="11906" w:orient="landscape"/>
      <w:pgMar w:top="869" w:right="1134" w:bottom="1077"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9DF96" w14:textId="77777777" w:rsidR="000242BE" w:rsidRDefault="000242BE">
      <w:pPr>
        <w:spacing w:after="0" w:line="240" w:lineRule="auto"/>
      </w:pPr>
      <w:r>
        <w:separator/>
      </w:r>
    </w:p>
  </w:endnote>
  <w:endnote w:type="continuationSeparator" w:id="0">
    <w:p w14:paraId="75FBA4D6" w14:textId="77777777" w:rsidR="000242BE" w:rsidRDefault="00024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ntiqua">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46353" w14:textId="77777777" w:rsidR="000242BE" w:rsidRDefault="000242BE">
      <w:pPr>
        <w:spacing w:after="0" w:line="240" w:lineRule="auto"/>
      </w:pPr>
      <w:r>
        <w:separator/>
      </w:r>
    </w:p>
  </w:footnote>
  <w:footnote w:type="continuationSeparator" w:id="0">
    <w:p w14:paraId="61B8EE28" w14:textId="77777777" w:rsidR="000242BE" w:rsidRDefault="000242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0716" w14:textId="77777777" w:rsidR="00B43B9E" w:rsidRDefault="00AF0BE5">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A8722F">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AB9"/>
    <w:multiLevelType w:val="multilevel"/>
    <w:tmpl w:val="D3CE1BB4"/>
    <w:lvl w:ilvl="0">
      <w:numFmt w:val="bullet"/>
      <w:lvlText w:val="-"/>
      <w:lvlJc w:val="left"/>
      <w:pPr>
        <w:ind w:left="417" w:hanging="360"/>
      </w:pPr>
      <w:rPr>
        <w:rFonts w:ascii="Times New Roman" w:eastAsia="Times New Roman" w:hAnsi="Times New Roman" w:cs="Times New Roman"/>
      </w:rPr>
    </w:lvl>
    <w:lvl w:ilvl="1">
      <w:start w:val="1"/>
      <w:numFmt w:val="bullet"/>
      <w:lvlText w:val="o"/>
      <w:lvlJc w:val="left"/>
      <w:pPr>
        <w:ind w:left="1137" w:hanging="360"/>
      </w:pPr>
      <w:rPr>
        <w:rFonts w:ascii="Courier New" w:eastAsia="Courier New" w:hAnsi="Courier New" w:cs="Courier New"/>
      </w:rPr>
    </w:lvl>
    <w:lvl w:ilvl="2">
      <w:start w:val="1"/>
      <w:numFmt w:val="bullet"/>
      <w:lvlText w:val="▪"/>
      <w:lvlJc w:val="left"/>
      <w:pPr>
        <w:ind w:left="1857" w:hanging="360"/>
      </w:pPr>
      <w:rPr>
        <w:rFonts w:ascii="Noto Sans Symbols" w:eastAsia="Noto Sans Symbols" w:hAnsi="Noto Sans Symbols" w:cs="Noto Sans Symbols"/>
      </w:rPr>
    </w:lvl>
    <w:lvl w:ilvl="3">
      <w:start w:val="1"/>
      <w:numFmt w:val="bullet"/>
      <w:lvlText w:val="●"/>
      <w:lvlJc w:val="left"/>
      <w:pPr>
        <w:ind w:left="2577" w:hanging="360"/>
      </w:pPr>
      <w:rPr>
        <w:rFonts w:ascii="Noto Sans Symbols" w:eastAsia="Noto Sans Symbols" w:hAnsi="Noto Sans Symbols" w:cs="Noto Sans Symbols"/>
      </w:rPr>
    </w:lvl>
    <w:lvl w:ilvl="4">
      <w:start w:val="1"/>
      <w:numFmt w:val="bullet"/>
      <w:lvlText w:val="o"/>
      <w:lvlJc w:val="left"/>
      <w:pPr>
        <w:ind w:left="3297" w:hanging="360"/>
      </w:pPr>
      <w:rPr>
        <w:rFonts w:ascii="Courier New" w:eastAsia="Courier New" w:hAnsi="Courier New" w:cs="Courier New"/>
      </w:rPr>
    </w:lvl>
    <w:lvl w:ilvl="5">
      <w:start w:val="1"/>
      <w:numFmt w:val="bullet"/>
      <w:lvlText w:val="▪"/>
      <w:lvlJc w:val="left"/>
      <w:pPr>
        <w:ind w:left="4017" w:hanging="360"/>
      </w:pPr>
      <w:rPr>
        <w:rFonts w:ascii="Noto Sans Symbols" w:eastAsia="Noto Sans Symbols" w:hAnsi="Noto Sans Symbols" w:cs="Noto Sans Symbols"/>
      </w:rPr>
    </w:lvl>
    <w:lvl w:ilvl="6">
      <w:start w:val="1"/>
      <w:numFmt w:val="bullet"/>
      <w:lvlText w:val="●"/>
      <w:lvlJc w:val="left"/>
      <w:pPr>
        <w:ind w:left="4737" w:hanging="360"/>
      </w:pPr>
      <w:rPr>
        <w:rFonts w:ascii="Noto Sans Symbols" w:eastAsia="Noto Sans Symbols" w:hAnsi="Noto Sans Symbols" w:cs="Noto Sans Symbols"/>
      </w:rPr>
    </w:lvl>
    <w:lvl w:ilvl="7">
      <w:start w:val="1"/>
      <w:numFmt w:val="bullet"/>
      <w:lvlText w:val="o"/>
      <w:lvlJc w:val="left"/>
      <w:pPr>
        <w:ind w:left="5457" w:hanging="360"/>
      </w:pPr>
      <w:rPr>
        <w:rFonts w:ascii="Courier New" w:eastAsia="Courier New" w:hAnsi="Courier New" w:cs="Courier New"/>
      </w:rPr>
    </w:lvl>
    <w:lvl w:ilvl="8">
      <w:start w:val="1"/>
      <w:numFmt w:val="bullet"/>
      <w:lvlText w:val="▪"/>
      <w:lvlJc w:val="left"/>
      <w:pPr>
        <w:ind w:left="6177" w:hanging="360"/>
      </w:pPr>
      <w:rPr>
        <w:rFonts w:ascii="Noto Sans Symbols" w:eastAsia="Noto Sans Symbols" w:hAnsi="Noto Sans Symbols" w:cs="Noto Sans Symbols"/>
      </w:rPr>
    </w:lvl>
  </w:abstractNum>
  <w:abstractNum w:abstractNumId="1" w15:restartNumberingAfterBreak="0">
    <w:nsid w:val="0B0A3E60"/>
    <w:multiLevelType w:val="multilevel"/>
    <w:tmpl w:val="75B882E4"/>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5A51F27"/>
    <w:multiLevelType w:val="multilevel"/>
    <w:tmpl w:val="9A8EA09C"/>
    <w:lvl w:ilvl="0">
      <w:start w:val="1"/>
      <w:numFmt w:val="bullet"/>
      <w:lvlText w:val="-"/>
      <w:lvlJc w:val="left"/>
      <w:pPr>
        <w:ind w:left="1429" w:hanging="360"/>
      </w:pPr>
      <w:rPr>
        <w:rFonts w:ascii="Courier New" w:eastAsia="Courier New" w:hAnsi="Courier New" w:cs="Courier New"/>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170B26FD"/>
    <w:multiLevelType w:val="multilevel"/>
    <w:tmpl w:val="C846B7C0"/>
    <w:lvl w:ilvl="0">
      <w:start w:val="1"/>
      <w:numFmt w:val="decimal"/>
      <w:lvlText w:val="%1."/>
      <w:lvlJc w:val="left"/>
      <w:pPr>
        <w:ind w:left="562" w:hanging="360"/>
      </w:pPr>
    </w:lvl>
    <w:lvl w:ilvl="1">
      <w:start w:val="1"/>
      <w:numFmt w:val="lowerLetter"/>
      <w:lvlText w:val="%2."/>
      <w:lvlJc w:val="left"/>
      <w:pPr>
        <w:ind w:left="1282" w:hanging="360"/>
      </w:pPr>
    </w:lvl>
    <w:lvl w:ilvl="2">
      <w:start w:val="1"/>
      <w:numFmt w:val="lowerRoman"/>
      <w:lvlText w:val="%3."/>
      <w:lvlJc w:val="right"/>
      <w:pPr>
        <w:ind w:left="2002" w:hanging="180"/>
      </w:pPr>
    </w:lvl>
    <w:lvl w:ilvl="3">
      <w:start w:val="1"/>
      <w:numFmt w:val="decimal"/>
      <w:lvlText w:val="%4."/>
      <w:lvlJc w:val="left"/>
      <w:pPr>
        <w:ind w:left="2722" w:hanging="360"/>
      </w:pPr>
    </w:lvl>
    <w:lvl w:ilvl="4">
      <w:start w:val="1"/>
      <w:numFmt w:val="lowerLetter"/>
      <w:lvlText w:val="%5."/>
      <w:lvlJc w:val="left"/>
      <w:pPr>
        <w:ind w:left="3442" w:hanging="360"/>
      </w:pPr>
    </w:lvl>
    <w:lvl w:ilvl="5">
      <w:start w:val="1"/>
      <w:numFmt w:val="lowerRoman"/>
      <w:lvlText w:val="%6."/>
      <w:lvlJc w:val="right"/>
      <w:pPr>
        <w:ind w:left="4162" w:hanging="180"/>
      </w:pPr>
    </w:lvl>
    <w:lvl w:ilvl="6">
      <w:start w:val="1"/>
      <w:numFmt w:val="decimal"/>
      <w:lvlText w:val="%7."/>
      <w:lvlJc w:val="left"/>
      <w:pPr>
        <w:ind w:left="4882" w:hanging="360"/>
      </w:pPr>
    </w:lvl>
    <w:lvl w:ilvl="7">
      <w:start w:val="1"/>
      <w:numFmt w:val="lowerLetter"/>
      <w:lvlText w:val="%8."/>
      <w:lvlJc w:val="left"/>
      <w:pPr>
        <w:ind w:left="5602" w:hanging="360"/>
      </w:pPr>
    </w:lvl>
    <w:lvl w:ilvl="8">
      <w:start w:val="1"/>
      <w:numFmt w:val="lowerRoman"/>
      <w:lvlText w:val="%9."/>
      <w:lvlJc w:val="right"/>
      <w:pPr>
        <w:ind w:left="6322" w:hanging="180"/>
      </w:pPr>
    </w:lvl>
  </w:abstractNum>
  <w:abstractNum w:abstractNumId="4" w15:restartNumberingAfterBreak="0">
    <w:nsid w:val="3A6B4BDE"/>
    <w:multiLevelType w:val="multilevel"/>
    <w:tmpl w:val="7F80E6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AF03FC9"/>
    <w:multiLevelType w:val="multilevel"/>
    <w:tmpl w:val="6198612A"/>
    <w:lvl w:ilvl="0">
      <w:numFmt w:val="bullet"/>
      <w:lvlText w:val="-"/>
      <w:lvlJc w:val="left"/>
      <w:pPr>
        <w:ind w:left="502" w:hanging="360"/>
      </w:pPr>
      <w:rPr>
        <w:rFonts w:ascii="Times New Roman" w:eastAsia="Times New Roman" w:hAnsi="Times New Roman" w:cs="Times New Roman"/>
      </w:r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6" w15:restartNumberingAfterBreak="0">
    <w:nsid w:val="4F3E4EAD"/>
    <w:multiLevelType w:val="multilevel"/>
    <w:tmpl w:val="281E9486"/>
    <w:lvl w:ilvl="0">
      <w:start w:val="1"/>
      <w:numFmt w:val="bullet"/>
      <w:lvlText w:val="−"/>
      <w:lvlJc w:val="left"/>
      <w:pPr>
        <w:ind w:left="1909" w:hanging="360"/>
      </w:pPr>
      <w:rPr>
        <w:rFonts w:ascii="Noto Sans Symbols" w:eastAsia="Noto Sans Symbols" w:hAnsi="Noto Sans Symbols" w:cs="Noto Sans Symbols"/>
      </w:rPr>
    </w:lvl>
    <w:lvl w:ilvl="1">
      <w:start w:val="1"/>
      <w:numFmt w:val="bullet"/>
      <w:lvlText w:val="o"/>
      <w:lvlJc w:val="left"/>
      <w:pPr>
        <w:ind w:left="2629" w:hanging="360"/>
      </w:pPr>
      <w:rPr>
        <w:rFonts w:ascii="Courier New" w:eastAsia="Courier New" w:hAnsi="Courier New" w:cs="Courier New"/>
      </w:rPr>
    </w:lvl>
    <w:lvl w:ilvl="2">
      <w:start w:val="1"/>
      <w:numFmt w:val="bullet"/>
      <w:lvlText w:val="▪"/>
      <w:lvlJc w:val="left"/>
      <w:pPr>
        <w:ind w:left="3349" w:hanging="360"/>
      </w:pPr>
      <w:rPr>
        <w:rFonts w:ascii="Noto Sans Symbols" w:eastAsia="Noto Sans Symbols" w:hAnsi="Noto Sans Symbols" w:cs="Noto Sans Symbols"/>
      </w:rPr>
    </w:lvl>
    <w:lvl w:ilvl="3">
      <w:start w:val="1"/>
      <w:numFmt w:val="bullet"/>
      <w:lvlText w:val="●"/>
      <w:lvlJc w:val="left"/>
      <w:pPr>
        <w:ind w:left="4069" w:hanging="360"/>
      </w:pPr>
      <w:rPr>
        <w:rFonts w:ascii="Noto Sans Symbols" w:eastAsia="Noto Sans Symbols" w:hAnsi="Noto Sans Symbols" w:cs="Noto Sans Symbols"/>
      </w:rPr>
    </w:lvl>
    <w:lvl w:ilvl="4">
      <w:start w:val="1"/>
      <w:numFmt w:val="bullet"/>
      <w:lvlText w:val="o"/>
      <w:lvlJc w:val="left"/>
      <w:pPr>
        <w:ind w:left="4789" w:hanging="360"/>
      </w:pPr>
      <w:rPr>
        <w:rFonts w:ascii="Courier New" w:eastAsia="Courier New" w:hAnsi="Courier New" w:cs="Courier New"/>
      </w:rPr>
    </w:lvl>
    <w:lvl w:ilvl="5">
      <w:start w:val="1"/>
      <w:numFmt w:val="bullet"/>
      <w:lvlText w:val="▪"/>
      <w:lvlJc w:val="left"/>
      <w:pPr>
        <w:ind w:left="5509" w:hanging="360"/>
      </w:pPr>
      <w:rPr>
        <w:rFonts w:ascii="Noto Sans Symbols" w:eastAsia="Noto Sans Symbols" w:hAnsi="Noto Sans Symbols" w:cs="Noto Sans Symbols"/>
      </w:rPr>
    </w:lvl>
    <w:lvl w:ilvl="6">
      <w:start w:val="1"/>
      <w:numFmt w:val="bullet"/>
      <w:lvlText w:val="●"/>
      <w:lvlJc w:val="left"/>
      <w:pPr>
        <w:ind w:left="6229" w:hanging="360"/>
      </w:pPr>
      <w:rPr>
        <w:rFonts w:ascii="Noto Sans Symbols" w:eastAsia="Noto Sans Symbols" w:hAnsi="Noto Sans Symbols" w:cs="Noto Sans Symbols"/>
      </w:rPr>
    </w:lvl>
    <w:lvl w:ilvl="7">
      <w:start w:val="1"/>
      <w:numFmt w:val="bullet"/>
      <w:lvlText w:val="o"/>
      <w:lvlJc w:val="left"/>
      <w:pPr>
        <w:ind w:left="6949" w:hanging="360"/>
      </w:pPr>
      <w:rPr>
        <w:rFonts w:ascii="Courier New" w:eastAsia="Courier New" w:hAnsi="Courier New" w:cs="Courier New"/>
      </w:rPr>
    </w:lvl>
    <w:lvl w:ilvl="8">
      <w:start w:val="1"/>
      <w:numFmt w:val="bullet"/>
      <w:lvlText w:val="▪"/>
      <w:lvlJc w:val="left"/>
      <w:pPr>
        <w:ind w:left="7669" w:hanging="360"/>
      </w:pPr>
      <w:rPr>
        <w:rFonts w:ascii="Noto Sans Symbols" w:eastAsia="Noto Sans Symbols" w:hAnsi="Noto Sans Symbols" w:cs="Noto Sans Symbols"/>
      </w:rPr>
    </w:lvl>
  </w:abstractNum>
  <w:abstractNum w:abstractNumId="7" w15:restartNumberingAfterBreak="0">
    <w:nsid w:val="66C43ADF"/>
    <w:multiLevelType w:val="multilevel"/>
    <w:tmpl w:val="6E8ECAD6"/>
    <w:lvl w:ilvl="0">
      <w:start w:val="1"/>
      <w:numFmt w:val="bullet"/>
      <w:lvlText w:val="−"/>
      <w:lvlJc w:val="left"/>
      <w:pPr>
        <w:ind w:left="1909" w:hanging="360"/>
      </w:pPr>
      <w:rPr>
        <w:rFonts w:ascii="Noto Sans Symbols" w:eastAsia="Noto Sans Symbols" w:hAnsi="Noto Sans Symbols" w:cs="Noto Sans Symbols"/>
      </w:rPr>
    </w:lvl>
    <w:lvl w:ilvl="1">
      <w:start w:val="1"/>
      <w:numFmt w:val="bullet"/>
      <w:lvlText w:val="o"/>
      <w:lvlJc w:val="left"/>
      <w:pPr>
        <w:ind w:left="2629" w:hanging="360"/>
      </w:pPr>
      <w:rPr>
        <w:rFonts w:ascii="Courier New" w:eastAsia="Courier New" w:hAnsi="Courier New" w:cs="Courier New"/>
      </w:rPr>
    </w:lvl>
    <w:lvl w:ilvl="2">
      <w:start w:val="1"/>
      <w:numFmt w:val="bullet"/>
      <w:lvlText w:val="▪"/>
      <w:lvlJc w:val="left"/>
      <w:pPr>
        <w:ind w:left="3349" w:hanging="360"/>
      </w:pPr>
      <w:rPr>
        <w:rFonts w:ascii="Noto Sans Symbols" w:eastAsia="Noto Sans Symbols" w:hAnsi="Noto Sans Symbols" w:cs="Noto Sans Symbols"/>
      </w:rPr>
    </w:lvl>
    <w:lvl w:ilvl="3">
      <w:start w:val="1"/>
      <w:numFmt w:val="bullet"/>
      <w:lvlText w:val="●"/>
      <w:lvlJc w:val="left"/>
      <w:pPr>
        <w:ind w:left="4069" w:hanging="360"/>
      </w:pPr>
      <w:rPr>
        <w:rFonts w:ascii="Noto Sans Symbols" w:eastAsia="Noto Sans Symbols" w:hAnsi="Noto Sans Symbols" w:cs="Noto Sans Symbols"/>
      </w:rPr>
    </w:lvl>
    <w:lvl w:ilvl="4">
      <w:start w:val="1"/>
      <w:numFmt w:val="bullet"/>
      <w:lvlText w:val="o"/>
      <w:lvlJc w:val="left"/>
      <w:pPr>
        <w:ind w:left="4789" w:hanging="360"/>
      </w:pPr>
      <w:rPr>
        <w:rFonts w:ascii="Courier New" w:eastAsia="Courier New" w:hAnsi="Courier New" w:cs="Courier New"/>
      </w:rPr>
    </w:lvl>
    <w:lvl w:ilvl="5">
      <w:start w:val="1"/>
      <w:numFmt w:val="bullet"/>
      <w:lvlText w:val="▪"/>
      <w:lvlJc w:val="left"/>
      <w:pPr>
        <w:ind w:left="5509" w:hanging="360"/>
      </w:pPr>
      <w:rPr>
        <w:rFonts w:ascii="Noto Sans Symbols" w:eastAsia="Noto Sans Symbols" w:hAnsi="Noto Sans Symbols" w:cs="Noto Sans Symbols"/>
      </w:rPr>
    </w:lvl>
    <w:lvl w:ilvl="6">
      <w:start w:val="1"/>
      <w:numFmt w:val="bullet"/>
      <w:lvlText w:val="●"/>
      <w:lvlJc w:val="left"/>
      <w:pPr>
        <w:ind w:left="6229" w:hanging="360"/>
      </w:pPr>
      <w:rPr>
        <w:rFonts w:ascii="Noto Sans Symbols" w:eastAsia="Noto Sans Symbols" w:hAnsi="Noto Sans Symbols" w:cs="Noto Sans Symbols"/>
      </w:rPr>
    </w:lvl>
    <w:lvl w:ilvl="7">
      <w:start w:val="1"/>
      <w:numFmt w:val="bullet"/>
      <w:lvlText w:val="o"/>
      <w:lvlJc w:val="left"/>
      <w:pPr>
        <w:ind w:left="6949" w:hanging="360"/>
      </w:pPr>
      <w:rPr>
        <w:rFonts w:ascii="Courier New" w:eastAsia="Courier New" w:hAnsi="Courier New" w:cs="Courier New"/>
      </w:rPr>
    </w:lvl>
    <w:lvl w:ilvl="8">
      <w:start w:val="1"/>
      <w:numFmt w:val="bullet"/>
      <w:lvlText w:val="▪"/>
      <w:lvlJc w:val="left"/>
      <w:pPr>
        <w:ind w:left="7669" w:hanging="360"/>
      </w:pPr>
      <w:rPr>
        <w:rFonts w:ascii="Noto Sans Symbols" w:eastAsia="Noto Sans Symbols" w:hAnsi="Noto Sans Symbols" w:cs="Noto Sans Symbols"/>
      </w:rPr>
    </w:lvl>
  </w:abstractNum>
  <w:abstractNum w:abstractNumId="8" w15:restartNumberingAfterBreak="0">
    <w:nsid w:val="75B85CEC"/>
    <w:multiLevelType w:val="multilevel"/>
    <w:tmpl w:val="36D0396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4"/>
  </w:num>
  <w:num w:numId="2">
    <w:abstractNumId w:val="6"/>
  </w:num>
  <w:num w:numId="3">
    <w:abstractNumId w:val="5"/>
  </w:num>
  <w:num w:numId="4">
    <w:abstractNumId w:val="8"/>
  </w:num>
  <w:num w:numId="5">
    <w:abstractNumId w:val="2"/>
  </w:num>
  <w:num w:numId="6">
    <w:abstractNumId w:val="0"/>
  </w:num>
  <w:num w:numId="7">
    <w:abstractNumId w:val="1"/>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B9E"/>
    <w:rsid w:val="000242BE"/>
    <w:rsid w:val="000C4B67"/>
    <w:rsid w:val="000F5B60"/>
    <w:rsid w:val="002464F0"/>
    <w:rsid w:val="003864E7"/>
    <w:rsid w:val="004572F5"/>
    <w:rsid w:val="005C0E7F"/>
    <w:rsid w:val="005D0503"/>
    <w:rsid w:val="005E2770"/>
    <w:rsid w:val="006E493C"/>
    <w:rsid w:val="00943A0E"/>
    <w:rsid w:val="009A7100"/>
    <w:rsid w:val="00A55213"/>
    <w:rsid w:val="00A561E2"/>
    <w:rsid w:val="00A8722F"/>
    <w:rsid w:val="00AE5890"/>
    <w:rsid w:val="00AF0BE5"/>
    <w:rsid w:val="00B43B9E"/>
    <w:rsid w:val="00BA766C"/>
    <w:rsid w:val="00C645A3"/>
    <w:rsid w:val="00CA6795"/>
    <w:rsid w:val="00D74D54"/>
    <w:rsid w:val="00E37B09"/>
    <w:rsid w:val="00FB0B64"/>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EA0D2"/>
  <w15:docId w15:val="{AA624768-7328-41C6-945F-3CACF6722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uk-UA" w:eastAsia="ru-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customStyle="1" w:styleId="rvps7">
    <w:name w:val="rvps7"/>
    <w:basedOn w:val="a"/>
    <w:rsid w:val="00F41A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F41A4E"/>
  </w:style>
  <w:style w:type="character" w:customStyle="1" w:styleId="apple-converted-space">
    <w:name w:val="apple-converted-space"/>
    <w:basedOn w:val="a0"/>
    <w:rsid w:val="00F41A4E"/>
  </w:style>
  <w:style w:type="character" w:customStyle="1" w:styleId="rvts82">
    <w:name w:val="rvts82"/>
    <w:basedOn w:val="a0"/>
    <w:rsid w:val="00F41A4E"/>
  </w:style>
  <w:style w:type="paragraph" w:customStyle="1" w:styleId="rvps2">
    <w:name w:val="rvps2"/>
    <w:basedOn w:val="a"/>
    <w:rsid w:val="00F41A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F41A4E"/>
  </w:style>
  <w:style w:type="paragraph" w:customStyle="1" w:styleId="rvps12">
    <w:name w:val="rvps12"/>
    <w:basedOn w:val="a"/>
    <w:rsid w:val="00F41A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4">
    <w:name w:val="rvps14"/>
    <w:basedOn w:val="a"/>
    <w:rsid w:val="00F41A4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_"/>
    <w:rsid w:val="000D7686"/>
    <w:rPr>
      <w:b/>
      <w:sz w:val="25"/>
      <w:shd w:val="clear" w:color="auto" w:fill="FFFFFF"/>
    </w:rPr>
  </w:style>
  <w:style w:type="paragraph" w:customStyle="1" w:styleId="a4">
    <w:name w:val="Нормальний текст"/>
    <w:basedOn w:val="a"/>
    <w:rsid w:val="00475BD4"/>
    <w:pPr>
      <w:suppressAutoHyphens/>
      <w:spacing w:before="120" w:after="0" w:line="240" w:lineRule="auto"/>
      <w:ind w:firstLine="567"/>
      <w:jc w:val="both"/>
    </w:pPr>
    <w:rPr>
      <w:rFonts w:ascii="Antiqua" w:eastAsia="Times New Roman" w:hAnsi="Antiqua" w:cs="Antiqua"/>
      <w:sz w:val="26"/>
      <w:szCs w:val="20"/>
      <w:lang w:eastAsia="ar-SA"/>
    </w:rPr>
  </w:style>
  <w:style w:type="paragraph" w:styleId="a5">
    <w:name w:val="Balloon Text"/>
    <w:basedOn w:val="a"/>
    <w:link w:val="a6"/>
    <w:uiPriority w:val="99"/>
    <w:semiHidden/>
    <w:unhideWhenUsed/>
    <w:rsid w:val="00816F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16FBB"/>
    <w:rPr>
      <w:rFonts w:ascii="Tahoma" w:hAnsi="Tahoma" w:cs="Tahoma"/>
      <w:sz w:val="16"/>
      <w:szCs w:val="16"/>
    </w:rPr>
  </w:style>
  <w:style w:type="character" w:customStyle="1" w:styleId="a7">
    <w:name w:val="Основной текст_"/>
    <w:link w:val="10"/>
    <w:rsid w:val="00FB4F55"/>
    <w:rPr>
      <w:spacing w:val="-1"/>
      <w:sz w:val="25"/>
      <w:szCs w:val="25"/>
      <w:shd w:val="clear" w:color="auto" w:fill="FFFFFF"/>
    </w:rPr>
  </w:style>
  <w:style w:type="paragraph" w:customStyle="1" w:styleId="10">
    <w:name w:val="Основной текст1"/>
    <w:basedOn w:val="a"/>
    <w:link w:val="a7"/>
    <w:rsid w:val="00FB4F55"/>
    <w:pPr>
      <w:widowControl w:val="0"/>
      <w:shd w:val="clear" w:color="auto" w:fill="FFFFFF"/>
      <w:spacing w:before="540" w:after="360" w:line="0" w:lineRule="atLeast"/>
      <w:jc w:val="center"/>
    </w:pPr>
    <w:rPr>
      <w:spacing w:val="-1"/>
      <w:sz w:val="25"/>
      <w:szCs w:val="25"/>
    </w:rPr>
  </w:style>
  <w:style w:type="paragraph" w:styleId="a8">
    <w:name w:val="header"/>
    <w:basedOn w:val="a"/>
    <w:link w:val="a9"/>
    <w:uiPriority w:val="99"/>
    <w:unhideWhenUsed/>
    <w:rsid w:val="0054603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46039"/>
  </w:style>
  <w:style w:type="paragraph" w:styleId="aa">
    <w:name w:val="footer"/>
    <w:basedOn w:val="a"/>
    <w:link w:val="ab"/>
    <w:uiPriority w:val="99"/>
    <w:unhideWhenUsed/>
    <w:rsid w:val="0054603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46039"/>
  </w:style>
  <w:style w:type="paragraph" w:styleId="ac">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d"/>
    <w:uiPriority w:val="34"/>
    <w:qFormat/>
    <w:rsid w:val="00B04787"/>
    <w:pPr>
      <w:ind w:left="720"/>
      <w:contextualSpacing/>
    </w:pPr>
  </w:style>
  <w:style w:type="character" w:customStyle="1" w:styleId="Other">
    <w:name w:val="Other_"/>
    <w:basedOn w:val="a0"/>
    <w:link w:val="Other0"/>
    <w:rsid w:val="005767DE"/>
    <w:rPr>
      <w:rFonts w:ascii="Times New Roman" w:eastAsia="Times New Roman" w:hAnsi="Times New Roman" w:cs="Times New Roman"/>
    </w:rPr>
  </w:style>
  <w:style w:type="paragraph" w:customStyle="1" w:styleId="Other0">
    <w:name w:val="Other"/>
    <w:basedOn w:val="a"/>
    <w:link w:val="Other"/>
    <w:rsid w:val="005767DE"/>
    <w:pPr>
      <w:widowControl w:val="0"/>
      <w:spacing w:after="0" w:line="240" w:lineRule="auto"/>
    </w:pPr>
    <w:rPr>
      <w:rFonts w:ascii="Times New Roman" w:eastAsia="Times New Roman" w:hAnsi="Times New Roman" w:cs="Times New Roman"/>
    </w:rPr>
  </w:style>
  <w:style w:type="character" w:styleId="ae">
    <w:name w:val="annotation reference"/>
    <w:basedOn w:val="a0"/>
    <w:uiPriority w:val="99"/>
    <w:semiHidden/>
    <w:unhideWhenUsed/>
    <w:rsid w:val="000E7399"/>
    <w:rPr>
      <w:sz w:val="16"/>
      <w:szCs w:val="16"/>
    </w:rPr>
  </w:style>
  <w:style w:type="paragraph" w:styleId="af">
    <w:name w:val="annotation text"/>
    <w:basedOn w:val="a"/>
    <w:link w:val="af0"/>
    <w:uiPriority w:val="99"/>
    <w:semiHidden/>
    <w:unhideWhenUsed/>
    <w:rsid w:val="000E7399"/>
    <w:pPr>
      <w:spacing w:after="0" w:line="240" w:lineRule="auto"/>
    </w:pPr>
    <w:rPr>
      <w:rFonts w:ascii="Antiqua" w:eastAsia="Times New Roman" w:hAnsi="Antiqua" w:cs="Times New Roman"/>
      <w:sz w:val="20"/>
      <w:szCs w:val="20"/>
    </w:rPr>
  </w:style>
  <w:style w:type="character" w:customStyle="1" w:styleId="af0">
    <w:name w:val="Текст примечания Знак"/>
    <w:basedOn w:val="a0"/>
    <w:link w:val="af"/>
    <w:uiPriority w:val="99"/>
    <w:semiHidden/>
    <w:rsid w:val="000E7399"/>
    <w:rPr>
      <w:rFonts w:ascii="Antiqua" w:eastAsia="Times New Roman" w:hAnsi="Antiqua" w:cs="Times New Roman"/>
      <w:sz w:val="20"/>
      <w:szCs w:val="20"/>
      <w:lang w:val="uk-UA"/>
    </w:rPr>
  </w:style>
  <w:style w:type="character" w:customStyle="1" w:styleId="100">
    <w:name w:val="Основной текст + 10"/>
    <w:aliases w:val="5 pt,Интервал 0 pt"/>
    <w:basedOn w:val="a7"/>
    <w:rsid w:val="003F537F"/>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shd w:val="clear" w:color="auto" w:fill="FFFFFF"/>
      <w:lang w:val="uk-UA" w:eastAsia="uk-UA" w:bidi="uk-UA"/>
    </w:rPr>
  </w:style>
  <w:style w:type="character" w:customStyle="1" w:styleId="ad">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c"/>
    <w:uiPriority w:val="34"/>
    <w:qFormat/>
    <w:locked/>
    <w:rsid w:val="009B7FEF"/>
  </w:style>
  <w:style w:type="character" w:customStyle="1" w:styleId="rvts23">
    <w:name w:val="rvts23"/>
    <w:basedOn w:val="a0"/>
    <w:rsid w:val="00754B60"/>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10"/>
    <w:tblPr>
      <w:tblStyleRowBandSize w:val="1"/>
      <w:tblStyleColBandSize w:val="1"/>
    </w:tblPr>
  </w:style>
  <w:style w:type="table" w:customStyle="1" w:styleId="af3">
    <w:basedOn w:val="TableNormal10"/>
    <w:tblPr>
      <w:tblStyleRowBandSize w:val="1"/>
      <w:tblStyleColBandSize w:val="1"/>
    </w:tblPr>
  </w:style>
  <w:style w:type="table" w:customStyle="1" w:styleId="af4">
    <w:basedOn w:val="TableNormal10"/>
    <w:tblPr>
      <w:tblStyleRowBandSize w:val="1"/>
      <w:tblStyleColBandSize w:val="1"/>
    </w:tblPr>
  </w:style>
  <w:style w:type="table" w:customStyle="1" w:styleId="af5">
    <w:basedOn w:val="TableNormal10"/>
    <w:tblPr>
      <w:tblStyleRowBandSize w:val="1"/>
      <w:tblStyleColBandSize w:val="1"/>
    </w:tblPr>
  </w:style>
  <w:style w:type="table" w:customStyle="1" w:styleId="af6">
    <w:basedOn w:val="TableNormal3"/>
    <w:tblPr>
      <w:tblStyleRowBandSize w:val="1"/>
      <w:tblStyleColBandSize w:val="1"/>
    </w:tblPr>
  </w:style>
  <w:style w:type="table" w:customStyle="1" w:styleId="af7">
    <w:basedOn w:val="TableNormal3"/>
    <w:tblPr>
      <w:tblStyleRowBandSize w:val="1"/>
      <w:tblStyleColBandSize w:val="1"/>
      <w:tblCellMar>
        <w:left w:w="115" w:type="dxa"/>
        <w:right w:w="115" w:type="dxa"/>
      </w:tblCellMar>
    </w:tblPr>
  </w:style>
  <w:style w:type="table" w:customStyle="1" w:styleId="af8">
    <w:basedOn w:val="TableNormal3"/>
    <w:tblPr>
      <w:tblStyleRowBandSize w:val="1"/>
      <w:tblStyleColBandSize w:val="1"/>
    </w:tblPr>
  </w:style>
  <w:style w:type="table" w:customStyle="1" w:styleId="af9">
    <w:basedOn w:val="TableNormal3"/>
    <w:tblPr>
      <w:tblStyleRowBandSize w:val="1"/>
      <w:tblStyleColBandSize w:val="1"/>
      <w:tblCellMar>
        <w:left w:w="115" w:type="dxa"/>
        <w:right w:w="115" w:type="dxa"/>
      </w:tblCellMar>
    </w:tblPr>
  </w:style>
  <w:style w:type="table" w:customStyle="1" w:styleId="afa">
    <w:basedOn w:val="TableNormal3"/>
    <w:tblPr>
      <w:tblStyleRowBandSize w:val="1"/>
      <w:tblStyleColBandSize w:val="1"/>
    </w:tblPr>
  </w:style>
  <w:style w:type="table" w:customStyle="1" w:styleId="afb">
    <w:basedOn w:val="TableNormal3"/>
    <w:tblPr>
      <w:tblStyleRowBandSize w:val="1"/>
      <w:tblStyleColBandSize w:val="1"/>
      <w:tblCellMar>
        <w:left w:w="115" w:type="dxa"/>
        <w:right w:w="115" w:type="dxa"/>
      </w:tblCellMar>
    </w:tblPr>
  </w:style>
  <w:style w:type="table" w:customStyle="1" w:styleId="afc">
    <w:basedOn w:val="TableNormal3"/>
    <w:tblPr>
      <w:tblStyleRowBandSize w:val="1"/>
      <w:tblStyleColBandSize w:val="1"/>
    </w:tblPr>
  </w:style>
  <w:style w:type="table" w:customStyle="1" w:styleId="afd">
    <w:basedOn w:val="TableNormal3"/>
    <w:tblPr>
      <w:tblStyleRowBandSize w:val="1"/>
      <w:tblStyleColBandSize w:val="1"/>
      <w:tblCellMar>
        <w:left w:w="115" w:type="dxa"/>
        <w:right w:w="115" w:type="dxa"/>
      </w:tblCellMar>
    </w:tblPr>
  </w:style>
  <w:style w:type="table" w:customStyle="1" w:styleId="afe">
    <w:basedOn w:val="TableNormal3"/>
    <w:tblPr>
      <w:tblStyleRowBandSize w:val="1"/>
      <w:tblStyleColBandSize w:val="1"/>
    </w:tblPr>
  </w:style>
  <w:style w:type="table" w:customStyle="1" w:styleId="aff">
    <w:basedOn w:val="TableNormal3"/>
    <w:tblPr>
      <w:tblStyleRowBandSize w:val="1"/>
      <w:tblStyleColBandSize w:val="1"/>
      <w:tblCellMar>
        <w:left w:w="115" w:type="dxa"/>
        <w:right w:w="115" w:type="dxa"/>
      </w:tblCellMar>
    </w:tblPr>
  </w:style>
  <w:style w:type="table" w:customStyle="1" w:styleId="aff0">
    <w:basedOn w:val="TableNormal3"/>
    <w:tblPr>
      <w:tblStyleRowBandSize w:val="1"/>
      <w:tblStyleColBandSize w:val="1"/>
    </w:tblPr>
  </w:style>
  <w:style w:type="table" w:customStyle="1" w:styleId="aff1">
    <w:basedOn w:val="TableNormal3"/>
    <w:tblPr>
      <w:tblStyleRowBandSize w:val="1"/>
      <w:tblStyleColBandSize w:val="1"/>
      <w:tblCellMar>
        <w:left w:w="115" w:type="dxa"/>
        <w:right w:w="115" w:type="dxa"/>
      </w:tblCellMar>
    </w:tblPr>
  </w:style>
  <w:style w:type="table" w:customStyle="1" w:styleId="aff2">
    <w:basedOn w:val="TableNormal3"/>
    <w:tblPr>
      <w:tblStyleRowBandSize w:val="1"/>
      <w:tblStyleColBandSize w:val="1"/>
      <w:tblCellMar>
        <w:left w:w="115" w:type="dxa"/>
        <w:right w:w="115" w:type="dxa"/>
      </w:tblCellMar>
    </w:tblPr>
  </w:style>
  <w:style w:type="table" w:customStyle="1" w:styleId="aff3">
    <w:basedOn w:val="TableNormal3"/>
    <w:tblPr>
      <w:tblStyleRowBandSize w:val="1"/>
      <w:tblStyleColBandSize w:val="1"/>
    </w:tblPr>
  </w:style>
  <w:style w:type="table" w:customStyle="1" w:styleId="aff4">
    <w:basedOn w:val="TableNormal3"/>
    <w:tblPr>
      <w:tblStyleRowBandSize w:val="1"/>
      <w:tblStyleColBandSize w:val="1"/>
      <w:tblCellMar>
        <w:left w:w="115" w:type="dxa"/>
        <w:right w:w="115" w:type="dxa"/>
      </w:tblCellMar>
    </w:tblPr>
  </w:style>
  <w:style w:type="table" w:customStyle="1" w:styleId="aff5">
    <w:basedOn w:val="TableNormal3"/>
    <w:tblPr>
      <w:tblStyleRowBandSize w:val="1"/>
      <w:tblStyleColBandSize w:val="1"/>
    </w:tblPr>
  </w:style>
  <w:style w:type="table" w:customStyle="1" w:styleId="aff6">
    <w:basedOn w:val="TableNormal3"/>
    <w:tblPr>
      <w:tblStyleRowBandSize w:val="1"/>
      <w:tblStyleColBandSize w:val="1"/>
      <w:tblCellMar>
        <w:left w:w="115" w:type="dxa"/>
        <w:right w:w="115" w:type="dxa"/>
      </w:tblCellMar>
    </w:tblPr>
  </w:style>
  <w:style w:type="table" w:customStyle="1" w:styleId="aff7">
    <w:basedOn w:val="TableNormal3"/>
    <w:tblPr>
      <w:tblStyleRowBandSize w:val="1"/>
      <w:tblStyleColBandSize w:val="1"/>
      <w:tblCellMar>
        <w:left w:w="115" w:type="dxa"/>
        <w:right w:w="115" w:type="dxa"/>
      </w:tblCellMar>
    </w:tblPr>
  </w:style>
  <w:style w:type="table" w:customStyle="1" w:styleId="aff8">
    <w:basedOn w:val="TableNormal3"/>
    <w:tblPr>
      <w:tblStyleRowBandSize w:val="1"/>
      <w:tblStyleColBandSize w:val="1"/>
      <w:tblCellMar>
        <w:left w:w="115" w:type="dxa"/>
        <w:right w:w="115" w:type="dxa"/>
      </w:tblCellMar>
    </w:tblPr>
  </w:style>
  <w:style w:type="table" w:customStyle="1" w:styleId="aff9">
    <w:basedOn w:val="TableNormal3"/>
    <w:tblPr>
      <w:tblStyleRowBandSize w:val="1"/>
      <w:tblStyleColBandSize w:val="1"/>
      <w:tblCellMar>
        <w:left w:w="115" w:type="dxa"/>
        <w:right w:w="115" w:type="dxa"/>
      </w:tblCellMar>
    </w:tblPr>
  </w:style>
  <w:style w:type="table" w:customStyle="1" w:styleId="affa">
    <w:basedOn w:val="TableNormal3"/>
    <w:tblPr>
      <w:tblStyleRowBandSize w:val="1"/>
      <w:tblStyleColBandSize w:val="1"/>
      <w:tblCellMar>
        <w:left w:w="115" w:type="dxa"/>
        <w:right w:w="115" w:type="dxa"/>
      </w:tblCellMar>
    </w:tblPr>
  </w:style>
  <w:style w:type="table" w:customStyle="1" w:styleId="affb">
    <w:basedOn w:val="TableNormal3"/>
    <w:tblPr>
      <w:tblStyleRowBandSize w:val="1"/>
      <w:tblStyleColBandSize w:val="1"/>
      <w:tblCellMar>
        <w:left w:w="115" w:type="dxa"/>
        <w:right w:w="115" w:type="dxa"/>
      </w:tblCellMar>
    </w:tblPr>
  </w:style>
  <w:style w:type="table" w:customStyle="1" w:styleId="affc">
    <w:basedOn w:val="TableNormal3"/>
    <w:tblPr>
      <w:tblStyleRowBandSize w:val="1"/>
      <w:tblStyleColBandSize w:val="1"/>
      <w:tblCellMar>
        <w:left w:w="115" w:type="dxa"/>
        <w:right w:w="115" w:type="dxa"/>
      </w:tblCellMar>
    </w:tblPr>
  </w:style>
  <w:style w:type="table" w:customStyle="1" w:styleId="affd">
    <w:basedOn w:val="TableNormal3"/>
    <w:tblPr>
      <w:tblStyleRowBandSize w:val="1"/>
      <w:tblStyleColBandSize w:val="1"/>
      <w:tblCellMar>
        <w:left w:w="115" w:type="dxa"/>
        <w:right w:w="115" w:type="dxa"/>
      </w:tblCellMar>
    </w:tblPr>
  </w:style>
  <w:style w:type="table" w:customStyle="1" w:styleId="affe">
    <w:basedOn w:val="TableNormal3"/>
    <w:tblPr>
      <w:tblStyleRowBandSize w:val="1"/>
      <w:tblStyleColBandSize w:val="1"/>
      <w:tblCellMar>
        <w:left w:w="115" w:type="dxa"/>
        <w:right w:w="115" w:type="dxa"/>
      </w:tblCellMar>
    </w:tblPr>
  </w:style>
  <w:style w:type="table" w:customStyle="1" w:styleId="afff">
    <w:basedOn w:val="TableNormal3"/>
    <w:tblPr>
      <w:tblStyleRowBandSize w:val="1"/>
      <w:tblStyleColBandSize w:val="1"/>
      <w:tblCellMar>
        <w:left w:w="115" w:type="dxa"/>
        <w:right w:w="115" w:type="dxa"/>
      </w:tblCellMar>
    </w:tblPr>
  </w:style>
  <w:style w:type="table" w:customStyle="1" w:styleId="afff0">
    <w:basedOn w:val="TableNormal3"/>
    <w:tblPr>
      <w:tblStyleRowBandSize w:val="1"/>
      <w:tblStyleColBandSize w:val="1"/>
      <w:tblCellMar>
        <w:left w:w="115" w:type="dxa"/>
        <w:right w:w="115" w:type="dxa"/>
      </w:tblCellMar>
    </w:tblPr>
  </w:style>
  <w:style w:type="table" w:customStyle="1" w:styleId="afff1">
    <w:basedOn w:val="TableNormal3"/>
    <w:tblPr>
      <w:tblStyleRowBandSize w:val="1"/>
      <w:tblStyleColBandSize w:val="1"/>
      <w:tblCellMar>
        <w:left w:w="115" w:type="dxa"/>
        <w:right w:w="115" w:type="dxa"/>
      </w:tblCellMar>
    </w:tblPr>
  </w:style>
  <w:style w:type="table" w:customStyle="1" w:styleId="afff2">
    <w:basedOn w:val="TableNormal3"/>
    <w:tblPr>
      <w:tblStyleRowBandSize w:val="1"/>
      <w:tblStyleColBandSize w:val="1"/>
      <w:tblCellMar>
        <w:left w:w="115" w:type="dxa"/>
        <w:right w:w="115" w:type="dxa"/>
      </w:tblCellMar>
    </w:tblPr>
  </w:style>
  <w:style w:type="table" w:customStyle="1" w:styleId="afff3">
    <w:basedOn w:val="TableNormal3"/>
    <w:tblPr>
      <w:tblStyleRowBandSize w:val="1"/>
      <w:tblStyleColBandSize w:val="1"/>
      <w:tblCellMar>
        <w:left w:w="115" w:type="dxa"/>
        <w:right w:w="115" w:type="dxa"/>
      </w:tblCellMar>
    </w:tblPr>
  </w:style>
  <w:style w:type="table" w:customStyle="1" w:styleId="afff4">
    <w:basedOn w:val="TableNormal3"/>
    <w:tblPr>
      <w:tblStyleRowBandSize w:val="1"/>
      <w:tblStyleColBandSize w:val="1"/>
      <w:tblCellMar>
        <w:left w:w="115" w:type="dxa"/>
        <w:right w:w="115" w:type="dxa"/>
      </w:tblCellMar>
    </w:tblPr>
  </w:style>
  <w:style w:type="table" w:customStyle="1" w:styleId="afff5">
    <w:basedOn w:val="TableNormal3"/>
    <w:tblPr>
      <w:tblStyleRowBandSize w:val="1"/>
      <w:tblStyleColBandSize w:val="1"/>
      <w:tblCellMar>
        <w:left w:w="115" w:type="dxa"/>
        <w:right w:w="115" w:type="dxa"/>
      </w:tblCellMar>
    </w:tblPr>
  </w:style>
  <w:style w:type="table" w:customStyle="1" w:styleId="afff6">
    <w:basedOn w:val="TableNormal3"/>
    <w:tblPr>
      <w:tblStyleRowBandSize w:val="1"/>
      <w:tblStyleColBandSize w:val="1"/>
      <w:tblCellMar>
        <w:left w:w="115" w:type="dxa"/>
        <w:right w:w="115" w:type="dxa"/>
      </w:tblCellMar>
    </w:tblPr>
  </w:style>
  <w:style w:type="table" w:customStyle="1" w:styleId="afff7">
    <w:basedOn w:val="TableNormal3"/>
    <w:tblPr>
      <w:tblStyleRowBandSize w:val="1"/>
      <w:tblStyleColBandSize w:val="1"/>
      <w:tblCellMar>
        <w:left w:w="115" w:type="dxa"/>
        <w:right w:w="115" w:type="dxa"/>
      </w:tblCellMar>
    </w:tblPr>
  </w:style>
  <w:style w:type="table" w:customStyle="1" w:styleId="afff8">
    <w:basedOn w:val="TableNormal3"/>
    <w:tblPr>
      <w:tblStyleRowBandSize w:val="1"/>
      <w:tblStyleColBandSize w:val="1"/>
      <w:tblCellMar>
        <w:left w:w="115" w:type="dxa"/>
        <w:right w:w="115" w:type="dxa"/>
      </w:tblCellMar>
    </w:tblPr>
  </w:style>
  <w:style w:type="table" w:customStyle="1" w:styleId="afff9">
    <w:basedOn w:val="TableNormal3"/>
    <w:tblPr>
      <w:tblStyleRowBandSize w:val="1"/>
      <w:tblStyleColBandSize w:val="1"/>
      <w:tblCellMar>
        <w:left w:w="115" w:type="dxa"/>
        <w:right w:w="115" w:type="dxa"/>
      </w:tblCellMar>
    </w:tblPr>
  </w:style>
  <w:style w:type="table" w:customStyle="1" w:styleId="afffa">
    <w:basedOn w:val="TableNormal3"/>
    <w:tblPr>
      <w:tblStyleRowBandSize w:val="1"/>
      <w:tblStyleColBandSize w:val="1"/>
      <w:tblCellMar>
        <w:left w:w="115" w:type="dxa"/>
        <w:right w:w="115" w:type="dxa"/>
      </w:tblCellMar>
    </w:tblPr>
  </w:style>
  <w:style w:type="table" w:customStyle="1" w:styleId="afffb">
    <w:basedOn w:val="TableNormal3"/>
    <w:tblPr>
      <w:tblStyleRowBandSize w:val="1"/>
      <w:tblStyleColBandSize w:val="1"/>
      <w:tblCellMar>
        <w:left w:w="115" w:type="dxa"/>
        <w:right w:w="115" w:type="dxa"/>
      </w:tblCellMar>
    </w:tblPr>
  </w:style>
  <w:style w:type="table" w:customStyle="1" w:styleId="afffc">
    <w:basedOn w:val="TableNormal3"/>
    <w:tblPr>
      <w:tblStyleRowBandSize w:val="1"/>
      <w:tblStyleColBandSize w:val="1"/>
      <w:tblCellMar>
        <w:left w:w="115" w:type="dxa"/>
        <w:right w:w="115" w:type="dxa"/>
      </w:tblCellMar>
    </w:tblPr>
  </w:style>
  <w:style w:type="table" w:customStyle="1" w:styleId="afffd">
    <w:basedOn w:val="TableNormal3"/>
    <w:tblPr>
      <w:tblStyleRowBandSize w:val="1"/>
      <w:tblStyleColBandSize w:val="1"/>
      <w:tblCellMar>
        <w:left w:w="115" w:type="dxa"/>
        <w:right w:w="115" w:type="dxa"/>
      </w:tblCellMar>
    </w:tblPr>
  </w:style>
  <w:style w:type="table" w:customStyle="1" w:styleId="afffe">
    <w:basedOn w:val="TableNormal3"/>
    <w:tblPr>
      <w:tblStyleRowBandSize w:val="1"/>
      <w:tblStyleColBandSize w:val="1"/>
      <w:tblCellMar>
        <w:left w:w="115" w:type="dxa"/>
        <w:right w:w="115" w:type="dxa"/>
      </w:tblCellMar>
    </w:tblPr>
  </w:style>
  <w:style w:type="table" w:customStyle="1" w:styleId="affff">
    <w:basedOn w:val="TableNormal3"/>
    <w:tblPr>
      <w:tblStyleRowBandSize w:val="1"/>
      <w:tblStyleColBandSize w:val="1"/>
      <w:tblCellMar>
        <w:left w:w="115" w:type="dxa"/>
        <w:right w:w="115" w:type="dxa"/>
      </w:tblCellMar>
    </w:tblPr>
  </w:style>
  <w:style w:type="table" w:customStyle="1" w:styleId="affff0">
    <w:basedOn w:val="TableNormal2"/>
    <w:tblPr>
      <w:tblStyleRowBandSize w:val="1"/>
      <w:tblStyleColBandSize w:val="1"/>
      <w:tblCellMar>
        <w:left w:w="115" w:type="dxa"/>
        <w:right w:w="115" w:type="dxa"/>
      </w:tblCellMar>
    </w:tblPr>
  </w:style>
  <w:style w:type="table" w:customStyle="1" w:styleId="affff1">
    <w:basedOn w:val="TableNormal2"/>
    <w:tblPr>
      <w:tblStyleRowBandSize w:val="1"/>
      <w:tblStyleColBandSize w:val="1"/>
      <w:tblCellMar>
        <w:left w:w="115" w:type="dxa"/>
        <w:right w:w="115" w:type="dxa"/>
      </w:tblCellMar>
    </w:tblPr>
  </w:style>
  <w:style w:type="table" w:customStyle="1" w:styleId="affff2">
    <w:basedOn w:val="TableNormal2"/>
    <w:tblPr>
      <w:tblStyleRowBandSize w:val="1"/>
      <w:tblStyleColBandSize w:val="1"/>
      <w:tblCellMar>
        <w:left w:w="115" w:type="dxa"/>
        <w:right w:w="115" w:type="dxa"/>
      </w:tblCellMar>
    </w:tblPr>
  </w:style>
  <w:style w:type="table" w:customStyle="1" w:styleId="affff3">
    <w:basedOn w:val="TableNormal2"/>
    <w:tblPr>
      <w:tblStyleRowBandSize w:val="1"/>
      <w:tblStyleColBandSize w:val="1"/>
      <w:tblCellMar>
        <w:left w:w="115" w:type="dxa"/>
        <w:right w:w="115" w:type="dxa"/>
      </w:tblCellMar>
    </w:tblPr>
  </w:style>
  <w:style w:type="table" w:customStyle="1" w:styleId="affff4">
    <w:basedOn w:val="TableNormal2"/>
    <w:tblPr>
      <w:tblStyleRowBandSize w:val="1"/>
      <w:tblStyleColBandSize w:val="1"/>
      <w:tblCellMar>
        <w:left w:w="115" w:type="dxa"/>
        <w:right w:w="115" w:type="dxa"/>
      </w:tblCellMar>
    </w:tblPr>
  </w:style>
  <w:style w:type="table" w:customStyle="1" w:styleId="affff5">
    <w:basedOn w:val="TableNormal2"/>
    <w:tblPr>
      <w:tblStyleRowBandSize w:val="1"/>
      <w:tblStyleColBandSize w:val="1"/>
      <w:tblCellMar>
        <w:left w:w="115" w:type="dxa"/>
        <w:right w:w="115" w:type="dxa"/>
      </w:tblCellMar>
    </w:tblPr>
  </w:style>
  <w:style w:type="table" w:customStyle="1" w:styleId="affff6">
    <w:basedOn w:val="TableNormal2"/>
    <w:tblPr>
      <w:tblStyleRowBandSize w:val="1"/>
      <w:tblStyleColBandSize w:val="1"/>
      <w:tblCellMar>
        <w:left w:w="115" w:type="dxa"/>
        <w:right w:w="115" w:type="dxa"/>
      </w:tblCellMar>
    </w:tblPr>
  </w:style>
  <w:style w:type="table" w:customStyle="1" w:styleId="affff7">
    <w:basedOn w:val="TableNormal2"/>
    <w:tblPr>
      <w:tblStyleRowBandSize w:val="1"/>
      <w:tblStyleColBandSize w:val="1"/>
      <w:tblCellMar>
        <w:left w:w="115" w:type="dxa"/>
        <w:right w:w="115" w:type="dxa"/>
      </w:tblCellMar>
    </w:tblPr>
  </w:style>
  <w:style w:type="table" w:customStyle="1" w:styleId="affff8">
    <w:basedOn w:val="TableNormal2"/>
    <w:tblPr>
      <w:tblStyleRowBandSize w:val="1"/>
      <w:tblStyleColBandSize w:val="1"/>
      <w:tblCellMar>
        <w:left w:w="115" w:type="dxa"/>
        <w:right w:w="115" w:type="dxa"/>
      </w:tblCellMar>
    </w:tblPr>
  </w:style>
  <w:style w:type="table" w:customStyle="1" w:styleId="affff9">
    <w:basedOn w:val="TableNormal2"/>
    <w:tblPr>
      <w:tblStyleRowBandSize w:val="1"/>
      <w:tblStyleColBandSize w:val="1"/>
      <w:tblCellMar>
        <w:left w:w="115" w:type="dxa"/>
        <w:right w:w="115" w:type="dxa"/>
      </w:tblCellMar>
    </w:tblPr>
  </w:style>
  <w:style w:type="table" w:customStyle="1" w:styleId="affffa">
    <w:basedOn w:val="TableNormal2"/>
    <w:tblPr>
      <w:tblStyleRowBandSize w:val="1"/>
      <w:tblStyleColBandSize w:val="1"/>
      <w:tblCellMar>
        <w:left w:w="115" w:type="dxa"/>
        <w:right w:w="115" w:type="dxa"/>
      </w:tblCellMar>
    </w:tblPr>
  </w:style>
  <w:style w:type="table" w:customStyle="1" w:styleId="affffb">
    <w:basedOn w:val="TableNormal2"/>
    <w:tblPr>
      <w:tblStyleRowBandSize w:val="1"/>
      <w:tblStyleColBandSize w:val="1"/>
      <w:tblCellMar>
        <w:left w:w="115" w:type="dxa"/>
        <w:right w:w="115" w:type="dxa"/>
      </w:tblCellMar>
    </w:tblPr>
  </w:style>
  <w:style w:type="table" w:customStyle="1" w:styleId="affffc">
    <w:basedOn w:val="TableNormal2"/>
    <w:tblPr>
      <w:tblStyleRowBandSize w:val="1"/>
      <w:tblStyleColBandSize w:val="1"/>
      <w:tblCellMar>
        <w:left w:w="115" w:type="dxa"/>
        <w:right w:w="115" w:type="dxa"/>
      </w:tblCellMar>
    </w:tblPr>
  </w:style>
  <w:style w:type="table" w:customStyle="1" w:styleId="affffd">
    <w:basedOn w:val="TableNormal2"/>
    <w:tblPr>
      <w:tblStyleRowBandSize w:val="1"/>
      <w:tblStyleColBandSize w:val="1"/>
      <w:tblCellMar>
        <w:left w:w="115" w:type="dxa"/>
        <w:right w:w="115" w:type="dxa"/>
      </w:tblCellMar>
    </w:tblPr>
  </w:style>
  <w:style w:type="table" w:customStyle="1" w:styleId="affffe">
    <w:basedOn w:val="TableNormal2"/>
    <w:tblPr>
      <w:tblStyleRowBandSize w:val="1"/>
      <w:tblStyleColBandSize w:val="1"/>
      <w:tblCellMar>
        <w:left w:w="115" w:type="dxa"/>
        <w:right w:w="115" w:type="dxa"/>
      </w:tblCellMar>
    </w:tblPr>
  </w:style>
  <w:style w:type="table" w:customStyle="1" w:styleId="afffff">
    <w:basedOn w:val="TableNormal2"/>
    <w:tblPr>
      <w:tblStyleRowBandSize w:val="1"/>
      <w:tblStyleColBandSize w:val="1"/>
      <w:tblCellMar>
        <w:left w:w="115" w:type="dxa"/>
        <w:right w:w="115" w:type="dxa"/>
      </w:tblCellMar>
    </w:tblPr>
  </w:style>
  <w:style w:type="table" w:customStyle="1" w:styleId="afffff0">
    <w:basedOn w:val="TableNormal2"/>
    <w:tblPr>
      <w:tblStyleRowBandSize w:val="1"/>
      <w:tblStyleColBandSize w:val="1"/>
      <w:tblCellMar>
        <w:left w:w="115" w:type="dxa"/>
        <w:right w:w="115" w:type="dxa"/>
      </w:tblCellMar>
    </w:tblPr>
  </w:style>
  <w:style w:type="table" w:customStyle="1" w:styleId="afffff1">
    <w:basedOn w:val="TableNormal2"/>
    <w:tblPr>
      <w:tblStyleRowBandSize w:val="1"/>
      <w:tblStyleColBandSize w:val="1"/>
      <w:tblCellMar>
        <w:left w:w="115" w:type="dxa"/>
        <w:right w:w="115" w:type="dxa"/>
      </w:tblCellMar>
    </w:tblPr>
  </w:style>
  <w:style w:type="table" w:customStyle="1" w:styleId="afffff2">
    <w:basedOn w:val="TableNormal2"/>
    <w:tblPr>
      <w:tblStyleRowBandSize w:val="1"/>
      <w:tblStyleColBandSize w:val="1"/>
      <w:tblCellMar>
        <w:left w:w="115" w:type="dxa"/>
        <w:right w:w="115" w:type="dxa"/>
      </w:tblCellMar>
    </w:tblPr>
  </w:style>
  <w:style w:type="table" w:customStyle="1" w:styleId="afffff3">
    <w:basedOn w:val="TableNormal2"/>
    <w:tblPr>
      <w:tblStyleRowBandSize w:val="1"/>
      <w:tblStyleColBandSize w:val="1"/>
      <w:tblCellMar>
        <w:left w:w="115" w:type="dxa"/>
        <w:right w:w="115" w:type="dxa"/>
      </w:tblCellMar>
    </w:tblPr>
  </w:style>
  <w:style w:type="table" w:customStyle="1" w:styleId="afffff4">
    <w:basedOn w:val="TableNormal2"/>
    <w:tblPr>
      <w:tblStyleRowBandSize w:val="1"/>
      <w:tblStyleColBandSize w:val="1"/>
      <w:tblCellMar>
        <w:left w:w="115" w:type="dxa"/>
        <w:right w:w="115" w:type="dxa"/>
      </w:tblCellMar>
    </w:tblPr>
  </w:style>
  <w:style w:type="paragraph" w:styleId="afffff5">
    <w:name w:val="Normal (Web)"/>
    <w:basedOn w:val="a"/>
    <w:uiPriority w:val="99"/>
    <w:unhideWhenUsed/>
    <w:rsid w:val="0067647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fffff6">
    <w:name w:val="Body Text"/>
    <w:basedOn w:val="a"/>
    <w:link w:val="afffff7"/>
    <w:rsid w:val="00CB18BB"/>
    <w:pPr>
      <w:spacing w:after="0" w:line="240" w:lineRule="auto"/>
      <w:jc w:val="both"/>
    </w:pPr>
    <w:rPr>
      <w:rFonts w:ascii="Times New Roman" w:eastAsia="Times New Roman" w:hAnsi="Times New Roman" w:cs="Times New Roman"/>
      <w:sz w:val="28"/>
      <w:szCs w:val="24"/>
    </w:rPr>
  </w:style>
  <w:style w:type="character" w:customStyle="1" w:styleId="afffff7">
    <w:name w:val="Основной текст Знак"/>
    <w:basedOn w:val="a0"/>
    <w:link w:val="afffff6"/>
    <w:rsid w:val="00CB18BB"/>
    <w:rPr>
      <w:rFonts w:ascii="Times New Roman" w:eastAsia="Times New Roman" w:hAnsi="Times New Roman" w:cs="Times New Roman"/>
      <w:sz w:val="28"/>
      <w:szCs w:val="24"/>
    </w:rPr>
  </w:style>
  <w:style w:type="table" w:customStyle="1" w:styleId="afffff8">
    <w:basedOn w:val="TableNormal1"/>
    <w:tblPr>
      <w:tblStyleRowBandSize w:val="1"/>
      <w:tblStyleColBandSize w:val="1"/>
      <w:tblCellMar>
        <w:left w:w="115" w:type="dxa"/>
        <w:right w:w="115" w:type="dxa"/>
      </w:tblCellMar>
    </w:tblPr>
  </w:style>
  <w:style w:type="table" w:customStyle="1" w:styleId="afffff9">
    <w:basedOn w:val="TableNormal1"/>
    <w:tblPr>
      <w:tblStyleRowBandSize w:val="1"/>
      <w:tblStyleColBandSize w:val="1"/>
      <w:tblCellMar>
        <w:left w:w="115" w:type="dxa"/>
        <w:right w:w="115" w:type="dxa"/>
      </w:tblCellMar>
    </w:tblPr>
  </w:style>
  <w:style w:type="table" w:customStyle="1" w:styleId="afffffa">
    <w:basedOn w:val="TableNormal1"/>
    <w:tblPr>
      <w:tblStyleRowBandSize w:val="1"/>
      <w:tblStyleColBandSize w:val="1"/>
      <w:tblCellMar>
        <w:left w:w="115" w:type="dxa"/>
        <w:right w:w="115" w:type="dxa"/>
      </w:tblCellMar>
    </w:tblPr>
  </w:style>
  <w:style w:type="table" w:customStyle="1" w:styleId="afffffb">
    <w:basedOn w:val="TableNormal1"/>
    <w:tblPr>
      <w:tblStyleRowBandSize w:val="1"/>
      <w:tblStyleColBandSize w:val="1"/>
      <w:tblCellMar>
        <w:left w:w="115" w:type="dxa"/>
        <w:right w:w="115" w:type="dxa"/>
      </w:tblCellMar>
    </w:tblPr>
  </w:style>
  <w:style w:type="table" w:customStyle="1" w:styleId="afffffc">
    <w:basedOn w:val="TableNormal1"/>
    <w:tblPr>
      <w:tblStyleRowBandSize w:val="1"/>
      <w:tblStyleColBandSize w:val="1"/>
      <w:tblCellMar>
        <w:left w:w="115" w:type="dxa"/>
        <w:right w:w="115" w:type="dxa"/>
      </w:tblCellMar>
    </w:tblPr>
  </w:style>
  <w:style w:type="table" w:customStyle="1" w:styleId="afffffd">
    <w:basedOn w:val="TableNormal1"/>
    <w:tblPr>
      <w:tblStyleRowBandSize w:val="1"/>
      <w:tblStyleColBandSize w:val="1"/>
      <w:tblCellMar>
        <w:left w:w="115" w:type="dxa"/>
        <w:right w:w="115" w:type="dxa"/>
      </w:tblCellMar>
    </w:tblPr>
  </w:style>
  <w:style w:type="table" w:customStyle="1" w:styleId="afffffe">
    <w:basedOn w:val="TableNormal1"/>
    <w:tblPr>
      <w:tblStyleRowBandSize w:val="1"/>
      <w:tblStyleColBandSize w:val="1"/>
      <w:tblCellMar>
        <w:left w:w="115" w:type="dxa"/>
        <w:right w:w="115" w:type="dxa"/>
      </w:tblCellMar>
    </w:tblPr>
  </w:style>
  <w:style w:type="table" w:customStyle="1" w:styleId="affffff">
    <w:basedOn w:val="TableNormal1"/>
    <w:tblPr>
      <w:tblStyleRowBandSize w:val="1"/>
      <w:tblStyleColBandSize w:val="1"/>
      <w:tblCellMar>
        <w:left w:w="115" w:type="dxa"/>
        <w:right w:w="115" w:type="dxa"/>
      </w:tblCellMar>
    </w:tblPr>
  </w:style>
  <w:style w:type="table" w:customStyle="1" w:styleId="affffff0">
    <w:basedOn w:val="TableNormal1"/>
    <w:tblPr>
      <w:tblStyleRowBandSize w:val="1"/>
      <w:tblStyleColBandSize w:val="1"/>
      <w:tblCellMar>
        <w:left w:w="115" w:type="dxa"/>
        <w:right w:w="115" w:type="dxa"/>
      </w:tblCellMar>
    </w:tblPr>
  </w:style>
  <w:style w:type="table" w:customStyle="1" w:styleId="affffff1">
    <w:basedOn w:val="TableNormal1"/>
    <w:tblPr>
      <w:tblStyleRowBandSize w:val="1"/>
      <w:tblStyleColBandSize w:val="1"/>
      <w:tblCellMar>
        <w:left w:w="115" w:type="dxa"/>
        <w:right w:w="115" w:type="dxa"/>
      </w:tblCellMar>
    </w:tblPr>
  </w:style>
  <w:style w:type="table" w:customStyle="1" w:styleId="affffff2">
    <w:basedOn w:val="TableNormal1"/>
    <w:tblPr>
      <w:tblStyleRowBandSize w:val="1"/>
      <w:tblStyleColBandSize w:val="1"/>
      <w:tblCellMar>
        <w:left w:w="115" w:type="dxa"/>
        <w:right w:w="115" w:type="dxa"/>
      </w:tblCellMar>
    </w:tblPr>
  </w:style>
  <w:style w:type="table" w:customStyle="1" w:styleId="affffff3">
    <w:basedOn w:val="TableNormal1"/>
    <w:tblPr>
      <w:tblStyleRowBandSize w:val="1"/>
      <w:tblStyleColBandSize w:val="1"/>
      <w:tblCellMar>
        <w:left w:w="115" w:type="dxa"/>
        <w:right w:w="115" w:type="dxa"/>
      </w:tblCellMar>
    </w:tblPr>
  </w:style>
  <w:style w:type="table" w:customStyle="1" w:styleId="affffff4">
    <w:basedOn w:val="TableNormal1"/>
    <w:tblPr>
      <w:tblStyleRowBandSize w:val="1"/>
      <w:tblStyleColBandSize w:val="1"/>
      <w:tblCellMar>
        <w:left w:w="115" w:type="dxa"/>
        <w:right w:w="115" w:type="dxa"/>
      </w:tblCellMar>
    </w:tblPr>
  </w:style>
  <w:style w:type="table" w:customStyle="1" w:styleId="affffff5">
    <w:basedOn w:val="TableNormal1"/>
    <w:tblPr>
      <w:tblStyleRowBandSize w:val="1"/>
      <w:tblStyleColBandSize w:val="1"/>
      <w:tblCellMar>
        <w:left w:w="115" w:type="dxa"/>
        <w:right w:w="115" w:type="dxa"/>
      </w:tblCellMar>
    </w:tblPr>
  </w:style>
  <w:style w:type="table" w:customStyle="1" w:styleId="affffff6">
    <w:basedOn w:val="TableNormal1"/>
    <w:tblPr>
      <w:tblStyleRowBandSize w:val="1"/>
      <w:tblStyleColBandSize w:val="1"/>
      <w:tblCellMar>
        <w:left w:w="115" w:type="dxa"/>
        <w:right w:w="115" w:type="dxa"/>
      </w:tblCellMar>
    </w:tblPr>
  </w:style>
  <w:style w:type="table" w:customStyle="1" w:styleId="affffff7">
    <w:basedOn w:val="TableNormal1"/>
    <w:tblPr>
      <w:tblStyleRowBandSize w:val="1"/>
      <w:tblStyleColBandSize w:val="1"/>
      <w:tblCellMar>
        <w:left w:w="115" w:type="dxa"/>
        <w:right w:w="115" w:type="dxa"/>
      </w:tblCellMar>
    </w:tblPr>
  </w:style>
  <w:style w:type="table" w:customStyle="1" w:styleId="affffff8">
    <w:basedOn w:val="TableNormal1"/>
    <w:tblPr>
      <w:tblStyleRowBandSize w:val="1"/>
      <w:tblStyleColBandSize w:val="1"/>
      <w:tblCellMar>
        <w:left w:w="115" w:type="dxa"/>
        <w:right w:w="115" w:type="dxa"/>
      </w:tblCellMar>
    </w:tblPr>
  </w:style>
  <w:style w:type="table" w:customStyle="1" w:styleId="affffff9">
    <w:basedOn w:val="TableNormal1"/>
    <w:tblPr>
      <w:tblStyleRowBandSize w:val="1"/>
      <w:tblStyleColBandSize w:val="1"/>
      <w:tblCellMar>
        <w:left w:w="115" w:type="dxa"/>
        <w:right w:w="115" w:type="dxa"/>
      </w:tblCellMar>
    </w:tblPr>
  </w:style>
  <w:style w:type="table" w:customStyle="1" w:styleId="affffffa">
    <w:basedOn w:val="TableNormal1"/>
    <w:tblPr>
      <w:tblStyleRowBandSize w:val="1"/>
      <w:tblStyleColBandSize w:val="1"/>
      <w:tblCellMar>
        <w:left w:w="115" w:type="dxa"/>
        <w:right w:w="115" w:type="dxa"/>
      </w:tblCellMar>
    </w:tblPr>
  </w:style>
  <w:style w:type="table" w:customStyle="1" w:styleId="affffffb">
    <w:basedOn w:val="TableNormal1"/>
    <w:tblPr>
      <w:tblStyleRowBandSize w:val="1"/>
      <w:tblStyleColBandSize w:val="1"/>
      <w:tblCellMar>
        <w:left w:w="115" w:type="dxa"/>
        <w:right w:w="115" w:type="dxa"/>
      </w:tblCellMar>
    </w:tblPr>
  </w:style>
  <w:style w:type="table" w:customStyle="1" w:styleId="affffffc">
    <w:basedOn w:val="TableNormal1"/>
    <w:tblPr>
      <w:tblStyleRowBandSize w:val="1"/>
      <w:tblStyleColBandSize w:val="1"/>
      <w:tblCellMar>
        <w:left w:w="115" w:type="dxa"/>
        <w:right w:w="115" w:type="dxa"/>
      </w:tblCellMar>
    </w:tblPr>
  </w:style>
  <w:style w:type="table" w:customStyle="1" w:styleId="affffffd">
    <w:basedOn w:val="TableNormal1"/>
    <w:tblPr>
      <w:tblStyleRowBandSize w:val="1"/>
      <w:tblStyleColBandSize w:val="1"/>
      <w:tblCellMar>
        <w:left w:w="115" w:type="dxa"/>
        <w:right w:w="115" w:type="dxa"/>
      </w:tblCellMar>
    </w:tblPr>
  </w:style>
  <w:style w:type="table" w:customStyle="1" w:styleId="affffffe">
    <w:basedOn w:val="TableNormal1"/>
    <w:tblPr>
      <w:tblStyleRowBandSize w:val="1"/>
      <w:tblStyleColBandSize w:val="1"/>
      <w:tblCellMar>
        <w:left w:w="115" w:type="dxa"/>
        <w:right w:w="115" w:type="dxa"/>
      </w:tblCellMar>
    </w:tblPr>
  </w:style>
  <w:style w:type="table" w:customStyle="1" w:styleId="afffffff">
    <w:basedOn w:val="TableNormal1"/>
    <w:tblPr>
      <w:tblStyleRowBandSize w:val="1"/>
      <w:tblStyleColBandSize w:val="1"/>
      <w:tblCellMar>
        <w:left w:w="115" w:type="dxa"/>
        <w:right w:w="115" w:type="dxa"/>
      </w:tblCellMar>
    </w:tblPr>
  </w:style>
  <w:style w:type="table" w:customStyle="1" w:styleId="afffffff0">
    <w:basedOn w:val="TableNormal1"/>
    <w:tblPr>
      <w:tblStyleRowBandSize w:val="1"/>
      <w:tblStyleColBandSize w:val="1"/>
      <w:tblCellMar>
        <w:left w:w="115" w:type="dxa"/>
        <w:right w:w="115" w:type="dxa"/>
      </w:tblCellMar>
    </w:tblPr>
  </w:style>
  <w:style w:type="table" w:customStyle="1" w:styleId="afffffff1">
    <w:basedOn w:val="TableNormal1"/>
    <w:tblPr>
      <w:tblStyleRowBandSize w:val="1"/>
      <w:tblStyleColBandSize w:val="1"/>
      <w:tblCellMar>
        <w:left w:w="115" w:type="dxa"/>
        <w:right w:w="115" w:type="dxa"/>
      </w:tblCellMar>
    </w:tblPr>
  </w:style>
  <w:style w:type="table" w:customStyle="1" w:styleId="afffffff2">
    <w:basedOn w:val="TableNormal1"/>
    <w:tblPr>
      <w:tblStyleRowBandSize w:val="1"/>
      <w:tblStyleColBandSize w:val="1"/>
      <w:tblCellMar>
        <w:left w:w="115" w:type="dxa"/>
        <w:right w:w="115" w:type="dxa"/>
      </w:tblCellMar>
    </w:tblPr>
  </w:style>
  <w:style w:type="table" w:customStyle="1" w:styleId="afffffff3">
    <w:basedOn w:val="TableNormal1"/>
    <w:tblPr>
      <w:tblStyleRowBandSize w:val="1"/>
      <w:tblStyleColBandSize w:val="1"/>
      <w:tblCellMar>
        <w:left w:w="115" w:type="dxa"/>
        <w:right w:w="115" w:type="dxa"/>
      </w:tblCellMar>
    </w:tblPr>
  </w:style>
  <w:style w:type="table" w:customStyle="1" w:styleId="afffffff4">
    <w:basedOn w:val="TableNormal1"/>
    <w:tblPr>
      <w:tblStyleRowBandSize w:val="1"/>
      <w:tblStyleColBandSize w:val="1"/>
      <w:tblCellMar>
        <w:left w:w="115" w:type="dxa"/>
        <w:right w:w="115" w:type="dxa"/>
      </w:tblCellMar>
    </w:tblPr>
  </w:style>
  <w:style w:type="table" w:customStyle="1" w:styleId="afffffff5">
    <w:basedOn w:val="TableNormal1"/>
    <w:tblPr>
      <w:tblStyleRowBandSize w:val="1"/>
      <w:tblStyleColBandSize w:val="1"/>
      <w:tblCellMar>
        <w:left w:w="115" w:type="dxa"/>
        <w:right w:w="115" w:type="dxa"/>
      </w:tblCellMar>
    </w:tblPr>
  </w:style>
  <w:style w:type="table" w:customStyle="1" w:styleId="afffffff6">
    <w:basedOn w:val="TableNormal1"/>
    <w:tblPr>
      <w:tblStyleRowBandSize w:val="1"/>
      <w:tblStyleColBandSize w:val="1"/>
      <w:tblCellMar>
        <w:left w:w="115" w:type="dxa"/>
        <w:right w:w="115" w:type="dxa"/>
      </w:tblCellMar>
    </w:tblPr>
  </w:style>
  <w:style w:type="table" w:customStyle="1" w:styleId="afffffff7">
    <w:basedOn w:val="TableNormal1"/>
    <w:tblPr>
      <w:tblStyleRowBandSize w:val="1"/>
      <w:tblStyleColBandSize w:val="1"/>
      <w:tblCellMar>
        <w:left w:w="115" w:type="dxa"/>
        <w:right w:w="115" w:type="dxa"/>
      </w:tblCellMar>
    </w:tblPr>
  </w:style>
  <w:style w:type="table" w:customStyle="1" w:styleId="afffffff8">
    <w:basedOn w:val="TableNormal1"/>
    <w:tblPr>
      <w:tblStyleRowBandSize w:val="1"/>
      <w:tblStyleColBandSize w:val="1"/>
      <w:tblCellMar>
        <w:left w:w="115" w:type="dxa"/>
        <w:right w:w="115" w:type="dxa"/>
      </w:tblCellMar>
    </w:tblPr>
  </w:style>
  <w:style w:type="table" w:customStyle="1" w:styleId="afffffff9">
    <w:basedOn w:val="TableNormal1"/>
    <w:tblPr>
      <w:tblStyleRowBandSize w:val="1"/>
      <w:tblStyleColBandSize w:val="1"/>
      <w:tblCellMar>
        <w:left w:w="115" w:type="dxa"/>
        <w:right w:w="115" w:type="dxa"/>
      </w:tblCellMar>
    </w:tblPr>
  </w:style>
  <w:style w:type="table" w:customStyle="1" w:styleId="afffffffa">
    <w:basedOn w:val="TableNormal1"/>
    <w:tblPr>
      <w:tblStyleRowBandSize w:val="1"/>
      <w:tblStyleColBandSize w:val="1"/>
      <w:tblCellMar>
        <w:left w:w="115" w:type="dxa"/>
        <w:right w:w="115" w:type="dxa"/>
      </w:tblCellMar>
    </w:tblPr>
  </w:style>
  <w:style w:type="table" w:customStyle="1" w:styleId="afffffffb">
    <w:basedOn w:val="TableNormal1"/>
    <w:tblPr>
      <w:tblStyleRowBandSize w:val="1"/>
      <w:tblStyleColBandSize w:val="1"/>
      <w:tblCellMar>
        <w:left w:w="115" w:type="dxa"/>
        <w:right w:w="115" w:type="dxa"/>
      </w:tblCellMar>
    </w:tblPr>
  </w:style>
  <w:style w:type="table" w:customStyle="1" w:styleId="afffffffc">
    <w:basedOn w:val="TableNormal1"/>
    <w:tblPr>
      <w:tblStyleRowBandSize w:val="1"/>
      <w:tblStyleColBandSize w:val="1"/>
      <w:tblCellMar>
        <w:left w:w="115" w:type="dxa"/>
        <w:right w:w="115" w:type="dxa"/>
      </w:tblCellMar>
    </w:tblPr>
  </w:style>
  <w:style w:type="table" w:customStyle="1" w:styleId="afffffffd">
    <w:basedOn w:val="TableNormal1"/>
    <w:tblPr>
      <w:tblStyleRowBandSize w:val="1"/>
      <w:tblStyleColBandSize w:val="1"/>
      <w:tblCellMar>
        <w:left w:w="115" w:type="dxa"/>
        <w:right w:w="115" w:type="dxa"/>
      </w:tblCellMar>
    </w:tblPr>
  </w:style>
  <w:style w:type="paragraph" w:customStyle="1" w:styleId="Default">
    <w:name w:val="Default"/>
    <w:rsid w:val="005E2770"/>
    <w:pPr>
      <w:autoSpaceDE w:val="0"/>
      <w:autoSpaceDN w:val="0"/>
      <w:adjustRightInd w:val="0"/>
      <w:spacing w:after="0" w:line="240" w:lineRule="auto"/>
    </w:pPr>
    <w:rPr>
      <w:rFonts w:ascii="Times New Roman" w:hAnsi="Times New Roman" w:cs="Times New Roman"/>
      <w:color w:val="000000"/>
      <w:sz w:val="24"/>
      <w:szCs w:val="24"/>
      <w:lang w:val="ru-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uri=uriserv:OJ.L_.2018.328.01.0082.01.ENG" TargetMode="External"/><Relationship Id="rId13" Type="http://schemas.openxmlformats.org/officeDocument/2006/relationships/hyperlink" Target="https://eur-lex.europa.eu/legal-content/EN/TXT/?uri=CELEX:52020DC0301" TargetMode="External"/><Relationship Id="rId18" Type="http://schemas.openxmlformats.org/officeDocument/2006/relationships/hyperlink" Target="https://ua.energy/wp-content/uploads/2020/03/Zvit-z-otsinky-dostatnosti-generuyuchyh-potuzhnostej-2019.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aee.gov.ua/uk/news/4043" TargetMode="External"/><Relationship Id="rId17" Type="http://schemas.openxmlformats.org/officeDocument/2006/relationships/hyperlink" Target="https://ua-energy.org/uk/posts/naiavni-potuzhnosti-ta-potentsial-eksportu-zelenoho-vodniu-z-ukrainy-do-yes" TargetMode="External"/><Relationship Id="rId2" Type="http://schemas.openxmlformats.org/officeDocument/2006/relationships/numbering" Target="numbering.xml"/><Relationship Id="rId16" Type="http://schemas.openxmlformats.org/officeDocument/2006/relationships/hyperlink" Target="https://saee.gov.ua/uk/activity/vidnovlyuvana-enerhetyka/potentsia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xpro.com.ua/novini/vstanovlena-potujnst-obktv-vde-v-ukran-za--pvrchchya-2021r-zblshilas-na-83-do-9225-mvt" TargetMode="External"/><Relationship Id="rId5" Type="http://schemas.openxmlformats.org/officeDocument/2006/relationships/webSettings" Target="webSettings.xml"/><Relationship Id="rId15" Type="http://schemas.openxmlformats.org/officeDocument/2006/relationships/hyperlink" Target="https://view.officeapps.live.com/op/view.aspx?src=http%3A%2F%2Fwww.ukrstat.gov.ua%2Foperativ%2Foperativ2021%2Fenerg%2FEn_bal%2FBal_2020_ue.xls&amp;wdOrigin=BROWSELINK" TargetMode="External"/><Relationship Id="rId10" Type="http://schemas.openxmlformats.org/officeDocument/2006/relationships/hyperlink" Target="https://www.google.com/url?sa=t&amp;rct=j&amp;q=&amp;esrc=s&amp;source=web&amp;cd=&amp;ved=2ahUKEwiZ7aP6wfD1AhXt-ioKHbTiBhcQFnoECAMQAQ&amp;url=https%3A%2F%2Fenergy-community.org%2Fdam%2Fjcr%3A78fd6b72-436f-45e7-aef5-5ade1d53f92a%2FDirective_2018-2001.pdf&amp;usg=AOvVaw2jeNOi0vP3NJ7Ba9WBGFEO"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info/strategy/priorities-2019-2024/european-green-deal/delivering-european-green-deal_en" TargetMode="External"/><Relationship Id="rId14" Type="http://schemas.openxmlformats.org/officeDocument/2006/relationships/hyperlink" Target="https://saee.gov.ua/uk/activity/vidnovlyuvana-enerhetyka/potentsial"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rlSJB69YjE0t6mnObmJCh2kmVg==">AMUW2mWicfzdJNEtcpFL9r+O0s9wvswmDM6Tw+X2q4y1ChxwdaDkg/iaOCXVX88NKH1lg9alTseoX5EX3qlzyPG26gs//+pKQBxFqaL/+g4Pl5w0+QqsdNVR7dfVnka+1zcVwv+eXL0CYCUvGJ8lHe4hwmModeq/qpUFXrSaanTLxg10JZd3XAMLpL7VpBTpj7ZOQMVfCz84GDhyXC+m0UAVTZTZs2xIjyOmuqDo3mPlowxnPsJW6XhtEm/q+49EPU0sUxQFbSt7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88</Pages>
  <Words>36196</Words>
  <Characters>206318</Characters>
  <Application>Microsoft Office Word</Application>
  <DocSecurity>0</DocSecurity>
  <Lines>1719</Lines>
  <Paragraphs>484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Ира Сісоева</dc:creator>
  <cp:lastModifiedBy>Ivan</cp:lastModifiedBy>
  <cp:revision>4</cp:revision>
  <dcterms:created xsi:type="dcterms:W3CDTF">2022-12-04T15:27:00Z</dcterms:created>
  <dcterms:modified xsi:type="dcterms:W3CDTF">2022-12-04T19:01:00Z</dcterms:modified>
</cp:coreProperties>
</file>