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0D3" w:rsidRPr="005B20D3" w:rsidRDefault="005B20D3" w:rsidP="005B20D3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5B20D3">
        <w:rPr>
          <w:rFonts w:ascii="Times New Roman" w:hAnsi="Times New Roman"/>
          <w:sz w:val="28"/>
          <w:szCs w:val="28"/>
        </w:rPr>
        <w:t>Додаток 2</w:t>
      </w:r>
    </w:p>
    <w:p w:rsidR="005B20D3" w:rsidRPr="005B20D3" w:rsidRDefault="005B20D3" w:rsidP="005B20D3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</w:t>
      </w:r>
      <w:r w:rsidRPr="005B20D3">
        <w:rPr>
          <w:rFonts w:ascii="Times New Roman" w:hAnsi="Times New Roman"/>
          <w:sz w:val="28"/>
          <w:szCs w:val="28"/>
        </w:rPr>
        <w:t xml:space="preserve"> Технічного регламенту</w:t>
      </w:r>
    </w:p>
    <w:p w:rsidR="005B20D3" w:rsidRPr="005B20D3" w:rsidRDefault="005B20D3" w:rsidP="005B20D3">
      <w:pPr>
        <w:spacing w:before="240"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B20D3">
        <w:rPr>
          <w:rFonts w:ascii="Times New Roman" w:hAnsi="Times New Roman"/>
          <w:b/>
          <w:sz w:val="28"/>
          <w:szCs w:val="28"/>
        </w:rPr>
        <w:t>Методи вимірювань і розрахунків</w:t>
      </w:r>
    </w:p>
    <w:p w:rsidR="005B20D3" w:rsidRPr="005B20D3" w:rsidRDefault="005B20D3" w:rsidP="005B20D3">
      <w:pPr>
        <w:spacing w:before="240"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B20D3">
        <w:rPr>
          <w:rFonts w:ascii="Times New Roman" w:hAnsi="Times New Roman"/>
          <w:sz w:val="28"/>
          <w:szCs w:val="28"/>
        </w:rPr>
        <w:t xml:space="preserve">Для цілей забезпечення відповідності </w:t>
      </w:r>
      <w:r w:rsidR="002145F3">
        <w:rPr>
          <w:rFonts w:ascii="Times New Roman" w:hAnsi="Times New Roman"/>
          <w:sz w:val="28"/>
          <w:szCs w:val="28"/>
        </w:rPr>
        <w:t>вимогам</w:t>
      </w:r>
      <w:r w:rsidRPr="005B20D3">
        <w:rPr>
          <w:rFonts w:ascii="Times New Roman" w:hAnsi="Times New Roman"/>
          <w:sz w:val="28"/>
          <w:szCs w:val="28"/>
        </w:rPr>
        <w:t xml:space="preserve"> </w:t>
      </w:r>
      <w:r w:rsidR="001C0423">
        <w:rPr>
          <w:rFonts w:ascii="Times New Roman" w:hAnsi="Times New Roman"/>
          <w:sz w:val="28"/>
          <w:szCs w:val="28"/>
        </w:rPr>
        <w:t>до</w:t>
      </w:r>
      <w:r w:rsidRPr="005B20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20D3">
        <w:rPr>
          <w:rFonts w:ascii="Times New Roman" w:hAnsi="Times New Roman"/>
          <w:sz w:val="28"/>
          <w:szCs w:val="28"/>
        </w:rPr>
        <w:t>екодизайну</w:t>
      </w:r>
      <w:proofErr w:type="spellEnd"/>
      <w:r w:rsidRPr="005B20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5B20D3">
        <w:rPr>
          <w:rFonts w:ascii="Times New Roman" w:hAnsi="Times New Roman"/>
          <w:sz w:val="28"/>
          <w:szCs w:val="28"/>
        </w:rPr>
        <w:t xml:space="preserve">двигунів вимірювання і розрахунки проводяться із застосуванням надійних, точних та відтворюваних методів, які враховують загальновизнані сучасні методи та результати яких </w:t>
      </w:r>
      <w:r w:rsidR="00DC2868">
        <w:rPr>
          <w:rFonts w:ascii="Times New Roman" w:hAnsi="Times New Roman"/>
          <w:sz w:val="28"/>
          <w:szCs w:val="28"/>
        </w:rPr>
        <w:t>мають низький рівень неточності</w:t>
      </w:r>
      <w:r w:rsidRPr="005B20D3">
        <w:rPr>
          <w:rFonts w:ascii="Times New Roman" w:hAnsi="Times New Roman"/>
          <w:sz w:val="28"/>
          <w:szCs w:val="28"/>
        </w:rPr>
        <w:t xml:space="preserve">, у тому числі методи, встановлені у стандартах з переліку національних стандартів, відповідність яким надає презумпцію відповідності електричних двигунів вимогам Технічного регламенту щодо </w:t>
      </w:r>
      <w:r>
        <w:rPr>
          <w:rFonts w:ascii="Times New Roman" w:hAnsi="Times New Roman"/>
          <w:sz w:val="28"/>
          <w:szCs w:val="28"/>
        </w:rPr>
        <w:t xml:space="preserve">вимог </w:t>
      </w:r>
      <w:r w:rsidR="001C0423">
        <w:rPr>
          <w:rFonts w:ascii="Times New Roman" w:hAnsi="Times New Roman"/>
          <w:sz w:val="28"/>
          <w:szCs w:val="28"/>
        </w:rPr>
        <w:t>до</w:t>
      </w:r>
      <w:bookmarkStart w:id="0" w:name="_GoBack"/>
      <w:bookmarkEnd w:id="0"/>
      <w:r w:rsidRPr="005B20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20D3">
        <w:rPr>
          <w:rFonts w:ascii="Times New Roman" w:hAnsi="Times New Roman"/>
          <w:sz w:val="28"/>
          <w:szCs w:val="28"/>
        </w:rPr>
        <w:t>екодизайну</w:t>
      </w:r>
      <w:proofErr w:type="spellEnd"/>
      <w:r w:rsidRPr="005B20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електричних двигунів</w:t>
      </w:r>
      <w:r w:rsidRPr="005B20D3">
        <w:rPr>
          <w:rFonts w:ascii="Times New Roman" w:hAnsi="Times New Roman"/>
          <w:sz w:val="28"/>
          <w:szCs w:val="28"/>
        </w:rPr>
        <w:t>.</w:t>
      </w:r>
    </w:p>
    <w:p w:rsidR="005B20D3" w:rsidRPr="005B20D3" w:rsidRDefault="005B20D3" w:rsidP="005B20D3">
      <w:pPr>
        <w:pStyle w:val="a3"/>
        <w:tabs>
          <w:tab w:val="left" w:pos="284"/>
        </w:tabs>
        <w:spacing w:before="240"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B20D3">
        <w:rPr>
          <w:rFonts w:ascii="Times New Roman" w:hAnsi="Times New Roman"/>
          <w:sz w:val="28"/>
          <w:szCs w:val="28"/>
        </w:rPr>
        <w:t>Коефіцієнт корисної дії – відношення корисної механічної потужності до потужності електричного входу.</w:t>
      </w:r>
    </w:p>
    <w:p w:rsidR="005B20D3" w:rsidRPr="005B20D3" w:rsidRDefault="005B20D3" w:rsidP="005B20D3">
      <w:pPr>
        <w:pStyle w:val="a3"/>
        <w:tabs>
          <w:tab w:val="left" w:pos="284"/>
        </w:tabs>
        <w:spacing w:before="240"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B20D3">
        <w:rPr>
          <w:rFonts w:ascii="Times New Roman" w:hAnsi="Times New Roman"/>
          <w:sz w:val="28"/>
          <w:szCs w:val="28"/>
        </w:rPr>
        <w:t>Коефіцієнт корисної дії</w:t>
      </w:r>
      <w:r>
        <w:rPr>
          <w:rFonts w:ascii="Times New Roman" w:hAnsi="Times New Roman"/>
          <w:sz w:val="28"/>
          <w:szCs w:val="28"/>
        </w:rPr>
        <w:t xml:space="preserve"> двигуна, як зазначено в д</w:t>
      </w:r>
      <w:r w:rsidRPr="005B20D3">
        <w:rPr>
          <w:rFonts w:ascii="Times New Roman" w:hAnsi="Times New Roman"/>
          <w:sz w:val="28"/>
          <w:szCs w:val="28"/>
        </w:rPr>
        <w:t>одатку 1, має бути визначений за номінальною вихідною потужністю (P</w:t>
      </w:r>
      <w:r w:rsidRPr="005B20D3">
        <w:rPr>
          <w:rFonts w:ascii="Times New Roman" w:hAnsi="Times New Roman"/>
          <w:sz w:val="28"/>
          <w:szCs w:val="28"/>
          <w:vertAlign w:val="subscript"/>
        </w:rPr>
        <w:t>N</w:t>
      </w:r>
      <w:r w:rsidRPr="005B20D3">
        <w:rPr>
          <w:rFonts w:ascii="Times New Roman" w:hAnsi="Times New Roman"/>
          <w:sz w:val="28"/>
          <w:szCs w:val="28"/>
        </w:rPr>
        <w:t>), номінальною напругою (U</w:t>
      </w:r>
      <w:r w:rsidRPr="005B20D3">
        <w:rPr>
          <w:rFonts w:ascii="Times New Roman" w:hAnsi="Times New Roman"/>
          <w:sz w:val="28"/>
          <w:szCs w:val="28"/>
          <w:vertAlign w:val="subscript"/>
        </w:rPr>
        <w:t>N</w:t>
      </w:r>
      <w:r w:rsidRPr="005B20D3">
        <w:rPr>
          <w:rFonts w:ascii="Times New Roman" w:hAnsi="Times New Roman"/>
          <w:sz w:val="28"/>
          <w:szCs w:val="28"/>
        </w:rPr>
        <w:t>) та номінальною частотою (</w:t>
      </w:r>
      <w:proofErr w:type="spellStart"/>
      <w:r w:rsidRPr="005B20D3">
        <w:rPr>
          <w:rFonts w:ascii="Times New Roman" w:hAnsi="Times New Roman"/>
          <w:sz w:val="28"/>
          <w:szCs w:val="28"/>
        </w:rPr>
        <w:t>f</w:t>
      </w:r>
      <w:r w:rsidRPr="005B20D3">
        <w:rPr>
          <w:rFonts w:ascii="Times New Roman" w:hAnsi="Times New Roman"/>
          <w:sz w:val="28"/>
          <w:szCs w:val="28"/>
          <w:vertAlign w:val="subscript"/>
        </w:rPr>
        <w:t>N</w:t>
      </w:r>
      <w:proofErr w:type="spellEnd"/>
      <w:r w:rsidRPr="005B20D3">
        <w:rPr>
          <w:rFonts w:ascii="Times New Roman" w:hAnsi="Times New Roman"/>
          <w:sz w:val="28"/>
          <w:szCs w:val="28"/>
        </w:rPr>
        <w:t>).</w:t>
      </w:r>
    </w:p>
    <w:p w:rsidR="005B20D3" w:rsidRPr="005B20D3" w:rsidRDefault="005B20D3" w:rsidP="005B20D3">
      <w:pPr>
        <w:pStyle w:val="a3"/>
        <w:tabs>
          <w:tab w:val="left" w:pos="284"/>
        </w:tabs>
        <w:spacing w:before="240"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B20D3">
        <w:rPr>
          <w:rFonts w:ascii="Times New Roman" w:hAnsi="Times New Roman"/>
          <w:sz w:val="28"/>
          <w:szCs w:val="28"/>
        </w:rPr>
        <w:t>Різниця між корисною механічною потужністю та механічною потужністю на вході відповідає втраті енергії, яка виникає у двигуні.</w:t>
      </w:r>
    </w:p>
    <w:p w:rsidR="005B20D3" w:rsidRPr="005B20D3" w:rsidRDefault="005B20D3" w:rsidP="005B20D3">
      <w:pPr>
        <w:pStyle w:val="a3"/>
        <w:tabs>
          <w:tab w:val="left" w:pos="284"/>
        </w:tabs>
        <w:spacing w:before="240"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B20D3">
        <w:rPr>
          <w:rFonts w:ascii="Times New Roman" w:hAnsi="Times New Roman"/>
          <w:sz w:val="28"/>
          <w:szCs w:val="28"/>
        </w:rPr>
        <w:t>Загальна втрата енергії визначається наступними методами:</w:t>
      </w:r>
    </w:p>
    <w:p w:rsidR="005B20D3" w:rsidRPr="005B20D3" w:rsidRDefault="005B20D3" w:rsidP="005B20D3">
      <w:pPr>
        <w:pStyle w:val="a3"/>
        <w:numPr>
          <w:ilvl w:val="0"/>
          <w:numId w:val="1"/>
        </w:numPr>
        <w:tabs>
          <w:tab w:val="left" w:pos="284"/>
        </w:tabs>
        <w:spacing w:before="240"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B20D3">
        <w:rPr>
          <w:rFonts w:ascii="Times New Roman" w:hAnsi="Times New Roman"/>
          <w:sz w:val="28"/>
          <w:szCs w:val="28"/>
        </w:rPr>
        <w:t>имірювання загальної втрати енергії, або</w:t>
      </w:r>
    </w:p>
    <w:p w:rsidR="005B20D3" w:rsidRDefault="005B20D3" w:rsidP="005B20D3">
      <w:pPr>
        <w:pStyle w:val="a3"/>
        <w:numPr>
          <w:ilvl w:val="0"/>
          <w:numId w:val="1"/>
        </w:numPr>
        <w:tabs>
          <w:tab w:val="left" w:pos="284"/>
        </w:tabs>
        <w:spacing w:before="240"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B20D3">
        <w:rPr>
          <w:rFonts w:ascii="Times New Roman" w:hAnsi="Times New Roman"/>
          <w:sz w:val="28"/>
          <w:szCs w:val="28"/>
        </w:rPr>
        <w:t>изначення окремих втрат енергій в сумі.</w:t>
      </w:r>
    </w:p>
    <w:p w:rsidR="005B20D3" w:rsidRPr="005B20D3" w:rsidRDefault="005B20D3" w:rsidP="005B20D3">
      <w:pPr>
        <w:pStyle w:val="a3"/>
        <w:tabs>
          <w:tab w:val="left" w:pos="284"/>
        </w:tabs>
        <w:spacing w:before="240" w:after="0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</w:p>
    <w:p w:rsidR="005B20D3" w:rsidRPr="005B20D3" w:rsidRDefault="005B20D3" w:rsidP="005B20D3">
      <w:pPr>
        <w:pStyle w:val="a3"/>
        <w:tabs>
          <w:tab w:val="left" w:pos="284"/>
        </w:tabs>
        <w:spacing w:before="240"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4997" w:rsidRDefault="00FD4997" w:rsidP="005B20D3">
      <w:pPr>
        <w:spacing w:before="240" w:after="0"/>
        <w:ind w:firstLine="567"/>
      </w:pPr>
    </w:p>
    <w:sectPr w:rsidR="00FD4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15D7C"/>
    <w:multiLevelType w:val="multilevel"/>
    <w:tmpl w:val="4882EF9E"/>
    <w:lvl w:ilvl="0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Antiqua" w:hint="default"/>
      </w:rPr>
    </w:lvl>
    <w:lvl w:ilvl="1">
      <w:start w:val="5"/>
      <w:numFmt w:val="decimal"/>
      <w:lvlText w:val="%2"/>
      <w:lvlJc w:val="left"/>
      <w:pPr>
        <w:ind w:left="18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8BF"/>
    <w:rsid w:val="001C0423"/>
    <w:rsid w:val="002145F3"/>
    <w:rsid w:val="003438BF"/>
    <w:rsid w:val="005B20D3"/>
    <w:rsid w:val="00DC2868"/>
    <w:rsid w:val="00FD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92258"/>
  <w15:chartTrackingRefBased/>
  <w15:docId w15:val="{AEBAAB0F-82C7-49A9-9941-365DF2F2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0D3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0D3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170</Words>
  <Characters>973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2017-06-01T11:23:00Z</dcterms:created>
  <dcterms:modified xsi:type="dcterms:W3CDTF">2017-07-17T09:39:00Z</dcterms:modified>
</cp:coreProperties>
</file>