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840" w:rsidRPr="00641840" w:rsidRDefault="00641840" w:rsidP="00641840">
      <w:pPr>
        <w:spacing w:after="0"/>
        <w:ind w:left="6096"/>
        <w:jc w:val="center"/>
        <w:rPr>
          <w:rFonts w:ascii="Times New Roman" w:hAnsi="Times New Roman"/>
          <w:sz w:val="28"/>
          <w:szCs w:val="28"/>
        </w:rPr>
      </w:pPr>
      <w:r w:rsidRPr="00641840">
        <w:rPr>
          <w:rFonts w:ascii="Times New Roman" w:hAnsi="Times New Roman"/>
          <w:sz w:val="28"/>
          <w:szCs w:val="28"/>
        </w:rPr>
        <w:t>Додаток 3</w:t>
      </w:r>
    </w:p>
    <w:p w:rsidR="00641840" w:rsidRPr="00641840" w:rsidRDefault="00641840" w:rsidP="00641840">
      <w:pPr>
        <w:spacing w:after="0"/>
        <w:ind w:left="609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641840">
        <w:rPr>
          <w:rFonts w:ascii="Times New Roman" w:hAnsi="Times New Roman"/>
          <w:sz w:val="28"/>
          <w:szCs w:val="28"/>
        </w:rPr>
        <w:t>о Технічного регламенту</w:t>
      </w:r>
    </w:p>
    <w:p w:rsidR="00641840" w:rsidRDefault="00641840" w:rsidP="0064184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41840" w:rsidRPr="00641840" w:rsidRDefault="00641840" w:rsidP="0064184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41840">
        <w:rPr>
          <w:rFonts w:ascii="Times New Roman" w:hAnsi="Times New Roman"/>
          <w:b/>
          <w:sz w:val="28"/>
          <w:szCs w:val="28"/>
        </w:rPr>
        <w:t>Вимоги щодо проведення перевірки відповідності екологічних характеристик двигунів</w:t>
      </w:r>
      <w:r w:rsidR="00F53C15">
        <w:rPr>
          <w:rFonts w:ascii="Times New Roman" w:hAnsi="Times New Roman"/>
          <w:b/>
          <w:sz w:val="28"/>
          <w:szCs w:val="28"/>
        </w:rPr>
        <w:t xml:space="preserve"> під час здійснення державного ринкового нагляду</w:t>
      </w:r>
      <w:r w:rsidRPr="00641840">
        <w:rPr>
          <w:rFonts w:ascii="Times New Roman" w:hAnsi="Times New Roman"/>
          <w:b/>
          <w:sz w:val="28"/>
          <w:szCs w:val="28"/>
        </w:rPr>
        <w:t xml:space="preserve"> вимогам Технічного регламенту </w:t>
      </w:r>
    </w:p>
    <w:p w:rsidR="00641840" w:rsidRPr="00641840" w:rsidRDefault="00641840" w:rsidP="00641840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41840">
        <w:rPr>
          <w:rFonts w:ascii="Times New Roman" w:hAnsi="Times New Roman"/>
          <w:sz w:val="28"/>
          <w:szCs w:val="28"/>
        </w:rPr>
        <w:t>1. Перевірка відповідності екологічних характеристик двигунів вимогам, установленим у дод</w:t>
      </w:r>
      <w:r w:rsidR="00F53C15">
        <w:rPr>
          <w:rFonts w:ascii="Times New Roman" w:hAnsi="Times New Roman"/>
          <w:sz w:val="28"/>
          <w:szCs w:val="28"/>
        </w:rPr>
        <w:t xml:space="preserve">атку 1 до Технічного регламенту, </w:t>
      </w:r>
      <w:r w:rsidRPr="00641840">
        <w:rPr>
          <w:rFonts w:ascii="Times New Roman" w:hAnsi="Times New Roman"/>
          <w:sz w:val="28"/>
          <w:szCs w:val="28"/>
        </w:rPr>
        <w:t>проводиться в такому порядку:</w:t>
      </w:r>
    </w:p>
    <w:p w:rsidR="00641840" w:rsidRPr="00641840" w:rsidRDefault="00641840" w:rsidP="00641840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41840">
        <w:rPr>
          <w:rFonts w:ascii="Times New Roman" w:hAnsi="Times New Roman"/>
          <w:sz w:val="28"/>
          <w:szCs w:val="28"/>
        </w:rPr>
        <w:t>1) випробуванням підлягає один двигун для кожної моделі;</w:t>
      </w:r>
    </w:p>
    <w:p w:rsidR="00641840" w:rsidRPr="00641840" w:rsidRDefault="00641840" w:rsidP="00641840">
      <w:pPr>
        <w:pStyle w:val="a3"/>
        <w:tabs>
          <w:tab w:val="left" w:pos="0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41840">
        <w:rPr>
          <w:rFonts w:ascii="Times New Roman" w:hAnsi="Times New Roman"/>
          <w:sz w:val="28"/>
          <w:szCs w:val="28"/>
        </w:rPr>
        <w:t xml:space="preserve">2) модель двигуна вважаться такою, що відповідає вимогам Технічного регламенту, якщо в номінальному </w:t>
      </w:r>
      <w:r w:rsidR="00F53C15">
        <w:rPr>
          <w:rFonts w:ascii="Times New Roman" w:hAnsi="Times New Roman"/>
          <w:sz w:val="28"/>
          <w:szCs w:val="28"/>
        </w:rPr>
        <w:t>коефіцієнті корисної дії</w:t>
      </w:r>
      <w:r w:rsidRPr="00641840">
        <w:rPr>
          <w:rFonts w:ascii="Times New Roman" w:hAnsi="Times New Roman"/>
          <w:sz w:val="28"/>
          <w:szCs w:val="28"/>
        </w:rPr>
        <w:t xml:space="preserve"> (η) втрати електроенергії (1- η) не перевищують значення, вказані в додатку 1, на більше ніж 15 % в діапазоні </w:t>
      </w:r>
      <w:proofErr w:type="spellStart"/>
      <w:r w:rsidRPr="00641840">
        <w:rPr>
          <w:rFonts w:ascii="Times New Roman" w:hAnsi="Times New Roman"/>
          <w:sz w:val="28"/>
          <w:szCs w:val="28"/>
        </w:rPr>
        <w:t>потужностей</w:t>
      </w:r>
      <w:proofErr w:type="spellEnd"/>
      <w:r w:rsidRPr="00641840">
        <w:rPr>
          <w:rFonts w:ascii="Times New Roman" w:hAnsi="Times New Roman"/>
          <w:sz w:val="28"/>
          <w:szCs w:val="28"/>
        </w:rPr>
        <w:t xml:space="preserve"> 0,75 – 150 кВт та 10 % в діапазоні </w:t>
      </w:r>
      <w:proofErr w:type="spellStart"/>
      <w:r w:rsidRPr="00641840">
        <w:rPr>
          <w:rFonts w:ascii="Times New Roman" w:hAnsi="Times New Roman"/>
          <w:sz w:val="28"/>
          <w:szCs w:val="28"/>
        </w:rPr>
        <w:t>потужностей</w:t>
      </w:r>
      <w:proofErr w:type="spellEnd"/>
      <w:r w:rsidRPr="00641840">
        <w:rPr>
          <w:rFonts w:ascii="Times New Roman" w:hAnsi="Times New Roman"/>
          <w:sz w:val="28"/>
          <w:szCs w:val="28"/>
        </w:rPr>
        <w:t xml:space="preserve"> 150 - 375 кВт.</w:t>
      </w:r>
    </w:p>
    <w:p w:rsidR="00641840" w:rsidRPr="00641840" w:rsidRDefault="00641840" w:rsidP="00641840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41840">
        <w:rPr>
          <w:rFonts w:ascii="Times New Roman" w:hAnsi="Times New Roman"/>
          <w:sz w:val="28"/>
          <w:szCs w:val="28"/>
        </w:rPr>
        <w:t>3) якщо результату, зазначеного в підпункті 2 цього пункту, не досягнуто, додатково випробовуються три двигуни, відібрані методом випадкової вибірки (крім двигунів, які виробляються у кількості, що є меншою ніж п’ять одиниць на рік);</w:t>
      </w:r>
    </w:p>
    <w:p w:rsidR="00641840" w:rsidRPr="00641840" w:rsidRDefault="00641840" w:rsidP="00641840">
      <w:pPr>
        <w:pStyle w:val="a3"/>
        <w:tabs>
          <w:tab w:val="left" w:pos="0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41840">
        <w:rPr>
          <w:rFonts w:ascii="Times New Roman" w:hAnsi="Times New Roman"/>
          <w:sz w:val="28"/>
          <w:szCs w:val="28"/>
        </w:rPr>
        <w:t xml:space="preserve">4) модель двигуна вважається такою, що відповідає вимогам Технічного регламенту, якщо, в середньому, в номінальному </w:t>
      </w:r>
      <w:r w:rsidR="00F53C15">
        <w:rPr>
          <w:rFonts w:ascii="Times New Roman" w:hAnsi="Times New Roman"/>
          <w:sz w:val="28"/>
          <w:szCs w:val="28"/>
        </w:rPr>
        <w:t>коефіцієнті корисної дії</w:t>
      </w:r>
      <w:r w:rsidR="00F53C15" w:rsidRPr="00641840">
        <w:rPr>
          <w:rFonts w:ascii="Times New Roman" w:hAnsi="Times New Roman"/>
          <w:sz w:val="28"/>
          <w:szCs w:val="28"/>
        </w:rPr>
        <w:t xml:space="preserve"> </w:t>
      </w:r>
      <w:r w:rsidRPr="00641840">
        <w:rPr>
          <w:rFonts w:ascii="Times New Roman" w:hAnsi="Times New Roman"/>
          <w:sz w:val="28"/>
          <w:szCs w:val="28"/>
        </w:rPr>
        <w:t xml:space="preserve">(η) втрати електроенергії (1- η) трьох сегментів, вказані в підпункті 3, не перевищують значень, наведених в додатку 1, на більше ніж 15 % в діапазоні </w:t>
      </w:r>
      <w:proofErr w:type="spellStart"/>
      <w:r w:rsidRPr="00641840">
        <w:rPr>
          <w:rFonts w:ascii="Times New Roman" w:hAnsi="Times New Roman"/>
          <w:sz w:val="28"/>
          <w:szCs w:val="28"/>
        </w:rPr>
        <w:t>потужностей</w:t>
      </w:r>
      <w:proofErr w:type="spellEnd"/>
      <w:r w:rsidRPr="00641840">
        <w:rPr>
          <w:rFonts w:ascii="Times New Roman" w:hAnsi="Times New Roman"/>
          <w:sz w:val="28"/>
          <w:szCs w:val="28"/>
        </w:rPr>
        <w:t xml:space="preserve"> від 0,75 кВт до 150 кВт і 10 % в діапазоні </w:t>
      </w:r>
      <w:proofErr w:type="spellStart"/>
      <w:r w:rsidRPr="00641840">
        <w:rPr>
          <w:rFonts w:ascii="Times New Roman" w:hAnsi="Times New Roman"/>
          <w:sz w:val="28"/>
          <w:szCs w:val="28"/>
        </w:rPr>
        <w:t>потужностей</w:t>
      </w:r>
      <w:proofErr w:type="spellEnd"/>
      <w:r w:rsidRPr="00641840">
        <w:rPr>
          <w:rFonts w:ascii="Times New Roman" w:hAnsi="Times New Roman"/>
          <w:sz w:val="28"/>
          <w:szCs w:val="28"/>
        </w:rPr>
        <w:t xml:space="preserve"> – менше за 150-375 кВт.</w:t>
      </w:r>
    </w:p>
    <w:p w:rsidR="00641840" w:rsidRPr="00641840" w:rsidRDefault="00641840" w:rsidP="00641840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41840">
        <w:rPr>
          <w:rFonts w:ascii="Times New Roman" w:hAnsi="Times New Roman"/>
          <w:sz w:val="28"/>
          <w:szCs w:val="28"/>
        </w:rPr>
        <w:t>5) якщо результатів, зазначених у підпункті 4 цього пункту, не досягнуто, модель двигуна вважається такою, що не відповідає вимогам Технічного регламенту.</w:t>
      </w:r>
    </w:p>
    <w:p w:rsidR="00641840" w:rsidRDefault="00641840" w:rsidP="00641840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41840">
        <w:rPr>
          <w:rFonts w:ascii="Times New Roman" w:hAnsi="Times New Roman"/>
          <w:sz w:val="28"/>
          <w:szCs w:val="28"/>
        </w:rPr>
        <w:t>2. Для цілей перевірки відповідності екологічних характеристик двигунів вимогам Технічного регламенту застосовується процедура вимірювань</w:t>
      </w:r>
      <w:r w:rsidR="00F53C15">
        <w:rPr>
          <w:rFonts w:ascii="Times New Roman" w:hAnsi="Times New Roman"/>
          <w:sz w:val="28"/>
          <w:szCs w:val="28"/>
        </w:rPr>
        <w:t xml:space="preserve"> і розрахунків</w:t>
      </w:r>
      <w:bookmarkStart w:id="0" w:name="_GoBack"/>
      <w:bookmarkEnd w:id="0"/>
      <w:r w:rsidRPr="00641840">
        <w:rPr>
          <w:rFonts w:ascii="Times New Roman" w:hAnsi="Times New Roman"/>
          <w:sz w:val="28"/>
          <w:szCs w:val="28"/>
        </w:rPr>
        <w:t>, визначена в додатку 2 до Технічного регламенту, та надійні, точні та відтворювані методи вимірювань, які враховують загальновизнані сучасні методи вимірювань, у тому числі методи, встановлені у стандартах з переліку національних стандартів, відповідність яким надає презумпцію відповідності двигунів вимогам Техн</w:t>
      </w:r>
      <w:r>
        <w:rPr>
          <w:rFonts w:ascii="Times New Roman" w:hAnsi="Times New Roman"/>
          <w:sz w:val="28"/>
          <w:szCs w:val="28"/>
        </w:rPr>
        <w:t>ічного регламенту</w:t>
      </w:r>
      <w:r w:rsidRPr="00641840">
        <w:rPr>
          <w:rFonts w:ascii="Times New Roman" w:hAnsi="Times New Roman"/>
          <w:sz w:val="28"/>
          <w:szCs w:val="28"/>
        </w:rPr>
        <w:t>.</w:t>
      </w:r>
    </w:p>
    <w:p w:rsidR="009915EC" w:rsidRPr="00641840" w:rsidRDefault="009915EC" w:rsidP="009915EC">
      <w:pPr>
        <w:spacing w:after="0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</w:p>
    <w:p w:rsidR="00FD4997" w:rsidRPr="00641840" w:rsidRDefault="00FD4997" w:rsidP="00641840">
      <w:pPr>
        <w:spacing w:after="0"/>
        <w:rPr>
          <w:sz w:val="28"/>
          <w:szCs w:val="28"/>
        </w:rPr>
      </w:pPr>
    </w:p>
    <w:sectPr w:rsidR="00FD4997" w:rsidRPr="00641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1B"/>
    <w:rsid w:val="00641840"/>
    <w:rsid w:val="009915EC"/>
    <w:rsid w:val="00BC651B"/>
    <w:rsid w:val="00F53C15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07B5"/>
  <w15:chartTrackingRefBased/>
  <w15:docId w15:val="{ECC721F9-17C9-42AE-93D3-681BDAF13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840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840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1699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2017-06-01T11:27:00Z</dcterms:created>
  <dcterms:modified xsi:type="dcterms:W3CDTF">2017-07-17T08:35:00Z</dcterms:modified>
</cp:coreProperties>
</file>