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ED0" w:rsidRPr="00270242" w:rsidRDefault="00AF7ED0" w:rsidP="00270242">
      <w:pPr>
        <w:spacing w:before="240" w:line="276" w:lineRule="auto"/>
        <w:ind w:left="6096"/>
        <w:jc w:val="center"/>
        <w:rPr>
          <w:rFonts w:eastAsia="Calibri"/>
          <w:sz w:val="28"/>
          <w:szCs w:val="28"/>
          <w:lang w:val="uk-UA" w:eastAsia="en-US"/>
        </w:rPr>
      </w:pPr>
      <w:r w:rsidRPr="00EF3603">
        <w:rPr>
          <w:rFonts w:eastAsia="Calibri"/>
          <w:sz w:val="28"/>
          <w:szCs w:val="28"/>
          <w:lang w:val="uk-UA" w:eastAsia="en-US"/>
        </w:rPr>
        <w:t xml:space="preserve">Додаток </w:t>
      </w:r>
      <w:r w:rsidR="005120BE">
        <w:rPr>
          <w:rFonts w:eastAsia="Calibri"/>
          <w:sz w:val="28"/>
          <w:szCs w:val="28"/>
          <w:lang w:val="uk-UA" w:eastAsia="en-US"/>
        </w:rPr>
        <w:t>2</w:t>
      </w:r>
      <w:r w:rsidRPr="00EF3603">
        <w:rPr>
          <w:rFonts w:eastAsia="Calibri"/>
          <w:sz w:val="28"/>
          <w:szCs w:val="28"/>
          <w:lang w:val="uk-UA" w:eastAsia="en-US"/>
        </w:rPr>
        <w:br/>
        <w:t>до Технічного регламенту</w:t>
      </w:r>
    </w:p>
    <w:p w:rsidR="00AF7ED0" w:rsidRPr="00270242" w:rsidRDefault="00AF7ED0" w:rsidP="00270242">
      <w:pPr>
        <w:spacing w:before="240"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270242">
        <w:rPr>
          <w:b/>
          <w:sz w:val="28"/>
          <w:szCs w:val="28"/>
          <w:lang w:val="uk-UA"/>
        </w:rPr>
        <w:t xml:space="preserve">ВИМОГИ </w:t>
      </w:r>
      <w:r w:rsidRPr="00270242">
        <w:rPr>
          <w:b/>
          <w:sz w:val="28"/>
          <w:szCs w:val="28"/>
          <w:lang w:val="uk-UA"/>
        </w:rPr>
        <w:br/>
      </w:r>
      <w:r w:rsidR="00BA5E97">
        <w:rPr>
          <w:b/>
          <w:sz w:val="28"/>
          <w:szCs w:val="28"/>
          <w:lang w:val="uk-UA"/>
        </w:rPr>
        <w:t>до</w:t>
      </w:r>
      <w:r w:rsidRPr="00270242">
        <w:rPr>
          <w:b/>
          <w:sz w:val="28"/>
          <w:szCs w:val="28"/>
          <w:lang w:val="uk-UA"/>
        </w:rPr>
        <w:t xml:space="preserve"> екодизайну для ламп спрямованого випромінення, світлодіодних ламп </w:t>
      </w:r>
      <w:r w:rsidR="00BA5E97">
        <w:rPr>
          <w:b/>
          <w:sz w:val="28"/>
          <w:szCs w:val="28"/>
          <w:lang w:val="uk-UA"/>
        </w:rPr>
        <w:t>та пов'язаного</w:t>
      </w:r>
      <w:r w:rsidRPr="00270242">
        <w:rPr>
          <w:b/>
          <w:sz w:val="28"/>
          <w:szCs w:val="28"/>
          <w:lang w:val="uk-UA"/>
        </w:rPr>
        <w:t xml:space="preserve"> обладнання</w:t>
      </w:r>
      <w:bookmarkStart w:id="0" w:name="_GoBack"/>
      <w:bookmarkEnd w:id="0"/>
    </w:p>
    <w:p w:rsidR="00270242" w:rsidRDefault="00270242" w:rsidP="00270242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</w:p>
    <w:p w:rsidR="00AF7ED0" w:rsidRPr="00EF3603" w:rsidRDefault="00AF7ED0" w:rsidP="00270242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EF3603">
        <w:rPr>
          <w:b/>
          <w:sz w:val="28"/>
          <w:szCs w:val="28"/>
          <w:lang w:val="uk-UA"/>
        </w:rPr>
        <w:t>1. Вимоги до енергоефективності</w:t>
      </w:r>
    </w:p>
    <w:p w:rsidR="00AF7ED0" w:rsidRPr="00EF3603" w:rsidRDefault="00AF7ED0" w:rsidP="00270242">
      <w:pPr>
        <w:tabs>
          <w:tab w:val="left" w:pos="567"/>
          <w:tab w:val="left" w:pos="1580"/>
        </w:tabs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EF3603">
        <w:rPr>
          <w:b/>
          <w:sz w:val="28"/>
          <w:szCs w:val="28"/>
          <w:lang w:val="uk-UA"/>
        </w:rPr>
        <w:t>1.1.</w:t>
      </w:r>
      <w:r w:rsidRPr="00EF3603">
        <w:rPr>
          <w:b/>
          <w:sz w:val="28"/>
          <w:szCs w:val="28"/>
          <w:lang w:val="uk-UA"/>
        </w:rPr>
        <w:tab/>
        <w:t>Вимоги енергоефективності для ламп спрямованого випромінення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Індекс енергоефективності (EEI) лампи розраховується наступним чином і округляється до двох знаків після коми:</w:t>
      </w:r>
    </w:p>
    <w:p w:rsidR="00AF7ED0" w:rsidRPr="00EF3603" w:rsidRDefault="00EF3603" w:rsidP="00270242">
      <w:pPr>
        <w:tabs>
          <w:tab w:val="left" w:pos="252"/>
        </w:tabs>
        <w:spacing w:before="240" w:line="276" w:lineRule="auto"/>
        <w:ind w:firstLine="567"/>
        <w:jc w:val="both"/>
        <w:rPr>
          <w:bCs/>
          <w:iCs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uk-UA"/>
            </w:rPr>
            <m:t xml:space="preserve">EEI= </m:t>
          </m:r>
          <m:f>
            <m:fPr>
              <m:type m:val="skw"/>
              <m:ctrlPr>
                <w:rPr>
                  <w:rFonts w:ascii="Cambria Math" w:hAnsi="Cambria Math"/>
                  <w:bCs/>
                  <w:iCs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cor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ref</m:t>
                  </m:r>
                </m:sub>
              </m:sSub>
            </m:den>
          </m:f>
        </m:oMath>
      </m:oMathPara>
    </w:p>
    <w:p w:rsidR="00AF7ED0" w:rsidRPr="00EF3603" w:rsidRDefault="00AF7ED0" w:rsidP="0027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P</w:t>
      </w:r>
      <w:r w:rsidR="00BA5E97">
        <w:rPr>
          <w:sz w:val="28"/>
          <w:szCs w:val="28"/>
          <w:vertAlign w:val="subscript"/>
          <w:lang w:val="uk-UA"/>
        </w:rPr>
        <w:t>cor</w:t>
      </w:r>
      <w:r w:rsidRPr="00EF3603">
        <w:rPr>
          <w:sz w:val="28"/>
          <w:szCs w:val="28"/>
          <w:lang w:val="uk-UA"/>
        </w:rPr>
        <w:t xml:space="preserve"> – скоригована фактична потужність, яка вимірюється при номінальній вхідній напрузі та коригується в разі необхідності згідно з Таблицею 1. Коригувальні коефіцієнти є накопичувальними, де це є доречним.</w:t>
      </w:r>
    </w:p>
    <w:p w:rsidR="00270242" w:rsidRDefault="00270242" w:rsidP="0027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right"/>
        <w:rPr>
          <w:sz w:val="28"/>
          <w:szCs w:val="28"/>
          <w:lang w:val="uk-UA"/>
        </w:rPr>
      </w:pPr>
      <w:r w:rsidRPr="00270242">
        <w:rPr>
          <w:i/>
          <w:sz w:val="28"/>
          <w:szCs w:val="28"/>
          <w:lang w:val="uk-UA"/>
        </w:rPr>
        <w:t>Таблиця 1</w:t>
      </w:r>
      <w:r w:rsidRPr="00270242">
        <w:rPr>
          <w:sz w:val="28"/>
          <w:szCs w:val="28"/>
          <w:lang w:val="uk-UA"/>
        </w:rPr>
        <w:t xml:space="preserve"> </w:t>
      </w:r>
    </w:p>
    <w:p w:rsidR="00AF7ED0" w:rsidRPr="00270242" w:rsidRDefault="00270242" w:rsidP="0027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center"/>
        <w:rPr>
          <w:i/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Коригувальні коефіцієнти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4111"/>
      </w:tblGrid>
      <w:tr w:rsidR="00AF7ED0" w:rsidRPr="00270242" w:rsidTr="00270242">
        <w:tc>
          <w:tcPr>
            <w:tcW w:w="5778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b/>
                <w:lang w:val="uk-UA"/>
              </w:rPr>
            </w:pPr>
            <w:bookmarkStart w:id="1" w:name="BM1113"/>
            <w:bookmarkEnd w:id="1"/>
            <w:r w:rsidRPr="00270242">
              <w:rPr>
                <w:b/>
                <w:lang w:val="uk-UA"/>
              </w:rPr>
              <w:t>Сфера застосування коригування</w:t>
            </w:r>
          </w:p>
        </w:tc>
        <w:tc>
          <w:tcPr>
            <w:tcW w:w="4111" w:type="dxa"/>
            <w:shd w:val="clear" w:color="auto" w:fill="auto"/>
          </w:tcPr>
          <w:p w:rsidR="00AF7ED0" w:rsidRPr="00270242" w:rsidRDefault="00AF7ED0" w:rsidP="00BA5E97">
            <w:pPr>
              <w:spacing w:line="276" w:lineRule="auto"/>
              <w:jc w:val="center"/>
              <w:rPr>
                <w:b/>
                <w:lang w:val="uk-UA"/>
              </w:rPr>
            </w:pPr>
            <w:r w:rsidRPr="00270242">
              <w:rPr>
                <w:b/>
                <w:lang w:val="uk-UA"/>
              </w:rPr>
              <w:t>Потужність, скоригована на втрати в пускорегулівному апараті (P</w:t>
            </w:r>
            <w:r w:rsidR="00BA5E97">
              <w:rPr>
                <w:b/>
                <w:vertAlign w:val="subscript"/>
                <w:lang w:val="en-US"/>
              </w:rPr>
              <w:t>cor</w:t>
            </w:r>
            <w:r w:rsidRPr="00270242">
              <w:rPr>
                <w:b/>
                <w:lang w:val="uk-UA"/>
              </w:rPr>
              <w:t>)</w:t>
            </w:r>
          </w:p>
        </w:tc>
      </w:tr>
      <w:tr w:rsidR="00AF7ED0" w:rsidRPr="00270242" w:rsidTr="00270242">
        <w:tc>
          <w:tcPr>
            <w:tcW w:w="5778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both"/>
              <w:rPr>
                <w:lang w:val="uk-UA"/>
              </w:rPr>
            </w:pPr>
            <w:r w:rsidRPr="00270242">
              <w:rPr>
                <w:lang w:val="uk-UA"/>
              </w:rPr>
              <w:t>Лампи, які працюють із замінюваними пускорегулівними апаратами для галогенних ламп</w:t>
            </w:r>
          </w:p>
        </w:tc>
        <w:tc>
          <w:tcPr>
            <w:tcW w:w="4111" w:type="dxa"/>
            <w:shd w:val="clear" w:color="auto" w:fill="auto"/>
          </w:tcPr>
          <w:p w:rsidR="00AF7ED0" w:rsidRPr="00270242" w:rsidRDefault="00AF7ED0" w:rsidP="00BA5E97">
            <w:pPr>
              <w:spacing w:line="276" w:lineRule="auto"/>
              <w:ind w:firstLine="38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P</w:t>
            </w:r>
            <w:r w:rsidR="00BA5E97">
              <w:rPr>
                <w:vertAlign w:val="subscript"/>
                <w:lang w:val="en-US"/>
              </w:rPr>
              <w:t>rated</w:t>
            </w:r>
            <w:r w:rsidRPr="00270242">
              <w:rPr>
                <w:lang w:val="uk-UA"/>
              </w:rPr>
              <w:t xml:space="preserve">  × 1,06</w:t>
            </w:r>
          </w:p>
        </w:tc>
      </w:tr>
      <w:tr w:rsidR="00AF7ED0" w:rsidRPr="00270242" w:rsidTr="00270242">
        <w:tc>
          <w:tcPr>
            <w:tcW w:w="5778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both"/>
              <w:rPr>
                <w:lang w:val="uk-UA"/>
              </w:rPr>
            </w:pPr>
            <w:r w:rsidRPr="00270242">
              <w:rPr>
                <w:lang w:val="uk-UA"/>
              </w:rPr>
              <w:t>Лампи, які працюють із замінюваними пускорегулівними апаратами для світлодіодних ламп</w:t>
            </w:r>
          </w:p>
        </w:tc>
        <w:tc>
          <w:tcPr>
            <w:tcW w:w="4111" w:type="dxa"/>
            <w:shd w:val="clear" w:color="auto" w:fill="auto"/>
          </w:tcPr>
          <w:p w:rsidR="00AF7ED0" w:rsidRPr="00270242" w:rsidRDefault="00AF7ED0" w:rsidP="00BA5E97">
            <w:pPr>
              <w:spacing w:line="276" w:lineRule="auto"/>
              <w:ind w:firstLine="38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P</w:t>
            </w:r>
            <w:r w:rsidR="00BA5E97">
              <w:rPr>
                <w:vertAlign w:val="subscript"/>
                <w:lang w:val="en-US"/>
              </w:rPr>
              <w:t>rated</w:t>
            </w:r>
            <w:r w:rsidRPr="00270242">
              <w:rPr>
                <w:lang w:val="uk-UA"/>
              </w:rPr>
              <w:t xml:space="preserve"> × 1,10</w:t>
            </w:r>
          </w:p>
        </w:tc>
      </w:tr>
      <w:tr w:rsidR="00AF7ED0" w:rsidRPr="00270242" w:rsidTr="00270242">
        <w:tc>
          <w:tcPr>
            <w:tcW w:w="5778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both"/>
              <w:rPr>
                <w:lang w:val="uk-UA"/>
              </w:rPr>
            </w:pPr>
            <w:r w:rsidRPr="00270242">
              <w:rPr>
                <w:lang w:val="uk-UA"/>
              </w:rPr>
              <w:t xml:space="preserve">Люмінесцентні лампи діаметром </w:t>
            </w:r>
            <w:smartTag w:uri="urn:schemas-microsoft-com:office:smarttags" w:element="metricconverter">
              <w:smartTagPr>
                <w:attr w:name="ProductID" w:val="16 міліметрів"/>
              </w:smartTagPr>
              <w:r w:rsidRPr="00270242">
                <w:rPr>
                  <w:lang w:val="uk-UA"/>
                </w:rPr>
                <w:t>16 міліметрів</w:t>
              </w:r>
            </w:smartTag>
            <w:r w:rsidRPr="00270242">
              <w:rPr>
                <w:lang w:val="uk-UA"/>
              </w:rPr>
              <w:t xml:space="preserve"> (лампи T5) і чотириштиркові одноцокольні люмінесцентні лампи, що працюють із замінюваними пускорегулівними апаратами для люмінесцентних ламп</w:t>
            </w:r>
          </w:p>
        </w:tc>
        <w:tc>
          <w:tcPr>
            <w:tcW w:w="4111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ind w:firstLine="38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P</w:t>
            </w:r>
            <w:r w:rsidR="00BA5E97">
              <w:rPr>
                <w:vertAlign w:val="subscript"/>
                <w:lang w:val="en-US"/>
              </w:rPr>
              <w:t>rated</w:t>
            </w:r>
            <w:r w:rsidRPr="00270242">
              <w:rPr>
                <w:lang w:val="uk-UA"/>
              </w:rPr>
              <w:t xml:space="preserve"> × 1,10</w:t>
            </w:r>
          </w:p>
        </w:tc>
      </w:tr>
      <w:tr w:rsidR="00AF7ED0" w:rsidRPr="00270242" w:rsidTr="00270242">
        <w:tc>
          <w:tcPr>
            <w:tcW w:w="5778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both"/>
              <w:rPr>
                <w:lang w:val="uk-UA"/>
              </w:rPr>
            </w:pPr>
            <w:r w:rsidRPr="00270242">
              <w:rPr>
                <w:lang w:val="uk-UA"/>
              </w:rPr>
              <w:t>Інші лампи, що працюють із замінюваними пускорегулівними апаратами для люмінесцентних ламп</w:t>
            </w:r>
          </w:p>
        </w:tc>
        <w:tc>
          <w:tcPr>
            <w:tcW w:w="4111" w:type="dxa"/>
            <w:shd w:val="clear" w:color="auto" w:fill="auto"/>
          </w:tcPr>
          <w:p w:rsidR="00AF7ED0" w:rsidRPr="00270242" w:rsidRDefault="00533FDB" w:rsidP="00270242">
            <w:pPr>
              <w:tabs>
                <w:tab w:val="left" w:pos="29"/>
              </w:tabs>
              <w:spacing w:line="276" w:lineRule="auto"/>
              <w:ind w:firstLine="38"/>
              <w:jc w:val="center"/>
              <w:rPr>
                <w:lang w:val="uk-U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en-US"/>
                      </w:rPr>
                      <m:t>rated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uk-UA"/>
                  </w:rPr>
                  <m:t xml:space="preserve">× </m:t>
                </m:r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0,24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radPr>
                      <m:deg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uk-UA"/>
                              </w:rPr>
                              <m:t>Ф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uk-UA"/>
                              </w:rPr>
                              <m:t>use</m:t>
                            </m:r>
                          </m:sub>
                        </m:sSub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+ 0,0103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use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015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radPr>
                      <m:deg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uk-UA"/>
                              </w:rPr>
                              <m:t>Ф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uk-UA"/>
                              </w:rPr>
                              <m:t>use</m:t>
                            </m:r>
                          </m:sub>
                        </m:sSub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+ 0,0097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use</m:t>
                        </m:r>
                      </m:sub>
                    </m:sSub>
                  </m:den>
                </m:f>
              </m:oMath>
            </m:oMathPara>
          </w:p>
        </w:tc>
      </w:tr>
      <w:tr w:rsidR="00AF7ED0" w:rsidRPr="00270242" w:rsidTr="00270242">
        <w:tc>
          <w:tcPr>
            <w:tcW w:w="5778" w:type="dxa"/>
            <w:shd w:val="clear" w:color="auto" w:fill="auto"/>
          </w:tcPr>
          <w:p w:rsidR="00AF7ED0" w:rsidRPr="00270242" w:rsidRDefault="00AF7ED0" w:rsidP="00270242">
            <w:pPr>
              <w:tabs>
                <w:tab w:val="left" w:pos="1209"/>
              </w:tabs>
              <w:spacing w:line="276" w:lineRule="auto"/>
              <w:jc w:val="both"/>
              <w:rPr>
                <w:lang w:val="uk-UA"/>
              </w:rPr>
            </w:pPr>
            <w:r w:rsidRPr="00270242">
              <w:rPr>
                <w:lang w:val="uk-UA"/>
              </w:rPr>
              <w:t>Лампи, що працюють із не поєднаним пускорегулівним апаратом розрядної лампи високого тиску</w:t>
            </w:r>
          </w:p>
        </w:tc>
        <w:tc>
          <w:tcPr>
            <w:tcW w:w="4111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ind w:firstLine="38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P</w:t>
            </w:r>
            <w:r w:rsidR="00BA5E97">
              <w:rPr>
                <w:vertAlign w:val="subscript"/>
                <w:lang w:val="en-US"/>
              </w:rPr>
              <w:t>rated</w:t>
            </w:r>
            <w:r w:rsidRPr="00270242">
              <w:rPr>
                <w:lang w:val="uk-UA"/>
              </w:rPr>
              <w:t xml:space="preserve"> × 1,10</w:t>
            </w:r>
          </w:p>
        </w:tc>
      </w:tr>
      <w:tr w:rsidR="00AF7ED0" w:rsidRPr="00270242" w:rsidTr="00270242">
        <w:tc>
          <w:tcPr>
            <w:tcW w:w="5778" w:type="dxa"/>
            <w:shd w:val="clear" w:color="auto" w:fill="auto"/>
          </w:tcPr>
          <w:p w:rsidR="00AF7ED0" w:rsidRPr="00270242" w:rsidRDefault="00AF7ED0" w:rsidP="00270242">
            <w:pPr>
              <w:tabs>
                <w:tab w:val="left" w:pos="1209"/>
              </w:tabs>
              <w:spacing w:line="276" w:lineRule="auto"/>
              <w:jc w:val="both"/>
              <w:rPr>
                <w:lang w:val="uk-UA"/>
              </w:rPr>
            </w:pPr>
            <w:r w:rsidRPr="00270242">
              <w:rPr>
                <w:lang w:val="uk-UA"/>
              </w:rPr>
              <w:lastRenderedPageBreak/>
              <w:t xml:space="preserve">Лампи компактні люмінесцентні з індексом кольоропередачі ≥ 90 </w:t>
            </w:r>
          </w:p>
        </w:tc>
        <w:tc>
          <w:tcPr>
            <w:tcW w:w="4111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P</w:t>
            </w:r>
            <w:r w:rsidR="00BA5E97">
              <w:rPr>
                <w:vertAlign w:val="subscript"/>
                <w:lang w:val="en-US"/>
              </w:rPr>
              <w:t>rated</w:t>
            </w:r>
            <w:r w:rsidRPr="00270242">
              <w:rPr>
                <w:lang w:val="uk-UA"/>
              </w:rPr>
              <w:t xml:space="preserve"> × 0,85</w:t>
            </w:r>
          </w:p>
        </w:tc>
      </w:tr>
      <w:tr w:rsidR="00AF7ED0" w:rsidRPr="00270242" w:rsidTr="00270242">
        <w:tc>
          <w:tcPr>
            <w:tcW w:w="5778" w:type="dxa"/>
            <w:shd w:val="clear" w:color="auto" w:fill="auto"/>
          </w:tcPr>
          <w:p w:rsidR="00AF7ED0" w:rsidRPr="00270242" w:rsidRDefault="00AF7ED0" w:rsidP="00270242">
            <w:pPr>
              <w:tabs>
                <w:tab w:val="left" w:pos="1223"/>
              </w:tabs>
              <w:spacing w:line="276" w:lineRule="auto"/>
              <w:jc w:val="both"/>
              <w:rPr>
                <w:lang w:val="uk-UA"/>
              </w:rPr>
            </w:pPr>
            <w:r w:rsidRPr="00270242">
              <w:rPr>
                <w:lang w:val="uk-UA"/>
              </w:rPr>
              <w:t>Лампи з антибліковим екраном</w:t>
            </w:r>
          </w:p>
        </w:tc>
        <w:tc>
          <w:tcPr>
            <w:tcW w:w="4111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P</w:t>
            </w:r>
            <w:r w:rsidR="00BA5E97">
              <w:rPr>
                <w:vertAlign w:val="subscript"/>
                <w:lang w:val="en-US"/>
              </w:rPr>
              <w:t>rated</w:t>
            </w:r>
            <w:r w:rsidRPr="00270242">
              <w:rPr>
                <w:lang w:val="uk-UA"/>
              </w:rPr>
              <w:t xml:space="preserve"> × 0,80</w:t>
            </w:r>
          </w:p>
        </w:tc>
      </w:tr>
    </w:tbl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P</w:t>
      </w:r>
      <w:r w:rsidR="00BA5E97">
        <w:rPr>
          <w:sz w:val="28"/>
          <w:szCs w:val="28"/>
          <w:vertAlign w:val="subscript"/>
          <w:lang w:val="en-US"/>
        </w:rPr>
        <w:t>ref</w:t>
      </w:r>
      <w:r w:rsidRPr="00EF3603">
        <w:rPr>
          <w:sz w:val="28"/>
          <w:szCs w:val="28"/>
          <w:lang w:val="uk-UA"/>
        </w:rPr>
        <w:t xml:space="preserve"> – базове значення потужності, яке обчислюють за значенням використовуваного (корисного) світлового потоку лампи (Φ</w:t>
      </w:r>
      <w:r w:rsidR="00BA5E97">
        <w:rPr>
          <w:sz w:val="28"/>
          <w:szCs w:val="28"/>
          <w:vertAlign w:val="subscript"/>
          <w:lang w:val="en-US"/>
        </w:rPr>
        <w:t>use</w:t>
      </w:r>
      <w:r w:rsidRPr="00EF3603">
        <w:rPr>
          <w:sz w:val="28"/>
          <w:szCs w:val="28"/>
          <w:lang w:val="uk-UA"/>
        </w:rPr>
        <w:t xml:space="preserve">) за формулами: 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Для моделей з Φ</w:t>
      </w:r>
      <w:r w:rsidR="00BA5E97">
        <w:rPr>
          <w:sz w:val="28"/>
          <w:szCs w:val="28"/>
          <w:vertAlign w:val="subscript"/>
          <w:lang w:val="uk-UA"/>
        </w:rPr>
        <w:t>use</w:t>
      </w:r>
      <w:r w:rsidR="00EF3603">
        <w:rPr>
          <w:sz w:val="28"/>
          <w:szCs w:val="28"/>
          <w:vertAlign w:val="subscript"/>
          <w:lang w:val="uk-UA"/>
        </w:rPr>
        <w:t xml:space="preserve"> </w:t>
      </w:r>
      <w:r w:rsidRPr="00EF3603">
        <w:rPr>
          <w:sz w:val="28"/>
          <w:szCs w:val="28"/>
          <w:lang w:val="uk-UA"/>
        </w:rPr>
        <w:t>&lt;</w:t>
      </w:r>
      <w:r w:rsidR="00EF3603">
        <w:rPr>
          <w:sz w:val="28"/>
          <w:szCs w:val="28"/>
          <w:lang w:val="uk-UA"/>
        </w:rPr>
        <w:t xml:space="preserve"> </w:t>
      </w:r>
      <w:r w:rsidRPr="00EF3603">
        <w:rPr>
          <w:sz w:val="28"/>
          <w:szCs w:val="28"/>
          <w:lang w:val="uk-UA"/>
        </w:rPr>
        <w:t>1 300 люмен: P</w:t>
      </w:r>
      <w:r w:rsidR="00BA5E97">
        <w:rPr>
          <w:sz w:val="28"/>
          <w:szCs w:val="28"/>
          <w:vertAlign w:val="subscript"/>
          <w:lang w:val="en-US"/>
        </w:rPr>
        <w:t>ref</w:t>
      </w:r>
      <w:r w:rsidRPr="00EF3603">
        <w:rPr>
          <w:sz w:val="28"/>
          <w:szCs w:val="28"/>
          <w:lang w:val="uk-UA"/>
        </w:rPr>
        <w:t xml:space="preserve"> =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uk-UA"/>
          </w:rPr>
          <m:t>0,88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  <w:lang w:val="uk-UA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use</m:t>
                </m:r>
              </m:sub>
            </m:sSub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  <w:lang w:val="uk-UA"/>
          </w:rPr>
          <m:t>+ 0,049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use</m:t>
            </m:r>
          </m:sub>
        </m:sSub>
      </m:oMath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Для моделей з Φ</w:t>
      </w:r>
      <w:r w:rsidR="00BA5E97">
        <w:rPr>
          <w:sz w:val="28"/>
          <w:szCs w:val="28"/>
          <w:vertAlign w:val="subscript"/>
          <w:lang w:val="uk-UA"/>
        </w:rPr>
        <w:t>use</w:t>
      </w:r>
      <w:r w:rsidR="00EF3603">
        <w:rPr>
          <w:sz w:val="28"/>
          <w:szCs w:val="28"/>
          <w:vertAlign w:val="subscript"/>
          <w:lang w:val="uk-UA"/>
        </w:rPr>
        <w:t xml:space="preserve"> </w:t>
      </w:r>
      <w:r w:rsidRPr="00EF3603">
        <w:rPr>
          <w:sz w:val="28"/>
          <w:szCs w:val="28"/>
          <w:lang w:val="uk-UA"/>
        </w:rPr>
        <w:t>≥</w:t>
      </w:r>
      <w:r w:rsidR="00EF3603">
        <w:rPr>
          <w:sz w:val="28"/>
          <w:szCs w:val="28"/>
          <w:lang w:val="uk-UA"/>
        </w:rPr>
        <w:t xml:space="preserve"> </w:t>
      </w:r>
      <w:r w:rsidRPr="00EF3603">
        <w:rPr>
          <w:sz w:val="28"/>
          <w:szCs w:val="28"/>
          <w:lang w:val="uk-UA"/>
        </w:rPr>
        <w:t>1 300 люмен: P</w:t>
      </w:r>
      <w:r w:rsidR="00BA5E97">
        <w:rPr>
          <w:sz w:val="28"/>
          <w:szCs w:val="28"/>
          <w:vertAlign w:val="subscript"/>
          <w:lang w:val="en-US"/>
        </w:rPr>
        <w:t>ref</w:t>
      </w:r>
      <w:r w:rsidRPr="00EF3603">
        <w:rPr>
          <w:sz w:val="28"/>
          <w:szCs w:val="28"/>
          <w:lang w:val="uk-UA"/>
        </w:rPr>
        <w:t xml:space="preserve"> = 0,07341 Φ</w:t>
      </w:r>
      <w:r w:rsidR="00BA5E97">
        <w:rPr>
          <w:sz w:val="28"/>
          <w:szCs w:val="28"/>
          <w:vertAlign w:val="subscript"/>
          <w:lang w:val="uk-UA"/>
        </w:rPr>
        <w:t>use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Φ</w:t>
      </w:r>
      <w:r w:rsidR="00BA5E97">
        <w:rPr>
          <w:sz w:val="28"/>
          <w:szCs w:val="28"/>
          <w:vertAlign w:val="subscript"/>
          <w:lang w:val="en-US"/>
        </w:rPr>
        <w:t>use</w:t>
      </w:r>
      <w:r w:rsidRPr="00EF3603">
        <w:rPr>
          <w:sz w:val="28"/>
          <w:szCs w:val="28"/>
          <w:lang w:val="uk-UA"/>
        </w:rPr>
        <w:t xml:space="preserve"> визначається наступним чином:</w:t>
      </w:r>
    </w:p>
    <w:p w:rsidR="00AF7ED0" w:rsidRPr="00EF3603" w:rsidRDefault="00AF7ED0" w:rsidP="00270242">
      <w:pPr>
        <w:pStyle w:val="a5"/>
        <w:widowControl/>
        <w:numPr>
          <w:ilvl w:val="0"/>
          <w:numId w:val="1"/>
        </w:numPr>
        <w:tabs>
          <w:tab w:val="left" w:pos="851"/>
        </w:tabs>
        <w:spacing w:before="240"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EF3603">
        <w:rPr>
          <w:rFonts w:ascii="Times New Roman" w:hAnsi="Times New Roman"/>
          <w:sz w:val="28"/>
          <w:szCs w:val="28"/>
          <w:lang w:val="uk-UA"/>
        </w:rPr>
        <w:t>для ламп спрямованого випромінення з кутом променя ≥ 90° інші ніж лампи розжарювання та які мають застереження на упаковці відповідно до підпункту і) пункту 3.1.2 цього додатку – номінальний світловий потік в конусі 120° (Φ</w:t>
      </w:r>
      <w:r w:rsidRPr="00EF3603">
        <w:rPr>
          <w:rFonts w:ascii="Times New Roman" w:hAnsi="Times New Roman"/>
          <w:sz w:val="28"/>
          <w:szCs w:val="28"/>
          <w:vertAlign w:val="subscript"/>
          <w:lang w:val="uk-UA"/>
        </w:rPr>
        <w:t>120°</w:t>
      </w:r>
      <w:r w:rsidRPr="00EF3603">
        <w:rPr>
          <w:rFonts w:ascii="Times New Roman" w:hAnsi="Times New Roman"/>
          <w:sz w:val="28"/>
          <w:szCs w:val="28"/>
          <w:lang w:val="uk-UA"/>
        </w:rPr>
        <w:t>);</w:t>
      </w:r>
    </w:p>
    <w:p w:rsidR="00AF7ED0" w:rsidRPr="00EF3603" w:rsidRDefault="00AF7ED0" w:rsidP="00270242">
      <w:pPr>
        <w:pStyle w:val="a5"/>
        <w:widowControl/>
        <w:numPr>
          <w:ilvl w:val="0"/>
          <w:numId w:val="1"/>
        </w:numPr>
        <w:tabs>
          <w:tab w:val="left" w:pos="851"/>
        </w:tabs>
        <w:spacing w:before="240"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EF3603">
        <w:rPr>
          <w:rFonts w:ascii="Times New Roman" w:hAnsi="Times New Roman"/>
          <w:sz w:val="28"/>
          <w:szCs w:val="28"/>
          <w:lang w:val="uk-UA"/>
        </w:rPr>
        <w:t>для інших ламп спрямованого випромінення – номінальний світловий потік в конусі 90° (Φ</w:t>
      </w:r>
      <w:r w:rsidRPr="00EF3603">
        <w:rPr>
          <w:rFonts w:ascii="Times New Roman" w:hAnsi="Times New Roman"/>
          <w:sz w:val="28"/>
          <w:szCs w:val="28"/>
          <w:vertAlign w:val="subscript"/>
          <w:lang w:val="uk-UA"/>
        </w:rPr>
        <w:t>90°</w:t>
      </w:r>
      <w:r w:rsidRPr="00EF3603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Максимальний індекс енергоефективності (EEI) лампи спрямованого випромінення вказаний в Таблиці 2.</w:t>
      </w:r>
    </w:p>
    <w:p w:rsidR="00AF7ED0" w:rsidRPr="00270242" w:rsidRDefault="00C92C55" w:rsidP="00270242">
      <w:pPr>
        <w:spacing w:before="240" w:line="276" w:lineRule="auto"/>
        <w:ind w:firstLine="567"/>
        <w:jc w:val="right"/>
        <w:rPr>
          <w:i/>
          <w:sz w:val="28"/>
          <w:szCs w:val="28"/>
          <w:lang w:val="uk-UA"/>
        </w:rPr>
      </w:pPr>
      <w:r w:rsidRPr="00270242">
        <w:rPr>
          <w:i/>
          <w:sz w:val="28"/>
          <w:szCs w:val="28"/>
          <w:lang w:val="uk-UA"/>
        </w:rPr>
        <w:t>Таблиця 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126"/>
        <w:gridCol w:w="2552"/>
        <w:gridCol w:w="2126"/>
      </w:tblGrid>
      <w:tr w:rsidR="00AF7ED0" w:rsidRPr="00270242" w:rsidTr="00C92C55">
        <w:tc>
          <w:tcPr>
            <w:tcW w:w="9889" w:type="dxa"/>
            <w:gridSpan w:val="4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Максимальний індекс енергоефективності (EEI)</w:t>
            </w:r>
          </w:p>
        </w:tc>
      </w:tr>
      <w:tr w:rsidR="00AF7ED0" w:rsidRPr="00270242" w:rsidTr="00270242">
        <w:tc>
          <w:tcPr>
            <w:tcW w:w="3085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Лампи розжарювання з живленням від мережі</w:t>
            </w:r>
          </w:p>
        </w:tc>
        <w:tc>
          <w:tcPr>
            <w:tcW w:w="2126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Інші лампи розжарювання</w:t>
            </w:r>
          </w:p>
        </w:tc>
        <w:tc>
          <w:tcPr>
            <w:tcW w:w="2552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Лампи розрядні високої інтенсивності</w:t>
            </w:r>
          </w:p>
        </w:tc>
        <w:tc>
          <w:tcPr>
            <w:tcW w:w="2126" w:type="dxa"/>
            <w:shd w:val="clear" w:color="auto" w:fill="auto"/>
          </w:tcPr>
          <w:p w:rsidR="00AF7ED0" w:rsidRPr="00270242" w:rsidRDefault="00AF7ED0" w:rsidP="00270242">
            <w:pPr>
              <w:tabs>
                <w:tab w:val="left" w:pos="66"/>
              </w:tabs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Інші лампи</w:t>
            </w:r>
          </w:p>
        </w:tc>
      </w:tr>
      <w:tr w:rsidR="00AF7ED0" w:rsidRPr="00270242" w:rsidTr="00270242">
        <w:tc>
          <w:tcPr>
            <w:tcW w:w="3085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0,95</w:t>
            </w:r>
          </w:p>
        </w:tc>
        <w:tc>
          <w:tcPr>
            <w:tcW w:w="2126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0,95</w:t>
            </w:r>
          </w:p>
        </w:tc>
        <w:tc>
          <w:tcPr>
            <w:tcW w:w="2552" w:type="dxa"/>
            <w:shd w:val="clear" w:color="auto" w:fill="auto"/>
          </w:tcPr>
          <w:p w:rsidR="00AF7ED0" w:rsidRPr="00270242" w:rsidRDefault="00AF7ED0" w:rsidP="00270242">
            <w:pPr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0,36</w:t>
            </w:r>
          </w:p>
        </w:tc>
        <w:tc>
          <w:tcPr>
            <w:tcW w:w="2126" w:type="dxa"/>
            <w:shd w:val="clear" w:color="auto" w:fill="auto"/>
          </w:tcPr>
          <w:p w:rsidR="00AF7ED0" w:rsidRPr="00270242" w:rsidRDefault="00AF7ED0" w:rsidP="00270242">
            <w:pPr>
              <w:tabs>
                <w:tab w:val="left" w:pos="66"/>
              </w:tabs>
              <w:spacing w:line="276" w:lineRule="auto"/>
              <w:jc w:val="center"/>
              <w:rPr>
                <w:lang w:val="uk-UA"/>
              </w:rPr>
            </w:pPr>
            <w:r w:rsidRPr="00270242">
              <w:rPr>
                <w:lang w:val="uk-UA"/>
              </w:rPr>
              <w:t>0,20</w:t>
            </w:r>
          </w:p>
        </w:tc>
      </w:tr>
    </w:tbl>
    <w:p w:rsidR="00AF7ED0" w:rsidRPr="00270242" w:rsidRDefault="00AF7ED0" w:rsidP="00270242">
      <w:pPr>
        <w:tabs>
          <w:tab w:val="left" w:pos="851"/>
          <w:tab w:val="left" w:pos="993"/>
          <w:tab w:val="left" w:pos="1580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270242">
        <w:rPr>
          <w:sz w:val="28"/>
          <w:szCs w:val="28"/>
          <w:lang w:val="uk-UA"/>
        </w:rPr>
        <w:t>1.2.</w:t>
      </w:r>
      <w:r w:rsidRPr="00270242">
        <w:rPr>
          <w:sz w:val="28"/>
          <w:szCs w:val="28"/>
          <w:lang w:val="uk-UA"/>
        </w:rPr>
        <w:tab/>
        <w:t>Вимоги енергоефективності до пускорегулівного апарату ламп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Не пізніше ніж через три роки з </w:t>
      </w:r>
      <w:r w:rsidR="00270242">
        <w:rPr>
          <w:sz w:val="28"/>
          <w:szCs w:val="28"/>
          <w:lang w:val="uk-UA"/>
        </w:rPr>
        <w:t>дати набрання</w:t>
      </w:r>
      <w:r w:rsidRPr="00EF3603">
        <w:rPr>
          <w:sz w:val="28"/>
          <w:szCs w:val="28"/>
          <w:lang w:val="uk-UA"/>
        </w:rPr>
        <w:t xml:space="preserve"> чинності Технічним регламентом щодо вимог </w:t>
      </w:r>
      <w:r w:rsidR="00BA5E97">
        <w:rPr>
          <w:sz w:val="28"/>
          <w:szCs w:val="28"/>
          <w:lang w:val="uk-UA"/>
        </w:rPr>
        <w:t>до</w:t>
      </w:r>
      <w:r w:rsidRPr="00EF3603">
        <w:rPr>
          <w:sz w:val="28"/>
          <w:szCs w:val="28"/>
          <w:lang w:val="uk-UA"/>
        </w:rPr>
        <w:t xml:space="preserve"> екодизайну для ламп спрямованого випромінення, світлодіодних ламп </w:t>
      </w:r>
      <w:r w:rsidR="00BA5E97">
        <w:rPr>
          <w:sz w:val="28"/>
          <w:szCs w:val="28"/>
          <w:lang w:val="uk-UA"/>
        </w:rPr>
        <w:t>та</w:t>
      </w:r>
      <w:r w:rsidRPr="00EF3603">
        <w:rPr>
          <w:sz w:val="28"/>
          <w:szCs w:val="28"/>
          <w:lang w:val="uk-UA"/>
        </w:rPr>
        <w:t xml:space="preserve"> пов’язаного обладнання значення потужності холостого ходу пускорегулівних апаратів ламп, призначених для використання між мережею і пристроєм для вмикання/вимикання лампи, не повинна перевищувати 0,50 Вт. Для пускорегулівного апарату ламп з вихідною потужністю (P) вище 250 Вт, граничні значення потужності холостого ходу мають бути помножені на Р/250 Вт.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lastRenderedPageBreak/>
        <w:t>Потужність у режимі очікування пускорегулівного апарату лампи не має перевищувати 0,50 Вт.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Ефективність пускорегулівного апарату для галогенної лампи має бути щонайменше 0,91 за умови 100 % навантаження.</w:t>
      </w:r>
    </w:p>
    <w:p w:rsidR="00AF7ED0" w:rsidRPr="00270242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270242">
        <w:rPr>
          <w:sz w:val="28"/>
          <w:szCs w:val="28"/>
          <w:lang w:val="uk-UA"/>
        </w:rPr>
        <w:t>2. Вимоги до функціональних характеристик</w:t>
      </w:r>
    </w:p>
    <w:p w:rsidR="00AF7ED0" w:rsidRPr="00270242" w:rsidRDefault="00AF7ED0" w:rsidP="00270242">
      <w:pPr>
        <w:tabs>
          <w:tab w:val="left" w:pos="1580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270242">
        <w:rPr>
          <w:sz w:val="28"/>
          <w:szCs w:val="28"/>
          <w:lang w:val="uk-UA"/>
        </w:rPr>
        <w:t>2.1.</w:t>
      </w:r>
      <w:r w:rsidRPr="00270242">
        <w:rPr>
          <w:sz w:val="28"/>
          <w:szCs w:val="28"/>
          <w:lang w:val="uk-UA"/>
        </w:rPr>
        <w:tab/>
        <w:t>Вимоги до функціональних характеристик ламп спрямованого випромінення крім світлодіодних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Вимоги до функціональних характеристик ламп встановлені в Таблиці 3 стосовно компактних люмінесцентних ламп спрямованого випромінення і в Таблиці 4 - для ламп спрямованого випромінення крім компактних люмінесцентних ламп, світлодіодних ламп та розрядних ламп високого тиску.</w:t>
      </w:r>
    </w:p>
    <w:p w:rsidR="00AF7ED0" w:rsidRPr="00270242" w:rsidRDefault="0080280D" w:rsidP="00270242">
      <w:pPr>
        <w:spacing w:before="240" w:line="276" w:lineRule="auto"/>
        <w:ind w:firstLine="567"/>
        <w:jc w:val="right"/>
        <w:rPr>
          <w:i/>
          <w:sz w:val="28"/>
          <w:szCs w:val="28"/>
          <w:lang w:val="uk-UA"/>
        </w:rPr>
      </w:pPr>
      <w:r w:rsidRPr="00270242">
        <w:rPr>
          <w:i/>
          <w:sz w:val="28"/>
          <w:szCs w:val="28"/>
          <w:lang w:val="uk-UA"/>
        </w:rPr>
        <w:t>Таблиця 3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AF7ED0" w:rsidRPr="00270242" w:rsidTr="00270242"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Функціональні характеристики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Деталізація конкретної вимоги, якщо не зазначено інше</w:t>
            </w:r>
          </w:p>
        </w:tc>
      </w:tr>
      <w:tr w:rsidR="00AF7ED0" w:rsidRPr="00270242" w:rsidTr="00270242">
        <w:tc>
          <w:tcPr>
            <w:tcW w:w="4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Коефіцієнт довговічності лампи за 6000 год.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0,70</w:t>
            </w:r>
          </w:p>
        </w:tc>
      </w:tr>
      <w:tr w:rsidR="00AF7ED0" w:rsidRPr="00270242" w:rsidTr="00270242">
        <w:tc>
          <w:tcPr>
            <w:tcW w:w="4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Стабільність світлового потоку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2 000 год.: ≥ 83%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6 000 год.: ≥ 70%</w:t>
            </w:r>
          </w:p>
        </w:tc>
      </w:tr>
      <w:tr w:rsidR="00AF7ED0" w:rsidRPr="00270242" w:rsidTr="00270242">
        <w:tc>
          <w:tcPr>
            <w:tcW w:w="4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циклів вмикання до відмови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154"/>
              </w:tabs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строк служби лампи в годинах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187"/>
              </w:tabs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30000 якщо час початку запалювання лампи &gt; 0,3 сек</w:t>
            </w:r>
          </w:p>
        </w:tc>
      </w:tr>
      <w:tr w:rsidR="00AF7ED0" w:rsidRPr="005120BE" w:rsidTr="00270242">
        <w:tc>
          <w:tcPr>
            <w:tcW w:w="4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 запалювання лампи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168"/>
              </w:tabs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&lt; 1,5 сек якщо P &lt; 10 Вт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168"/>
              </w:tabs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&lt; 1 с. якщо P ≥ 10 Вт</w:t>
            </w:r>
          </w:p>
        </w:tc>
      </w:tr>
      <w:tr w:rsidR="00AF7ED0" w:rsidRPr="00270242" w:rsidTr="00270242">
        <w:tc>
          <w:tcPr>
            <w:tcW w:w="4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 розгоряння лампи до  60 % Ф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&lt; 40 сек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 &lt; 100 сек для ламп, що містять ртуть у вигляді амальгами</w:t>
            </w:r>
          </w:p>
        </w:tc>
      </w:tr>
      <w:tr w:rsidR="00AF7ED0" w:rsidRPr="00270242" w:rsidTr="00270242">
        <w:tc>
          <w:tcPr>
            <w:tcW w:w="4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передчасних відмов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≤ 5 % за 1 000 год.</w:t>
            </w:r>
          </w:p>
        </w:tc>
      </w:tr>
      <w:tr w:rsidR="00AF7ED0" w:rsidRPr="005120BE" w:rsidTr="00270242">
        <w:tc>
          <w:tcPr>
            <w:tcW w:w="4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Коефіцієнт потужності ламп з вмонтованим пускорегулівним апаратом 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154"/>
              </w:tabs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0,55 якщо P &lt; 25 Вт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154"/>
              </w:tabs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0,9 якщо P ≥ 25 Вт</w:t>
            </w:r>
          </w:p>
        </w:tc>
      </w:tr>
      <w:tr w:rsidR="00AF7ED0" w:rsidRPr="00270242" w:rsidTr="00270242"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 кольоропередачі (Ra)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80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65 якщо лампа призначена для зовнішнього освітлення або промислового застосування</w:t>
            </w:r>
            <w:r w:rsidRPr="00270242" w:rsidDel="008806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відповідно до підпункту л) пункту 3.1.3 цього додатка</w:t>
            </w:r>
          </w:p>
        </w:tc>
      </w:tr>
    </w:tbl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lastRenderedPageBreak/>
        <w:t>Якщо цоколь лампи є стандартного типу, який також використовується з лампами розжарювання, то лампа повинна відповідати сучасним вимогам до сумісності з обладнанням, призначеним для установки між мережею та лампою розжарювання.</w:t>
      </w:r>
    </w:p>
    <w:p w:rsidR="00AF7ED0" w:rsidRPr="00270242" w:rsidRDefault="00547F6B" w:rsidP="00270242">
      <w:pPr>
        <w:spacing w:before="240" w:line="276" w:lineRule="auto"/>
        <w:ind w:firstLine="567"/>
        <w:jc w:val="right"/>
        <w:rPr>
          <w:i/>
          <w:sz w:val="28"/>
          <w:szCs w:val="28"/>
          <w:lang w:val="uk-UA"/>
        </w:rPr>
      </w:pPr>
      <w:r w:rsidRPr="00270242">
        <w:rPr>
          <w:i/>
          <w:sz w:val="28"/>
          <w:szCs w:val="28"/>
          <w:lang w:val="uk-UA"/>
        </w:rPr>
        <w:t>Таблиця 4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961"/>
      </w:tblGrid>
      <w:tr w:rsidR="00AF7ED0" w:rsidRPr="00270242" w:rsidTr="00270242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Функціональні характеристики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Деталізація конкретної вимоги</w:t>
            </w:r>
          </w:p>
        </w:tc>
      </w:tr>
      <w:tr w:rsidR="00AF7ED0" w:rsidRPr="00270242" w:rsidTr="00270242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Розрахунковий строк служби лампи на 50% значення довговічності лампи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269"/>
              </w:tabs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2 000 год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211"/>
              </w:tabs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4 000 год для ламп наднизької напруги</w:t>
            </w:r>
          </w:p>
        </w:tc>
      </w:tr>
      <w:tr w:rsidR="00AF7ED0" w:rsidRPr="00270242" w:rsidTr="00270242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Стабільність світлового потоку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80 % при 75 % від нормованого середнього строку служби</w:t>
            </w:r>
          </w:p>
        </w:tc>
      </w:tr>
      <w:tr w:rsidR="00AF7ED0" w:rsidRPr="00270242" w:rsidTr="00270242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циклів вмикання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в чотири рази вище від нормованого середнього строку служби в годинах</w:t>
            </w:r>
          </w:p>
        </w:tc>
      </w:tr>
      <w:tr w:rsidR="00AF7ED0" w:rsidRPr="00270242" w:rsidTr="00270242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 запалювання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&lt; 0,2 сек</w:t>
            </w:r>
          </w:p>
        </w:tc>
      </w:tr>
      <w:tr w:rsidR="00AF7ED0" w:rsidRPr="00270242" w:rsidTr="00270242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 розгоряння лампи до 60 % Ф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≤ 1 сек</w:t>
            </w:r>
          </w:p>
        </w:tc>
      </w:tr>
      <w:tr w:rsidR="00AF7ED0" w:rsidRPr="00270242" w:rsidTr="00270242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передчасних відмов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≤ 5 % за 200 год.</w:t>
            </w:r>
          </w:p>
        </w:tc>
      </w:tr>
      <w:tr w:rsidR="00AF7ED0" w:rsidRPr="00270242" w:rsidTr="00270242">
        <w:tc>
          <w:tcPr>
            <w:tcW w:w="4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Коефіцієнт потужності ламп з вмонтованим пускорегулівним апаратом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Потужність &gt; 25 Вт: ≥ 0,9</w:t>
            </w:r>
          </w:p>
          <w:p w:rsidR="00AF7ED0" w:rsidRPr="00270242" w:rsidRDefault="00AF7ED0" w:rsidP="00270242">
            <w:pPr>
              <w:pStyle w:val="a4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/>
                <w:sz w:val="24"/>
                <w:szCs w:val="24"/>
                <w:lang w:val="uk-UA"/>
              </w:rPr>
              <w:t>Потужність ≤ 25 Вт: ≥ 0,5</w:t>
            </w:r>
          </w:p>
        </w:tc>
      </w:tr>
    </w:tbl>
    <w:p w:rsidR="00AF7ED0" w:rsidRPr="00270242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270242">
        <w:rPr>
          <w:sz w:val="28"/>
          <w:szCs w:val="28"/>
          <w:lang w:val="uk-UA"/>
        </w:rPr>
        <w:t>2.2.</w:t>
      </w:r>
      <w:r w:rsidRPr="00270242">
        <w:rPr>
          <w:sz w:val="28"/>
          <w:szCs w:val="28"/>
          <w:lang w:val="uk-UA"/>
        </w:rPr>
        <w:tab/>
        <w:t>Вимоги до функціональних характеристик світлодіодних ламп неспрямованого і спрямованого випромінення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270242">
        <w:rPr>
          <w:sz w:val="28"/>
          <w:szCs w:val="28"/>
          <w:lang w:val="uk-UA"/>
        </w:rPr>
        <w:t>Вимоги до функціональних характеристик світлодіодних</w:t>
      </w:r>
      <w:r w:rsidRPr="00EF3603">
        <w:rPr>
          <w:sz w:val="28"/>
          <w:szCs w:val="28"/>
          <w:lang w:val="uk-UA"/>
        </w:rPr>
        <w:t xml:space="preserve"> ламп неспрямованого і спрямованого випромінення встановлені в Таблиці 5.</w:t>
      </w:r>
    </w:p>
    <w:p w:rsidR="00AF7ED0" w:rsidRPr="00270242" w:rsidRDefault="00C11737" w:rsidP="00270242">
      <w:pPr>
        <w:spacing w:before="240" w:line="276" w:lineRule="auto"/>
        <w:ind w:firstLine="567"/>
        <w:jc w:val="right"/>
        <w:rPr>
          <w:i/>
          <w:sz w:val="28"/>
          <w:szCs w:val="28"/>
          <w:lang w:val="uk-UA"/>
        </w:rPr>
      </w:pPr>
      <w:r w:rsidRPr="00270242">
        <w:rPr>
          <w:i/>
          <w:sz w:val="28"/>
          <w:szCs w:val="28"/>
          <w:lang w:val="uk-UA"/>
        </w:rPr>
        <w:t>Таблиця 5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5807"/>
      </w:tblGrid>
      <w:tr w:rsidR="00AF7ED0" w:rsidRPr="00270242" w:rsidTr="00A27B77"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Функціональні характеристики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keepNext/>
              <w:widowControl w:val="0"/>
              <w:tabs>
                <w:tab w:val="left" w:pos="252"/>
              </w:tabs>
              <w:spacing w:line="276" w:lineRule="auto"/>
              <w:ind w:firstLine="26"/>
              <w:jc w:val="center"/>
              <w:rPr>
                <w:b/>
                <w:bCs/>
                <w:i/>
                <w:iCs/>
                <w:lang w:val="uk-UA"/>
              </w:rPr>
            </w:pPr>
            <w:r w:rsidRPr="00270242">
              <w:rPr>
                <w:b/>
                <w:lang w:val="uk-UA"/>
              </w:rPr>
              <w:t>Деталізація конкретної вимоги, якщо не зазначено інше</w:t>
            </w:r>
          </w:p>
        </w:tc>
      </w:tr>
      <w:tr w:rsidR="00AF7ED0" w:rsidRPr="00270242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Коефіцієнт довговічності лампи за 6000 год.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0,9</w:t>
            </w:r>
          </w:p>
        </w:tc>
      </w:tr>
      <w:tr w:rsidR="00AF7ED0" w:rsidRPr="00270242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Стабільність світлового потоку за 6 000 год.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keepNext/>
              <w:widowControl w:val="0"/>
              <w:tabs>
                <w:tab w:val="left" w:pos="252"/>
              </w:tabs>
              <w:spacing w:line="276" w:lineRule="auto"/>
              <w:ind w:firstLine="26"/>
              <w:jc w:val="center"/>
              <w:rPr>
                <w:b/>
                <w:bCs/>
                <w:i/>
                <w:iCs/>
                <w:lang w:val="uk-UA"/>
              </w:rPr>
            </w:pPr>
            <w:r w:rsidRPr="00270242">
              <w:rPr>
                <w:lang w:val="uk-UA"/>
              </w:rPr>
              <w:t>≥ 0,8</w:t>
            </w:r>
          </w:p>
        </w:tc>
      </w:tr>
      <w:tr w:rsidR="00AF7ED0" w:rsidRPr="00270242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Кількість циклів вмикань до відмови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163"/>
              </w:tabs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≥ 15 000, якщо нормований строк служби лампи ≥ 30 000 год.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tabs>
                <w:tab w:val="left" w:pos="163"/>
              </w:tabs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інакше: не менше половини нормованого строку служби лампи в годинах</w:t>
            </w:r>
          </w:p>
        </w:tc>
      </w:tr>
      <w:tr w:rsidR="00AF7ED0" w:rsidRPr="00270242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Час запалювання лампи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&lt; 0,5 сек</w:t>
            </w:r>
          </w:p>
        </w:tc>
      </w:tr>
      <w:tr w:rsidR="00AF7ED0" w:rsidRPr="00270242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Час розгоряння лампи до  95 % Ф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270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&lt; 2 сек</w:t>
            </w:r>
          </w:p>
        </w:tc>
      </w:tr>
      <w:tr w:rsidR="00AF7ED0" w:rsidRPr="00270242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Рівень передчасних відмов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≤ 5 % за 1 000 год.</w:t>
            </w:r>
          </w:p>
        </w:tc>
      </w:tr>
      <w:tr w:rsidR="00AF7ED0" w:rsidRPr="00270242" w:rsidTr="00A27B77"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Індекс кольоропередачі (Ra)</w:t>
            </w:r>
          </w:p>
        </w:tc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≥ 80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≥ 65 якщо лампа призначена для зовнішнього застосування або промислових цілей відповідно до пункту 3.1.3 (l) цього Додатка</w:t>
            </w:r>
          </w:p>
        </w:tc>
      </w:tr>
      <w:tr w:rsidR="00AF7ED0" w:rsidRPr="00270242" w:rsidTr="00A27B77"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Рівномірність колірності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Змінення значень координат колірності в межах  6-</w:t>
            </w: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lastRenderedPageBreak/>
              <w:t>ступеневого (чи меншого) еліпса Мак Адама</w:t>
            </w:r>
          </w:p>
        </w:tc>
      </w:tr>
      <w:tr w:rsidR="00AF7ED0" w:rsidRPr="005120BE" w:rsidTr="00A27B77"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lastRenderedPageBreak/>
              <w:t>Коефіцієнт потужності лампи (PF) для ламп з умонтованим пускорегулівним апаратом</w:t>
            </w:r>
          </w:p>
        </w:tc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P ≤ 2 Вт: вимога відсутня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2 Вт &lt; P ≤ 5 Вт: PF &gt; 0,4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5 Вт &lt; P ≤ 25 Вт: PF &gt; 0,5</w:t>
            </w:r>
          </w:p>
          <w:p w:rsidR="00AF7ED0" w:rsidRPr="00270242" w:rsidRDefault="00AF7ED0" w:rsidP="00270242">
            <w:pPr>
              <w:pStyle w:val="3"/>
              <w:shd w:val="clear" w:color="auto" w:fill="auto"/>
              <w:spacing w:before="0" w:after="0" w:line="276" w:lineRule="auto"/>
              <w:ind w:firstLine="26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</w:pPr>
            <w:r w:rsidRPr="00270242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  <w:lang w:val="uk-UA" w:eastAsia="ru-RU"/>
              </w:rPr>
              <w:t>P &gt; 25 Вт: PF &gt; 0,9</w:t>
            </w:r>
          </w:p>
        </w:tc>
      </w:tr>
    </w:tbl>
    <w:p w:rsidR="00AF7ED0" w:rsidRPr="00EF3603" w:rsidRDefault="00AF7ED0" w:rsidP="00270242">
      <w:pPr>
        <w:tabs>
          <w:tab w:val="left" w:pos="252"/>
        </w:tabs>
        <w:spacing w:before="240" w:line="276" w:lineRule="auto"/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Якщо цоколь лампи є стандартного типу, який також використовується з лампами розжарювання, то лампа повинна відповідати сучасним вимогам до сумісності з обладнанням, призначеним для встановлення між мережею живлення та лампою розжарювання.</w:t>
      </w:r>
    </w:p>
    <w:p w:rsidR="00AF7ED0" w:rsidRPr="009E18DF" w:rsidRDefault="00AF7ED0" w:rsidP="009E18DF">
      <w:pPr>
        <w:tabs>
          <w:tab w:val="left" w:pos="252"/>
          <w:tab w:val="left" w:pos="993"/>
        </w:tabs>
        <w:spacing w:before="240" w:line="276" w:lineRule="auto"/>
        <w:ind w:firstLine="567"/>
        <w:jc w:val="both"/>
        <w:rPr>
          <w:bCs/>
          <w:i/>
          <w:iCs/>
          <w:sz w:val="28"/>
          <w:szCs w:val="28"/>
          <w:lang w:val="uk-UA"/>
        </w:rPr>
      </w:pPr>
      <w:r w:rsidRPr="009E18DF">
        <w:rPr>
          <w:sz w:val="28"/>
          <w:szCs w:val="28"/>
          <w:lang w:val="uk-UA"/>
        </w:rPr>
        <w:t>2.3.</w:t>
      </w:r>
      <w:r w:rsidRPr="009E18DF">
        <w:rPr>
          <w:sz w:val="28"/>
          <w:szCs w:val="28"/>
          <w:lang w:val="uk-UA"/>
        </w:rPr>
        <w:tab/>
        <w:t>Вимоги до функціональних характеристик обладнання, призначеного для встановлення між мережею живлення і лампами</w:t>
      </w:r>
    </w:p>
    <w:p w:rsidR="00AF7ED0" w:rsidRPr="009E18DF" w:rsidRDefault="00AF7ED0" w:rsidP="00270242">
      <w:pPr>
        <w:tabs>
          <w:tab w:val="left" w:pos="252"/>
        </w:tabs>
        <w:spacing w:before="240" w:line="276" w:lineRule="auto"/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а) </w:t>
      </w:r>
      <w:r w:rsidR="00C11737">
        <w:rPr>
          <w:sz w:val="28"/>
          <w:szCs w:val="28"/>
          <w:lang w:val="uk-UA"/>
        </w:rPr>
        <w:t>н</w:t>
      </w:r>
      <w:r w:rsidRPr="00EF3603">
        <w:rPr>
          <w:sz w:val="28"/>
          <w:szCs w:val="28"/>
          <w:lang w:val="uk-UA"/>
        </w:rPr>
        <w:t xml:space="preserve">е пізніше ніж через три роки з </w:t>
      </w:r>
      <w:r w:rsidR="009E18DF">
        <w:rPr>
          <w:sz w:val="28"/>
          <w:szCs w:val="28"/>
          <w:lang w:val="uk-UA"/>
        </w:rPr>
        <w:t>дня набрання</w:t>
      </w:r>
      <w:r w:rsidRPr="00EF3603">
        <w:rPr>
          <w:sz w:val="28"/>
          <w:szCs w:val="28"/>
          <w:lang w:val="uk-UA"/>
        </w:rPr>
        <w:t xml:space="preserve"> чинності Технічним регламентом щодо вимог </w:t>
      </w:r>
      <w:r w:rsidR="00BA5E97">
        <w:rPr>
          <w:sz w:val="28"/>
          <w:szCs w:val="28"/>
          <w:lang w:val="uk-UA"/>
        </w:rPr>
        <w:t>до</w:t>
      </w:r>
      <w:r w:rsidRPr="00EF3603">
        <w:rPr>
          <w:sz w:val="28"/>
          <w:szCs w:val="28"/>
          <w:lang w:val="uk-UA"/>
        </w:rPr>
        <w:t xml:space="preserve"> екодизайну для ламп спрямованого </w:t>
      </w:r>
      <w:r w:rsidRPr="00C11737">
        <w:rPr>
          <w:sz w:val="28"/>
          <w:szCs w:val="28"/>
          <w:lang w:val="uk-UA"/>
        </w:rPr>
        <w:t>випромінення</w:t>
      </w:r>
      <w:r w:rsidR="00BA5E97">
        <w:rPr>
          <w:sz w:val="28"/>
          <w:szCs w:val="28"/>
          <w:lang w:val="uk-UA"/>
        </w:rPr>
        <w:t>, світлодіодних ламп та</w:t>
      </w:r>
      <w:r w:rsidRPr="00EF3603">
        <w:rPr>
          <w:sz w:val="28"/>
          <w:szCs w:val="28"/>
          <w:lang w:val="uk-UA"/>
        </w:rPr>
        <w:t xml:space="preserve"> пов'язаного обладнання, устаткування, призначене для встановлення між мережею живлення та лампами, повинно відповідати сучасним вимогам до сумісності з лампами, індекс енергоефективності яких (розрахований для ламп спрямованого світла і для ламп неспрямованого світла відповідно до методу, викладеному у пункті 1.1 цього Додатку) не більше</w:t>
      </w:r>
      <w:r w:rsidR="00C11737" w:rsidRPr="009E18DF">
        <w:rPr>
          <w:sz w:val="28"/>
          <w:szCs w:val="28"/>
          <w:lang w:val="uk-UA"/>
        </w:rPr>
        <w:t>:</w:t>
      </w:r>
    </w:p>
    <w:p w:rsidR="00AF7ED0" w:rsidRPr="00C11737" w:rsidRDefault="00C11737" w:rsidP="0027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F7ED0" w:rsidRPr="00EF3603">
        <w:rPr>
          <w:sz w:val="28"/>
          <w:szCs w:val="28"/>
          <w:lang w:val="uk-UA"/>
        </w:rPr>
        <w:t xml:space="preserve"> 0,24 для ламп неспрямованого світла (за умови, що Φ</w:t>
      </w:r>
      <w:r w:rsidR="00BA5E97">
        <w:rPr>
          <w:sz w:val="28"/>
          <w:szCs w:val="28"/>
          <w:vertAlign w:val="subscript"/>
          <w:lang w:val="en-US"/>
        </w:rPr>
        <w:t>use</w:t>
      </w:r>
      <w:r w:rsidR="00AF7ED0" w:rsidRPr="00EF3603">
        <w:rPr>
          <w:sz w:val="28"/>
          <w:szCs w:val="28"/>
          <w:lang w:val="uk-UA"/>
        </w:rPr>
        <w:t xml:space="preserve">  =  нормоване значення загального світлового потоку)</w:t>
      </w:r>
      <w:r w:rsidRPr="00C11737">
        <w:rPr>
          <w:sz w:val="28"/>
          <w:szCs w:val="28"/>
        </w:rPr>
        <w:t>;</w:t>
      </w:r>
    </w:p>
    <w:p w:rsidR="00AF7ED0" w:rsidRPr="00EF3603" w:rsidRDefault="00C11737" w:rsidP="0027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F7ED0" w:rsidRPr="00EF3603">
        <w:rPr>
          <w:sz w:val="28"/>
          <w:szCs w:val="28"/>
          <w:lang w:val="uk-UA"/>
        </w:rPr>
        <w:t xml:space="preserve"> 0,4</w:t>
      </w:r>
      <w:r w:rsidR="00BA5E97" w:rsidRPr="005120BE">
        <w:rPr>
          <w:sz w:val="28"/>
          <w:szCs w:val="28"/>
          <w:lang w:val="uk-UA"/>
        </w:rPr>
        <w:t>0</w:t>
      </w:r>
      <w:r w:rsidR="00AF7ED0" w:rsidRPr="00EF3603">
        <w:rPr>
          <w:sz w:val="28"/>
          <w:szCs w:val="28"/>
          <w:lang w:val="uk-UA"/>
        </w:rPr>
        <w:t xml:space="preserve"> для ламп спрямованого світла.</w:t>
      </w:r>
    </w:p>
    <w:p w:rsidR="00AF7ED0" w:rsidRPr="00EF3603" w:rsidRDefault="00AF7ED0" w:rsidP="0027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Коли регулятор освітленості включено на найнижчий рівень регулювання, при якому фу</w:t>
      </w:r>
      <w:r w:rsidR="00C11737">
        <w:rPr>
          <w:sz w:val="28"/>
          <w:szCs w:val="28"/>
          <w:lang w:val="uk-UA"/>
        </w:rPr>
        <w:t>н</w:t>
      </w:r>
      <w:r w:rsidRPr="00EF3603">
        <w:rPr>
          <w:sz w:val="28"/>
          <w:szCs w:val="28"/>
          <w:lang w:val="uk-UA"/>
        </w:rPr>
        <w:t>кціонуючі лампи споживають енергію, лампа, що горить, має випромінювати, принаймні, 1% від її світлового потоку при повному навантаженні.</w:t>
      </w:r>
    </w:p>
    <w:p w:rsidR="00AF7ED0" w:rsidRPr="00EF3603" w:rsidRDefault="00AF7ED0" w:rsidP="00270242">
      <w:pPr>
        <w:tabs>
          <w:tab w:val="left" w:pos="252"/>
        </w:tabs>
        <w:spacing w:before="240" w:line="276" w:lineRule="auto"/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Коли світильник введений в обіг і призначений для продажу кінцевим </w:t>
      </w:r>
      <w:r w:rsidR="00BA5E97">
        <w:rPr>
          <w:sz w:val="28"/>
          <w:szCs w:val="28"/>
          <w:lang w:val="uk-UA"/>
        </w:rPr>
        <w:t>спожмвачам</w:t>
      </w:r>
      <w:r w:rsidRPr="00EF3603">
        <w:rPr>
          <w:sz w:val="28"/>
          <w:szCs w:val="28"/>
          <w:lang w:val="uk-UA"/>
        </w:rPr>
        <w:t xml:space="preserve">, а лампи, які кінцевий </w:t>
      </w:r>
      <w:r w:rsidR="00BA5E97">
        <w:rPr>
          <w:sz w:val="28"/>
          <w:szCs w:val="28"/>
          <w:lang w:val="uk-UA"/>
        </w:rPr>
        <w:t>споживач</w:t>
      </w:r>
      <w:r w:rsidRPr="00EF3603">
        <w:rPr>
          <w:sz w:val="28"/>
          <w:szCs w:val="28"/>
          <w:lang w:val="uk-UA"/>
        </w:rPr>
        <w:t xml:space="preserve"> може замінити, включені у світильник, то такі лампи мають відповідати одному з двох вищих класів енергоефективності, відповідно до вимог Технічного регламенту енергетичного маркування електричних ламп та світильників, затвердженого постановою Кабінету Міністрів України від 27 травня 2015 р. № 340 (Офіційний вісник України, 2015 р., № 44, ст. 1387), за яким світильник маркований як суміщений.</w:t>
      </w:r>
    </w:p>
    <w:p w:rsidR="00AF7ED0" w:rsidRPr="00EF3603" w:rsidRDefault="00AF7ED0" w:rsidP="0027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lastRenderedPageBreak/>
        <w:t xml:space="preserve">б) </w:t>
      </w:r>
      <w:r w:rsidR="00C11737">
        <w:rPr>
          <w:sz w:val="28"/>
          <w:szCs w:val="28"/>
          <w:lang w:val="uk-UA"/>
        </w:rPr>
        <w:t>н</w:t>
      </w:r>
      <w:r w:rsidRPr="00EF3603">
        <w:rPr>
          <w:sz w:val="28"/>
          <w:szCs w:val="28"/>
          <w:lang w:val="uk-UA"/>
        </w:rPr>
        <w:t xml:space="preserve">е пізніше ніж через три роки з </w:t>
      </w:r>
      <w:r w:rsidR="009E18DF">
        <w:rPr>
          <w:sz w:val="28"/>
          <w:szCs w:val="28"/>
          <w:lang w:val="uk-UA"/>
        </w:rPr>
        <w:t>дня набрання</w:t>
      </w:r>
      <w:r w:rsidRPr="00EF3603">
        <w:rPr>
          <w:sz w:val="28"/>
          <w:szCs w:val="28"/>
          <w:lang w:val="uk-UA"/>
        </w:rPr>
        <w:t xml:space="preserve"> чинності Технічним регламентом щодо</w:t>
      </w:r>
      <w:r w:rsidR="009E18DF">
        <w:rPr>
          <w:sz w:val="28"/>
          <w:szCs w:val="28"/>
          <w:lang w:val="uk-UA"/>
        </w:rPr>
        <w:t xml:space="preserve"> встановленя</w:t>
      </w:r>
      <w:r w:rsidRPr="00EF3603">
        <w:rPr>
          <w:sz w:val="28"/>
          <w:szCs w:val="28"/>
          <w:lang w:val="uk-UA"/>
        </w:rPr>
        <w:t xml:space="preserve"> вимог </w:t>
      </w:r>
      <w:r w:rsidR="009E18DF">
        <w:rPr>
          <w:sz w:val="28"/>
          <w:szCs w:val="28"/>
          <w:lang w:val="uk-UA"/>
        </w:rPr>
        <w:t>з</w:t>
      </w:r>
      <w:r w:rsidRPr="00EF3603">
        <w:rPr>
          <w:sz w:val="28"/>
          <w:szCs w:val="28"/>
          <w:lang w:val="uk-UA"/>
        </w:rPr>
        <w:t xml:space="preserve"> екодизайну для ламп спрямованого </w:t>
      </w:r>
      <w:r w:rsidRPr="009A2061">
        <w:rPr>
          <w:sz w:val="28"/>
          <w:szCs w:val="28"/>
          <w:lang w:val="uk-UA"/>
        </w:rPr>
        <w:t>випромінення</w:t>
      </w:r>
      <w:r w:rsidRPr="00EF3603">
        <w:rPr>
          <w:sz w:val="28"/>
          <w:szCs w:val="28"/>
          <w:lang w:val="uk-UA"/>
        </w:rPr>
        <w:t xml:space="preserve">, світлодіодних ламп і пов'язаного з ними обладнання світильник для ламп, призначених для заміни кінцевим користувачем, який введений в обіг, повинен бути повністю сумісним з лампами класу енергоефективності щонайменше “A+” згідно з положеннями Технічного регламенту енергетичного маркування електричних ламп та світильників, затвердженого постановою Кабінету Міністрів України від 27 травня 2015 р. № 340 (Офіційний вісник України, 2015 р., № 44, ст. 1387). У файлі технічної документації таких світильників, складеному в цілях оцінки відповідності згідно Технічному регламенту щодо </w:t>
      </w:r>
      <w:r w:rsidR="009E18DF">
        <w:rPr>
          <w:sz w:val="28"/>
          <w:szCs w:val="28"/>
          <w:lang w:val="uk-UA"/>
        </w:rPr>
        <w:t xml:space="preserve">встановлення </w:t>
      </w:r>
      <w:r w:rsidRPr="00EF3603">
        <w:rPr>
          <w:sz w:val="28"/>
          <w:szCs w:val="28"/>
          <w:lang w:val="uk-UA"/>
        </w:rPr>
        <w:t xml:space="preserve">вимог </w:t>
      </w:r>
      <w:r w:rsidR="009E18DF">
        <w:rPr>
          <w:sz w:val="28"/>
          <w:szCs w:val="28"/>
          <w:lang w:val="uk-UA"/>
        </w:rPr>
        <w:t>з</w:t>
      </w:r>
      <w:r w:rsidRPr="00EF3603">
        <w:rPr>
          <w:sz w:val="28"/>
          <w:szCs w:val="28"/>
          <w:lang w:val="uk-UA"/>
        </w:rPr>
        <w:t xml:space="preserve"> екодизайну </w:t>
      </w:r>
      <w:r w:rsidR="009E18DF">
        <w:rPr>
          <w:sz w:val="28"/>
          <w:szCs w:val="28"/>
          <w:lang w:val="uk-UA"/>
        </w:rPr>
        <w:t xml:space="preserve">енергоспоживчих </w:t>
      </w:r>
      <w:r w:rsidRPr="00EF3603">
        <w:rPr>
          <w:sz w:val="28"/>
          <w:szCs w:val="28"/>
          <w:lang w:val="uk-UA"/>
        </w:rPr>
        <w:t>проду</w:t>
      </w:r>
      <w:r w:rsidR="009E18DF">
        <w:rPr>
          <w:sz w:val="28"/>
          <w:szCs w:val="28"/>
          <w:lang w:val="uk-UA"/>
        </w:rPr>
        <w:t>ктів</w:t>
      </w:r>
      <w:r w:rsidRPr="00EF3603">
        <w:rPr>
          <w:sz w:val="28"/>
          <w:szCs w:val="28"/>
          <w:lang w:val="uk-UA"/>
        </w:rPr>
        <w:t>, затвердженому постановою Кабінету Міністрів України від __ _____ 20__ р. № __ (Офіційний вісник України, 20__ р., № __, ст. __), повинна зазначатися щонайменше одна реалістична комбінація параметрів продукту та умов випробування продукту.</w:t>
      </w:r>
    </w:p>
    <w:p w:rsidR="00AF7ED0" w:rsidRPr="009E18DF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E18DF">
        <w:rPr>
          <w:sz w:val="28"/>
          <w:szCs w:val="28"/>
          <w:lang w:val="uk-UA"/>
        </w:rPr>
        <w:t>3. Вимоги до інформації про продукт</w:t>
      </w:r>
    </w:p>
    <w:p w:rsidR="00AF7ED0" w:rsidRPr="009E18DF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E18DF">
        <w:rPr>
          <w:sz w:val="28"/>
          <w:szCs w:val="28"/>
          <w:lang w:val="uk-UA"/>
        </w:rPr>
        <w:t>3.1.</w:t>
      </w:r>
      <w:r w:rsidRPr="009E18DF">
        <w:rPr>
          <w:sz w:val="28"/>
          <w:szCs w:val="28"/>
          <w:lang w:val="uk-UA"/>
        </w:rPr>
        <w:tab/>
        <w:t>Вимоги до інформації про продукт стосовно ламп спрямованого випромінення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Не пізніше ніж через три роки з </w:t>
      </w:r>
      <w:r w:rsidR="009E18DF">
        <w:rPr>
          <w:sz w:val="28"/>
          <w:szCs w:val="28"/>
          <w:lang w:val="uk-UA"/>
        </w:rPr>
        <w:t>дати набрання</w:t>
      </w:r>
      <w:r w:rsidRPr="00EF3603">
        <w:rPr>
          <w:sz w:val="28"/>
          <w:szCs w:val="28"/>
          <w:lang w:val="uk-UA"/>
        </w:rPr>
        <w:t xml:space="preserve"> чинності Технічним регламентом щодо</w:t>
      </w:r>
      <w:r w:rsidR="00BA5E97">
        <w:rPr>
          <w:sz w:val="28"/>
          <w:szCs w:val="28"/>
          <w:lang w:val="uk-UA"/>
        </w:rPr>
        <w:t xml:space="preserve"> </w:t>
      </w:r>
      <w:r w:rsidRPr="00EF3603">
        <w:rPr>
          <w:sz w:val="28"/>
          <w:szCs w:val="28"/>
          <w:lang w:val="uk-UA"/>
        </w:rPr>
        <w:t xml:space="preserve">вимог </w:t>
      </w:r>
      <w:r w:rsidR="00BA5E97">
        <w:rPr>
          <w:sz w:val="28"/>
          <w:szCs w:val="28"/>
          <w:lang w:val="uk-UA"/>
        </w:rPr>
        <w:t xml:space="preserve">до </w:t>
      </w:r>
      <w:r w:rsidRPr="00EF3603">
        <w:rPr>
          <w:sz w:val="28"/>
          <w:szCs w:val="28"/>
          <w:lang w:val="uk-UA"/>
        </w:rPr>
        <w:t xml:space="preserve">екодизайну для ламп спрямованого </w:t>
      </w:r>
      <w:r w:rsidRPr="009A2061">
        <w:rPr>
          <w:sz w:val="28"/>
          <w:szCs w:val="28"/>
          <w:lang w:val="uk-UA"/>
        </w:rPr>
        <w:t>випромінення</w:t>
      </w:r>
      <w:r w:rsidRPr="00EF3603">
        <w:rPr>
          <w:sz w:val="28"/>
          <w:szCs w:val="28"/>
          <w:lang w:val="uk-UA"/>
        </w:rPr>
        <w:t xml:space="preserve">, світлодіодних ламп </w:t>
      </w:r>
      <w:r w:rsidR="00BA5E97">
        <w:rPr>
          <w:sz w:val="28"/>
          <w:szCs w:val="28"/>
          <w:lang w:val="uk-UA"/>
        </w:rPr>
        <w:t>та</w:t>
      </w:r>
      <w:r w:rsidRPr="00EF3603">
        <w:rPr>
          <w:sz w:val="28"/>
          <w:szCs w:val="28"/>
          <w:lang w:val="uk-UA"/>
        </w:rPr>
        <w:t xml:space="preserve"> пов'язаного обладнання, за винятком випадків, де передбачено інше, має  надаватись нижченаведена інформація. Ці вимоги не застосовуються до:</w:t>
      </w:r>
    </w:p>
    <w:p w:rsidR="00AF7ED0" w:rsidRPr="009A2061" w:rsidRDefault="009A2061" w:rsidP="00270242">
      <w:pPr>
        <w:spacing w:before="24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AF7ED0" w:rsidRPr="00EF3603">
        <w:rPr>
          <w:sz w:val="28"/>
          <w:szCs w:val="28"/>
          <w:lang w:val="uk-UA"/>
        </w:rPr>
        <w:t xml:space="preserve"> ламп розжарювання, що не відповідають вимогам щодо ефективності</w:t>
      </w:r>
      <w:r w:rsidRPr="009A2061">
        <w:rPr>
          <w:sz w:val="28"/>
          <w:szCs w:val="28"/>
        </w:rPr>
        <w:t>;</w:t>
      </w:r>
    </w:p>
    <w:p w:rsidR="00AF7ED0" w:rsidRPr="00EF3603" w:rsidRDefault="009A2061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F7ED0" w:rsidRPr="00EF3603">
        <w:rPr>
          <w:sz w:val="28"/>
          <w:szCs w:val="28"/>
          <w:lang w:val="uk-UA"/>
        </w:rPr>
        <w:t xml:space="preserve"> світлодіодних модулів, які введені в обіг як частина світильника, з якого вони не призначені для видалення кінцевим споживачем.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У всіх формах інформації про продукцію термін «енергозберігаючі лампи» або будь-які аналогічні рекламні заяви про продукт щодо ефективності ламп можуть бути використані за умови, якщо індекс енергоефективності лампи (розрахований відповідно до методу, викладеному у пункті 1.1 цього </w:t>
      </w:r>
      <w:r w:rsidR="00E8063D">
        <w:rPr>
          <w:sz w:val="28"/>
          <w:szCs w:val="28"/>
          <w:lang w:val="uk-UA"/>
        </w:rPr>
        <w:t>додатку) нижче або дорівнює 0,4</w:t>
      </w:r>
      <w:r w:rsidR="00BA5E97">
        <w:rPr>
          <w:sz w:val="28"/>
          <w:szCs w:val="28"/>
          <w:lang w:val="uk-UA"/>
        </w:rPr>
        <w:t>0</w:t>
      </w:r>
      <w:r w:rsidRPr="00EF3603">
        <w:rPr>
          <w:sz w:val="28"/>
          <w:szCs w:val="28"/>
          <w:lang w:val="uk-UA"/>
        </w:rPr>
        <w:t>.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3.1.1. Інформація, що має відображатися на самій лампі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lastRenderedPageBreak/>
        <w:t>На поверхнях ламп, інших ніж розрядні лампи високого тиску, мають бути відображені розбірливим шрифтом значення і одиниця вимірювання («лм», «K» і «°») номінального корисного світлового потоку, колірної температури і номінального кута випромінення, якщо після нанесення такої інформації щодо безпеки, як потужність і напруга, залишається достатньо місця для нанесення попередньо зазначеної інформації без суттєвої перешкоди світлу, що йде від лампи.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Якщо є місце тільки для одного з трьох значень, потрібно вказати номінальне значення корисного світлового потоку. Якщо є місце для двох значень, потрібно вказати номінальне значення корисного світлового потоку  і значення колірної температури.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3.1.2. Інформація, яку можуть бачити кінцеві споживачі перед купівлею виробів, розміщена на упаковці і на веб-сайтах із вільним доступом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Інформація, зазначена нижче в </w:t>
      </w:r>
      <w:r w:rsidRPr="009E18DF">
        <w:rPr>
          <w:sz w:val="28"/>
          <w:szCs w:val="28"/>
          <w:lang w:val="uk-UA"/>
        </w:rPr>
        <w:t xml:space="preserve">пунктах </w:t>
      </w:r>
      <w:r w:rsidR="009E18DF" w:rsidRPr="009E18DF">
        <w:rPr>
          <w:sz w:val="28"/>
          <w:szCs w:val="28"/>
          <w:lang w:val="uk-UA"/>
        </w:rPr>
        <w:t>1</w:t>
      </w:r>
      <w:r w:rsidRPr="009E18DF">
        <w:rPr>
          <w:sz w:val="28"/>
          <w:szCs w:val="28"/>
          <w:lang w:val="uk-UA"/>
        </w:rPr>
        <w:t xml:space="preserve">) - </w:t>
      </w:r>
      <w:r w:rsidR="009E18DF" w:rsidRPr="009E18DF">
        <w:rPr>
          <w:sz w:val="28"/>
          <w:szCs w:val="28"/>
          <w:lang w:val="uk-UA"/>
        </w:rPr>
        <w:t>15</w:t>
      </w:r>
      <w:r w:rsidRPr="009E18DF">
        <w:rPr>
          <w:sz w:val="28"/>
          <w:szCs w:val="28"/>
          <w:lang w:val="uk-UA"/>
        </w:rPr>
        <w:t>) ,</w:t>
      </w:r>
      <w:r w:rsidRPr="00EF3603">
        <w:rPr>
          <w:sz w:val="28"/>
          <w:szCs w:val="28"/>
          <w:lang w:val="uk-UA"/>
        </w:rPr>
        <w:t xml:space="preserve"> має відображатися на веб-сайтах із вільним доступом та в будь-який інший формі на розсуд виробника. Якщо продукт  введено в обіг в упаковці, що містить інформацію, яка буде видима для кінцевих споживачів перед купівлею, ця інформація має бути ясно і чітко вказана на упаковці.</w:t>
      </w:r>
    </w:p>
    <w:p w:rsidR="00AF7ED0" w:rsidRPr="00EF3603" w:rsidRDefault="00AF7ED0" w:rsidP="00270242">
      <w:pPr>
        <w:tabs>
          <w:tab w:val="left" w:pos="252"/>
        </w:tabs>
        <w:spacing w:before="240" w:line="276" w:lineRule="auto"/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Інформація може не використовувати формулювання, як вказано нижче. Вона може відображатися у вигляді графіків, малюнків або символів.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н</w:t>
      </w:r>
      <w:r w:rsidR="00AF7ED0" w:rsidRPr="00EF3603">
        <w:rPr>
          <w:sz w:val="28"/>
          <w:szCs w:val="28"/>
          <w:lang w:val="uk-UA"/>
        </w:rPr>
        <w:t>омінальне значення корисного світлового потоку наноситься шрифтом, принаймні вдвічі більшим, ніж  номінальне значення потужності лампи;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н</w:t>
      </w:r>
      <w:r w:rsidR="00AF7ED0" w:rsidRPr="00EF3603">
        <w:rPr>
          <w:sz w:val="28"/>
          <w:szCs w:val="28"/>
          <w:lang w:val="uk-UA"/>
        </w:rPr>
        <w:t>омінальне значення строку служби лампи в годинах (але не більше ніж нормоване значення строку служби);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з</w:t>
      </w:r>
      <w:r w:rsidR="00AF7ED0" w:rsidRPr="00EF3603">
        <w:rPr>
          <w:sz w:val="28"/>
          <w:szCs w:val="28"/>
          <w:lang w:val="uk-UA"/>
        </w:rPr>
        <w:t>начення колірної температури, в градусах Кельвіна, а також в графічному вигляді або у вигляді тексту;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F7ED0" w:rsidRPr="00EF3603">
        <w:rPr>
          <w:sz w:val="28"/>
          <w:szCs w:val="28"/>
          <w:lang w:val="uk-UA"/>
        </w:rPr>
        <w:t xml:space="preserve">)  </w:t>
      </w:r>
      <w:r w:rsidR="00E8063D">
        <w:rPr>
          <w:sz w:val="28"/>
          <w:szCs w:val="28"/>
          <w:lang w:val="uk-UA"/>
        </w:rPr>
        <w:t>к</w:t>
      </w:r>
      <w:r w:rsidR="00AF7ED0" w:rsidRPr="00EF3603">
        <w:rPr>
          <w:sz w:val="28"/>
          <w:szCs w:val="28"/>
          <w:lang w:val="uk-UA"/>
        </w:rPr>
        <w:t>ількість циклів вмикання до передчасної відмови;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з</w:t>
      </w:r>
      <w:r w:rsidR="00AF7ED0" w:rsidRPr="00EF3603">
        <w:rPr>
          <w:sz w:val="28"/>
          <w:szCs w:val="28"/>
          <w:lang w:val="uk-UA"/>
        </w:rPr>
        <w:t>начення часу розгоряння до 60% від повного світлового потоку (може бути вказаний як «миттєве значення повного світлового потоку» якщо час менше 1 секунди);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з</w:t>
      </w:r>
      <w:r w:rsidR="00AF7ED0" w:rsidRPr="00EF3603">
        <w:rPr>
          <w:sz w:val="28"/>
          <w:szCs w:val="28"/>
          <w:lang w:val="uk-UA"/>
        </w:rPr>
        <w:t>астереження щодо того, що освітленість лампи не може регулюватись або може тільки за допомогою певних пристроїв регулювання (димерів); в останньому випадку на сайті виробника має надаватись перелік належних димерів;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я</w:t>
      </w:r>
      <w:r w:rsidR="00AF7ED0" w:rsidRPr="00EF3603">
        <w:rPr>
          <w:sz w:val="28"/>
          <w:szCs w:val="28"/>
          <w:lang w:val="uk-UA"/>
        </w:rPr>
        <w:t>кщо продукт спроектовано для оптимального використання в нестандартних умовах (наприклад, температури навколишнього середовища T</w:t>
      </w:r>
      <w:r w:rsidR="006C46FE">
        <w:rPr>
          <w:sz w:val="28"/>
          <w:szCs w:val="28"/>
          <w:vertAlign w:val="subscript"/>
          <w:lang w:val="uk-UA"/>
        </w:rPr>
        <w:t>а</w:t>
      </w:r>
      <w:r w:rsidR="00AF7ED0" w:rsidRPr="00EF3603">
        <w:rPr>
          <w:sz w:val="28"/>
          <w:szCs w:val="28"/>
          <w:lang w:val="uk-UA"/>
        </w:rPr>
        <w:t>≠25°C або є необхідним певне терморегулювання), інформація про ці умови;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р</w:t>
      </w:r>
      <w:r w:rsidR="00AF7ED0" w:rsidRPr="00EF3603">
        <w:rPr>
          <w:sz w:val="28"/>
          <w:szCs w:val="28"/>
          <w:lang w:val="uk-UA"/>
        </w:rPr>
        <w:t xml:space="preserve">озміри лампи в міліметрах (довжина і максимальний діаметр); 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н</w:t>
      </w:r>
      <w:r w:rsidR="00AF7ED0" w:rsidRPr="00EF3603">
        <w:rPr>
          <w:sz w:val="28"/>
          <w:szCs w:val="28"/>
          <w:lang w:val="uk-UA"/>
        </w:rPr>
        <w:t>омінальне значення кута випромінення в градусах;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я</w:t>
      </w:r>
      <w:r w:rsidR="00AF7ED0" w:rsidRPr="00EF3603">
        <w:rPr>
          <w:sz w:val="28"/>
          <w:szCs w:val="28"/>
          <w:lang w:val="uk-UA"/>
        </w:rPr>
        <w:t>кщо кут випромінення лампи ≥ 90° і його корисний світловий потік, як визначено в пункті 1.1 цього додатку, вимірюється в конусі 120°, то має бути попередження про те, що лампа не підходить для акцентного освітлення;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я</w:t>
      </w:r>
      <w:r w:rsidR="00AF7ED0" w:rsidRPr="00EF3603">
        <w:rPr>
          <w:sz w:val="28"/>
          <w:szCs w:val="28"/>
          <w:lang w:val="uk-UA"/>
        </w:rPr>
        <w:t>кщо цоколь лампи є стандартного типу, який також використовується з лампами розжарювання, але розміри лампи відрізняються від розмірів замінюваної ламп(и) розжарювання, має бути наведено рисунок з порівнянням розмірів лампи для заміни і розмірів замінюваної ламп (и) розжарювання;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в</w:t>
      </w:r>
      <w:r w:rsidR="00AF7ED0" w:rsidRPr="00EF3603">
        <w:rPr>
          <w:sz w:val="28"/>
          <w:szCs w:val="28"/>
          <w:lang w:val="uk-UA"/>
        </w:rPr>
        <w:t>казівка про те, що лампа належить до типу з переліку в першій колонці Таблиці 6, має бути наведена тільки у разі, якщо значення світлового потоку лампи в конусі 90° (Φ</w:t>
      </w:r>
      <w:r w:rsidR="00AF7ED0" w:rsidRPr="00EF3603">
        <w:rPr>
          <w:sz w:val="28"/>
          <w:szCs w:val="28"/>
          <w:vertAlign w:val="subscript"/>
          <w:lang w:val="uk-UA"/>
        </w:rPr>
        <w:t>90°</w:t>
      </w:r>
      <w:r w:rsidR="00AF7ED0" w:rsidRPr="00EF3603">
        <w:rPr>
          <w:sz w:val="28"/>
          <w:szCs w:val="28"/>
          <w:lang w:val="uk-UA"/>
        </w:rPr>
        <w:t>) не нижче, ніж еталонне значення світлового потоку , зазначеного в Таблиці 6 для найменшої потужності серед ламп даного типу. Еталонне значення світлового потоку має бути помножене на коригувальний коефіцієнт, значення якого наведено у Таблиці 7. Для світлодіодних ламп він має бути додатково помножений на коригувальний коефіцієнт, значення якого наведено у Таблиці 8;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з</w:t>
      </w:r>
      <w:r w:rsidR="00AF7ED0" w:rsidRPr="00EF3603">
        <w:rPr>
          <w:sz w:val="28"/>
          <w:szCs w:val="28"/>
          <w:lang w:val="uk-UA"/>
        </w:rPr>
        <w:t>аява про еквівалентність у вигляді потужності замінюваного типу ламп може зазначатися тільки тоді, коли замінюючий тип ламп вказаний в Таблиці 6 і якщо значення світлового потоку лампи в конусі 90° (Φ</w:t>
      </w:r>
      <w:r w:rsidR="00AF7ED0" w:rsidRPr="00EF3603">
        <w:rPr>
          <w:sz w:val="28"/>
          <w:szCs w:val="28"/>
          <w:vertAlign w:val="subscript"/>
          <w:lang w:val="uk-UA"/>
        </w:rPr>
        <w:t>90°</w:t>
      </w:r>
      <w:r w:rsidR="00AF7ED0" w:rsidRPr="00EF3603">
        <w:rPr>
          <w:sz w:val="28"/>
          <w:szCs w:val="28"/>
          <w:lang w:val="uk-UA"/>
        </w:rPr>
        <w:t xml:space="preserve">) не нижче, ніж відповідне еталонне значення світлового потоку в Таблиці 6. Еталонне значення світлового потоку має бути помножене на коригувальний коефіцієнт, значення якого наведено у Таблиці 7. Для світлодіодних ламп він має бути додатково помножений на коригувальний коефіцієнт, значення </w:t>
      </w:r>
      <w:r w:rsidR="00AF7ED0" w:rsidRPr="00EF3603">
        <w:rPr>
          <w:sz w:val="28"/>
          <w:szCs w:val="28"/>
          <w:lang w:val="uk-UA"/>
        </w:rPr>
        <w:lastRenderedPageBreak/>
        <w:t>якого наведено у Таблиці 8. Проміжні значення як світлового потоку, так і заявленої еквівалентної потужності лампи обчислюються способом лінійної інтерполяції між двома сусідніми значеннями та округлюються до найближчого значення, кратного 1 Вт.</w:t>
      </w:r>
    </w:p>
    <w:p w:rsidR="00AF7ED0" w:rsidRPr="009E18DF" w:rsidRDefault="00E8063D" w:rsidP="009E18DF">
      <w:pPr>
        <w:spacing w:before="240" w:line="276" w:lineRule="auto"/>
        <w:ind w:firstLine="567"/>
        <w:jc w:val="right"/>
        <w:rPr>
          <w:i/>
          <w:sz w:val="28"/>
          <w:szCs w:val="28"/>
          <w:lang w:val="uk-UA"/>
        </w:rPr>
      </w:pPr>
      <w:r w:rsidRPr="009E18DF">
        <w:rPr>
          <w:i/>
          <w:sz w:val="28"/>
          <w:szCs w:val="28"/>
          <w:lang w:val="uk-UA"/>
        </w:rPr>
        <w:t>Таблиця 6</w:t>
      </w:r>
    </w:p>
    <w:tbl>
      <w:tblPr>
        <w:tblW w:w="23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2564"/>
        <w:gridCol w:w="4525"/>
        <w:gridCol w:w="5731"/>
        <w:gridCol w:w="7692"/>
      </w:tblGrid>
      <w:tr w:rsidR="00AF7ED0" w:rsidRPr="009E18DF" w:rsidTr="00A27B77">
        <w:trPr>
          <w:gridAfter w:val="2"/>
          <w:wAfter w:w="13423" w:type="dxa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D0" w:rsidRPr="009E18DF" w:rsidRDefault="00AF7ED0" w:rsidP="009E18DF">
            <w:pPr>
              <w:keepNext/>
              <w:widowControl w:val="0"/>
              <w:tabs>
                <w:tab w:val="left" w:pos="252"/>
              </w:tabs>
              <w:spacing w:line="276" w:lineRule="auto"/>
              <w:jc w:val="center"/>
              <w:rPr>
                <w:b/>
                <w:bCs/>
                <w:i/>
                <w:iCs/>
                <w:lang w:val="uk-UA"/>
              </w:rPr>
            </w:pPr>
            <w:r w:rsidRPr="009E18DF">
              <w:rPr>
                <w:rStyle w:val="1"/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Рефлекторні лампи наднизької напруги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b/>
                <w:sz w:val="24"/>
                <w:szCs w:val="24"/>
                <w:lang w:val="uk-UA"/>
              </w:rPr>
              <w:t>Тип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b/>
                <w:sz w:val="24"/>
                <w:szCs w:val="24"/>
                <w:lang w:val="uk-UA"/>
              </w:rPr>
              <w:t>Потужність (Вт)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b/>
                <w:sz w:val="24"/>
                <w:szCs w:val="24"/>
                <w:lang w:val="uk-UA"/>
              </w:rPr>
              <w:t xml:space="preserve">Еталонне значення </w:t>
            </w:r>
            <w:r w:rsidRPr="009E18DF">
              <w:rPr>
                <w:rStyle w:val="1"/>
                <w:rFonts w:ascii="Times New Roman" w:eastAsiaTheme="minorHAnsi" w:hAnsi="Times New Roman" w:cs="Times New Roman"/>
                <w:b/>
                <w:sz w:val="24"/>
                <w:szCs w:val="24"/>
                <w:lang w:val="uk-UA" w:eastAsia="uk-UA"/>
              </w:rPr>
              <w:t>Ф</w:t>
            </w:r>
            <w:r w:rsidRPr="009E18DF">
              <w:rPr>
                <w:rStyle w:val="1"/>
                <w:rFonts w:ascii="Times New Roman" w:eastAsiaTheme="minorHAnsi" w:hAnsi="Times New Roman" w:cs="Times New Roman"/>
                <w:b/>
                <w:sz w:val="24"/>
                <w:szCs w:val="24"/>
                <w:vertAlign w:val="subscript"/>
                <w:lang w:val="uk-UA" w:eastAsia="uk-UA"/>
              </w:rPr>
              <w:t>90°</w:t>
            </w:r>
            <w:r w:rsidRPr="009E18DF">
              <w:rPr>
                <w:rStyle w:val="1"/>
                <w:rFonts w:ascii="Times New Roman" w:eastAsiaTheme="minorHAnsi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E18DF">
              <w:rPr>
                <w:rStyle w:val="1"/>
                <w:rFonts w:ascii="Times New Roman" w:eastAsiaTheme="minorHAnsi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9E18DF">
              <w:rPr>
                <w:rFonts w:ascii="Times New Roman" w:hAnsi="Times New Roman" w:cs="Times New Roman"/>
                <w:b/>
                <w:position w:val="2"/>
                <w:sz w:val="24"/>
                <w:szCs w:val="24"/>
                <w:lang w:val="uk-UA"/>
              </w:rPr>
              <w:t>лм</w:t>
            </w:r>
            <w:r w:rsidRPr="009E18DF">
              <w:rPr>
                <w:rStyle w:val="1"/>
                <w:rFonts w:ascii="Times New Roman" w:eastAsiaTheme="minorHAnsi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MR11 GU4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160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MR16 GU 5.3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180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540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AR111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390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640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18DF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100</w:t>
            </w:r>
          </w:p>
        </w:tc>
        <w:tc>
          <w:tcPr>
            <w:tcW w:w="4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18DF">
              <w:rPr>
                <w:rFonts w:ascii="Times New Roman" w:hAnsi="Times New Roman"/>
                <w:sz w:val="24"/>
                <w:szCs w:val="24"/>
                <w:lang w:val="uk-UA" w:eastAsia="en-US"/>
              </w:rPr>
              <w:t>785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D0" w:rsidRPr="009E18DF" w:rsidRDefault="00AF7ED0" w:rsidP="009E18DF">
            <w:pPr>
              <w:keepNext/>
              <w:widowControl w:val="0"/>
              <w:tabs>
                <w:tab w:val="left" w:pos="252"/>
              </w:tabs>
              <w:spacing w:line="276" w:lineRule="auto"/>
              <w:jc w:val="center"/>
              <w:rPr>
                <w:b/>
                <w:bCs/>
                <w:i/>
                <w:iCs/>
                <w:lang w:val="uk-UA"/>
              </w:rPr>
            </w:pPr>
            <w:r w:rsidRPr="009E18DF">
              <w:rPr>
                <w:lang w:val="uk-UA"/>
              </w:rPr>
              <w:t>Рефлекторні лампи з усталеного скла мережевої напруги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Тип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Потужність (Вт)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 xml:space="preserve">Еталонне значення 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Ф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val="uk-UA" w:eastAsia="uk-UA"/>
              </w:rPr>
              <w:t>90°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(</w:t>
            </w:r>
            <w:r w:rsidRPr="009E18DF">
              <w:rPr>
                <w:rFonts w:ascii="Times New Roman" w:hAnsi="Times New Roman" w:cs="Times New Roman"/>
                <w:position w:val="2"/>
                <w:sz w:val="24"/>
                <w:szCs w:val="24"/>
                <w:lang w:val="uk-UA"/>
              </w:rPr>
              <w:t>лм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R50/NR50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90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170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R63/NR63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180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R80/NR80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  <w:t>100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  <w:t>540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R95/NR95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540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R125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580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18DF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150</w:t>
            </w:r>
          </w:p>
        </w:tc>
        <w:tc>
          <w:tcPr>
            <w:tcW w:w="4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AF7ED0" w:rsidRPr="009E18DF" w:rsidTr="00A27B77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D0" w:rsidRPr="009E18DF" w:rsidRDefault="00AF7ED0" w:rsidP="009E18DF">
            <w:pPr>
              <w:keepNext/>
              <w:widowControl w:val="0"/>
              <w:tabs>
                <w:tab w:val="left" w:pos="252"/>
              </w:tabs>
              <w:spacing w:line="276" w:lineRule="auto"/>
              <w:jc w:val="center"/>
              <w:rPr>
                <w:b/>
                <w:bCs/>
                <w:i/>
                <w:iCs/>
                <w:lang w:val="uk-UA"/>
              </w:rPr>
            </w:pPr>
            <w:r w:rsidRPr="009E18DF">
              <w:rPr>
                <w:lang w:val="uk-UA"/>
              </w:rPr>
              <w:t>Рефлекторні лампи з пресованого скла мережевої напруги</w:t>
            </w:r>
          </w:p>
        </w:tc>
        <w:tc>
          <w:tcPr>
            <w:tcW w:w="5731" w:type="dxa"/>
          </w:tcPr>
          <w:p w:rsidR="00AF7ED0" w:rsidRPr="009E18DF" w:rsidRDefault="00AF7ED0" w:rsidP="009E18DF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7692" w:type="dxa"/>
          </w:tcPr>
          <w:p w:rsidR="00AF7ED0" w:rsidRPr="009E18DF" w:rsidRDefault="00AF7ED0" w:rsidP="009E18D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E18DF">
              <w:rPr>
                <w:rFonts w:ascii="Times New Roman" w:hAnsi="Times New Roman"/>
                <w:sz w:val="24"/>
                <w:szCs w:val="24"/>
                <w:lang w:val="uk-UA"/>
              </w:rPr>
              <w:t>Рефлектор з пресованого скла мережевої напруги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Тип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Потужність (Вт)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 xml:space="preserve">Еталонне значення 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Ф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val="uk-UA" w:eastAsia="uk-UA"/>
              </w:rPr>
              <w:t>9</w:t>
            </w:r>
            <w:r w:rsidRPr="009E18DF">
              <w:rPr>
                <w:rStyle w:val="Georgia"/>
                <w:rFonts w:ascii="Times New Roman" w:eastAsiaTheme="minorHAnsi" w:hAnsi="Times New Roman" w:cs="Times New Roman"/>
                <w:sz w:val="24"/>
                <w:szCs w:val="24"/>
                <w:vertAlign w:val="subscript"/>
              </w:rPr>
              <w:t>0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val="uk-UA" w:eastAsia="uk-UA"/>
              </w:rPr>
              <w:t>°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(</w:t>
            </w:r>
            <w:r w:rsidRPr="009E18DF">
              <w:rPr>
                <w:rFonts w:ascii="Times New Roman" w:hAnsi="Times New Roman" w:cs="Times New Roman"/>
                <w:position w:val="2"/>
                <w:sz w:val="24"/>
                <w:szCs w:val="24"/>
                <w:lang w:val="uk-UA"/>
              </w:rPr>
              <w:t>лм</w:t>
            </w: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PAR16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90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125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PAR20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PAR25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PAR30S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PAR36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550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720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PAR38</w:t>
            </w: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555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3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val="uk-UA"/>
              </w:rPr>
            </w:pPr>
            <w:r w:rsidRPr="009E18DF">
              <w:rPr>
                <w:rStyle w:val="1"/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18DF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100</w:t>
            </w:r>
          </w:p>
        </w:tc>
        <w:tc>
          <w:tcPr>
            <w:tcW w:w="4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18DF">
              <w:rPr>
                <w:rFonts w:ascii="Times New Roman" w:hAnsi="Times New Roman"/>
                <w:sz w:val="24"/>
                <w:szCs w:val="24"/>
                <w:lang w:val="uk-UA" w:eastAsia="en-US"/>
              </w:rPr>
              <w:t>760</w:t>
            </w:r>
          </w:p>
        </w:tc>
      </w:tr>
      <w:tr w:rsidR="00AF7ED0" w:rsidRPr="009E18DF" w:rsidTr="00A27B77">
        <w:trPr>
          <w:gridAfter w:val="2"/>
          <w:wAfter w:w="13423" w:type="dxa"/>
        </w:trPr>
        <w:tc>
          <w:tcPr>
            <w:tcW w:w="2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9E18DF" w:rsidRDefault="00AF7ED0" w:rsidP="009E18DF">
            <w:pPr>
              <w:keepNext/>
              <w:widowControl w:val="0"/>
              <w:tabs>
                <w:tab w:val="left" w:pos="252"/>
              </w:tabs>
              <w:spacing w:line="276" w:lineRule="auto"/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D0" w:rsidRPr="009E18DF" w:rsidRDefault="00AF7ED0" w:rsidP="009E18D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18DF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120</w:t>
            </w:r>
          </w:p>
        </w:tc>
        <w:tc>
          <w:tcPr>
            <w:tcW w:w="4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9E18DF" w:rsidRDefault="00AF7ED0" w:rsidP="009E18D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18DF">
              <w:rPr>
                <w:rFonts w:ascii="Times New Roman" w:hAnsi="Times New Roman"/>
                <w:sz w:val="24"/>
                <w:szCs w:val="24"/>
                <w:lang w:val="uk-UA" w:eastAsia="en-US"/>
              </w:rPr>
              <w:t>900</w:t>
            </w:r>
          </w:p>
        </w:tc>
      </w:tr>
    </w:tbl>
    <w:p w:rsidR="003303EF" w:rsidRDefault="003303EF" w:rsidP="003303EF">
      <w:pPr>
        <w:spacing w:before="240" w:line="276" w:lineRule="auto"/>
        <w:ind w:firstLine="567"/>
        <w:jc w:val="right"/>
        <w:rPr>
          <w:sz w:val="28"/>
          <w:szCs w:val="28"/>
          <w:lang w:val="uk-UA"/>
        </w:rPr>
      </w:pPr>
      <w:r w:rsidRPr="003303EF">
        <w:rPr>
          <w:i/>
          <w:sz w:val="28"/>
          <w:szCs w:val="28"/>
          <w:lang w:val="uk-UA"/>
        </w:rPr>
        <w:t>Таблиця 7</w:t>
      </w:r>
      <w:r w:rsidRPr="003303EF">
        <w:rPr>
          <w:sz w:val="28"/>
          <w:szCs w:val="28"/>
          <w:lang w:val="uk-UA"/>
        </w:rPr>
        <w:t xml:space="preserve"> </w:t>
      </w:r>
    </w:p>
    <w:p w:rsidR="00AF7ED0" w:rsidRPr="003303EF" w:rsidRDefault="003303EF" w:rsidP="003303EF">
      <w:pPr>
        <w:spacing w:before="240" w:line="276" w:lineRule="auto"/>
        <w:ind w:firstLine="567"/>
        <w:jc w:val="right"/>
        <w:rPr>
          <w:i/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Коефіцієнти перерахунку для еталонних значень світлового потоку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5807"/>
      </w:tblGrid>
      <w:tr w:rsidR="00AF7ED0" w:rsidRPr="003303EF" w:rsidTr="00A27B77"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b/>
                <w:lang w:val="uk-UA"/>
              </w:rPr>
            </w:pPr>
            <w:r w:rsidRPr="003303EF">
              <w:rPr>
                <w:b/>
                <w:lang w:val="uk-UA"/>
              </w:rPr>
              <w:t>Тип лампи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b/>
                <w:lang w:val="uk-UA"/>
              </w:rPr>
            </w:pPr>
            <w:r w:rsidRPr="003303EF">
              <w:rPr>
                <w:b/>
                <w:lang w:val="uk-UA"/>
              </w:rPr>
              <w:t>Коефіцієнт перерахунку значення світлового потоку</w:t>
            </w:r>
          </w:p>
        </w:tc>
      </w:tr>
      <w:tr w:rsidR="00AF7ED0" w:rsidRPr="003303EF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Галогенні лампи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1</w:t>
            </w:r>
          </w:p>
        </w:tc>
      </w:tr>
      <w:tr w:rsidR="00AF7ED0" w:rsidRPr="003303EF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Компактні люмінесцентні лампи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1,08</w:t>
            </w:r>
          </w:p>
        </w:tc>
      </w:tr>
      <w:tr w:rsidR="00AF7ED0" w:rsidRPr="003303EF" w:rsidTr="00A27B77"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Світлодіодні лампи</w:t>
            </w:r>
          </w:p>
        </w:tc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i/>
                <w:iCs/>
                <w:lang w:val="uk-UA"/>
              </w:rPr>
            </w:pPr>
            <w:r w:rsidRPr="003303EF">
              <w:rPr>
                <w:lang w:val="uk-UA"/>
              </w:rPr>
              <w:t xml:space="preserve">1 + 0,5 x (1 — </w:t>
            </w:r>
            <w:r w:rsidRPr="003303EF">
              <w:rPr>
                <w:iCs/>
                <w:lang w:val="uk-UA"/>
              </w:rPr>
              <w:t>КССП)</w:t>
            </w:r>
          </w:p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де КССП – це коефіцієнт спаду світлового потоку наприкінці номінального строку служби</w:t>
            </w:r>
          </w:p>
        </w:tc>
      </w:tr>
    </w:tbl>
    <w:p w:rsidR="00AF7ED0" w:rsidRPr="003303EF" w:rsidRDefault="00E8063D" w:rsidP="003303EF">
      <w:pPr>
        <w:spacing w:before="240" w:line="276" w:lineRule="auto"/>
        <w:jc w:val="right"/>
        <w:rPr>
          <w:i/>
          <w:sz w:val="28"/>
          <w:szCs w:val="28"/>
          <w:lang w:val="uk-UA"/>
        </w:rPr>
      </w:pPr>
      <w:r w:rsidRPr="003303EF">
        <w:rPr>
          <w:i/>
          <w:sz w:val="28"/>
          <w:szCs w:val="28"/>
          <w:lang w:val="uk-UA"/>
        </w:rPr>
        <w:t>Таблиця 8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5807"/>
      </w:tblGrid>
      <w:tr w:rsidR="00AF7ED0" w:rsidRPr="003303EF" w:rsidTr="00A27B77"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b/>
                <w:lang w:val="uk-UA"/>
              </w:rPr>
            </w:pPr>
            <w:r w:rsidRPr="003303EF">
              <w:rPr>
                <w:b/>
                <w:lang w:val="uk-UA"/>
              </w:rPr>
              <w:t>Кут випромінення світлодіодної лампи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ind w:firstLine="26"/>
              <w:jc w:val="center"/>
              <w:rPr>
                <w:b/>
                <w:lang w:val="uk-UA"/>
              </w:rPr>
            </w:pPr>
            <w:r w:rsidRPr="003303EF">
              <w:rPr>
                <w:b/>
                <w:lang w:val="uk-UA"/>
              </w:rPr>
              <w:t>Коефіцієнт перерахунку світлового потоку</w:t>
            </w:r>
          </w:p>
        </w:tc>
      </w:tr>
      <w:tr w:rsidR="00AF7ED0" w:rsidRPr="003303EF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20° ≤ кут випромінення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ind w:firstLine="26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1</w:t>
            </w:r>
          </w:p>
        </w:tc>
      </w:tr>
      <w:tr w:rsidR="00AF7ED0" w:rsidRPr="003303EF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15° ≤ кут випромінення</w:t>
            </w:r>
            <w:r w:rsidRPr="003303EF" w:rsidDel="00A4639C">
              <w:rPr>
                <w:lang w:val="uk-UA"/>
              </w:rPr>
              <w:t xml:space="preserve"> </w:t>
            </w:r>
            <w:r w:rsidRPr="003303EF">
              <w:rPr>
                <w:lang w:val="uk-UA"/>
              </w:rPr>
              <w:t>&lt; 20°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ind w:firstLine="26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0,9</w:t>
            </w:r>
          </w:p>
        </w:tc>
      </w:tr>
      <w:tr w:rsidR="00AF7ED0" w:rsidRPr="003303EF" w:rsidTr="00A27B77"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10° ≤ кут випромінення</w:t>
            </w:r>
            <w:r w:rsidRPr="003303EF" w:rsidDel="00A4639C">
              <w:rPr>
                <w:lang w:val="uk-UA"/>
              </w:rPr>
              <w:t xml:space="preserve"> </w:t>
            </w:r>
            <w:r w:rsidRPr="003303EF">
              <w:rPr>
                <w:lang w:val="uk-UA"/>
              </w:rPr>
              <w:t>&lt; 15°</w:t>
            </w:r>
          </w:p>
        </w:tc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ind w:firstLine="26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0,85</w:t>
            </w:r>
          </w:p>
        </w:tc>
      </w:tr>
      <w:tr w:rsidR="00AF7ED0" w:rsidRPr="003303EF" w:rsidTr="00A27B77"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кут випромінення</w:t>
            </w:r>
            <w:r w:rsidRPr="003303EF" w:rsidDel="00A4639C">
              <w:rPr>
                <w:lang w:val="uk-UA"/>
              </w:rPr>
              <w:t xml:space="preserve"> </w:t>
            </w:r>
            <w:r w:rsidRPr="003303EF">
              <w:rPr>
                <w:lang w:val="uk-UA"/>
              </w:rPr>
              <w:t>&lt; 10°</w:t>
            </w:r>
          </w:p>
        </w:tc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D0" w:rsidRPr="003303EF" w:rsidRDefault="00AF7ED0" w:rsidP="003303EF">
            <w:pPr>
              <w:spacing w:line="276" w:lineRule="auto"/>
              <w:ind w:firstLine="26"/>
              <w:jc w:val="center"/>
              <w:rPr>
                <w:lang w:val="uk-UA"/>
              </w:rPr>
            </w:pPr>
            <w:r w:rsidRPr="003303EF">
              <w:rPr>
                <w:lang w:val="uk-UA"/>
              </w:rPr>
              <w:t>0,80</w:t>
            </w:r>
          </w:p>
        </w:tc>
      </w:tr>
    </w:tbl>
    <w:p w:rsidR="00AF7ED0" w:rsidRPr="00EF3603" w:rsidRDefault="00AF7ED0" w:rsidP="003303EF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Якщо лампа містить ртуть: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в</w:t>
      </w:r>
      <w:r w:rsidR="00AF7ED0" w:rsidRPr="00EF3603">
        <w:rPr>
          <w:sz w:val="28"/>
          <w:szCs w:val="28"/>
          <w:lang w:val="uk-UA"/>
        </w:rPr>
        <w:t>міст ртуті в лампі в X,X мг;</w:t>
      </w:r>
    </w:p>
    <w:p w:rsidR="00AF7ED0" w:rsidRPr="00EF3603" w:rsidRDefault="009E18DF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AF7ED0" w:rsidRPr="00EF3603">
        <w:rPr>
          <w:sz w:val="28"/>
          <w:szCs w:val="28"/>
          <w:lang w:val="uk-UA"/>
        </w:rPr>
        <w:t xml:space="preserve">) </w:t>
      </w:r>
      <w:r w:rsidR="00E8063D">
        <w:rPr>
          <w:sz w:val="28"/>
          <w:szCs w:val="28"/>
          <w:lang w:val="uk-UA"/>
        </w:rPr>
        <w:t>з</w:t>
      </w:r>
      <w:r w:rsidR="00AF7ED0" w:rsidRPr="00EF3603">
        <w:rPr>
          <w:sz w:val="28"/>
          <w:szCs w:val="28"/>
          <w:lang w:val="uk-UA"/>
        </w:rPr>
        <w:t>азначення веб-сайту для консультацій щодо інструкції про те, як очистити уламки лампи у разі випадкового її пошкодження.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3.1.3. Інформація, яка має бути публічно доступною на веб-сайтах із вільним доступом в будь-який формі, яку виробник вважає за доцільне 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Як мінімум, наступна інформація має надаватись принаймні у вигляді значень параметрів 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a) </w:t>
      </w:r>
      <w:r w:rsidR="00E8063D">
        <w:rPr>
          <w:sz w:val="28"/>
          <w:szCs w:val="28"/>
          <w:lang w:val="uk-UA"/>
        </w:rPr>
        <w:t>і</w:t>
      </w:r>
      <w:r w:rsidRPr="00EF3603">
        <w:rPr>
          <w:sz w:val="28"/>
          <w:szCs w:val="28"/>
          <w:lang w:val="uk-UA"/>
        </w:rPr>
        <w:t>нформація, зазначена в пункті 3.1.2;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б) </w:t>
      </w:r>
      <w:r w:rsidR="00E8063D">
        <w:rPr>
          <w:sz w:val="28"/>
          <w:szCs w:val="28"/>
          <w:lang w:val="uk-UA"/>
        </w:rPr>
        <w:t>н</w:t>
      </w:r>
      <w:r w:rsidRPr="00EF3603">
        <w:rPr>
          <w:sz w:val="28"/>
          <w:szCs w:val="28"/>
          <w:lang w:val="uk-UA"/>
        </w:rPr>
        <w:t xml:space="preserve">омінальне значення потужності (з точністю до 0,1 Вт); 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lastRenderedPageBreak/>
        <w:t xml:space="preserve">в) </w:t>
      </w:r>
      <w:r w:rsidR="00E8063D">
        <w:rPr>
          <w:sz w:val="28"/>
          <w:szCs w:val="28"/>
          <w:lang w:val="uk-UA"/>
        </w:rPr>
        <w:t>н</w:t>
      </w:r>
      <w:r w:rsidRPr="00EF3603">
        <w:rPr>
          <w:sz w:val="28"/>
          <w:szCs w:val="28"/>
          <w:lang w:val="uk-UA"/>
        </w:rPr>
        <w:t>омінальне значення корисного світлового потоку;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г) </w:t>
      </w:r>
      <w:r w:rsidR="00E8063D">
        <w:rPr>
          <w:sz w:val="28"/>
          <w:szCs w:val="28"/>
          <w:lang w:val="uk-UA"/>
        </w:rPr>
        <w:t>н</w:t>
      </w:r>
      <w:r w:rsidRPr="00EF3603">
        <w:rPr>
          <w:sz w:val="28"/>
          <w:szCs w:val="28"/>
          <w:lang w:val="uk-UA"/>
        </w:rPr>
        <w:t>ормоване значення строку служби лампи;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д) </w:t>
      </w:r>
      <w:r w:rsidR="00E8063D">
        <w:rPr>
          <w:sz w:val="28"/>
          <w:szCs w:val="28"/>
          <w:lang w:val="uk-UA"/>
        </w:rPr>
        <w:t>к</w:t>
      </w:r>
      <w:r w:rsidRPr="00EF3603">
        <w:rPr>
          <w:sz w:val="28"/>
          <w:szCs w:val="28"/>
          <w:lang w:val="uk-UA"/>
        </w:rPr>
        <w:t>оефіцієнт потужності лампи;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е) </w:t>
      </w:r>
      <w:r w:rsidR="00E8063D">
        <w:rPr>
          <w:sz w:val="28"/>
          <w:szCs w:val="28"/>
          <w:lang w:val="uk-UA"/>
        </w:rPr>
        <w:t>к</w:t>
      </w:r>
      <w:r w:rsidRPr="00EF3603">
        <w:rPr>
          <w:sz w:val="28"/>
          <w:szCs w:val="28"/>
          <w:lang w:val="uk-UA"/>
        </w:rPr>
        <w:t xml:space="preserve">оефіцієнт спаду світлового потоку наприкінці нормованого строку служби (за винятком ламп розжарювання); </w:t>
      </w:r>
    </w:p>
    <w:p w:rsidR="00AF7ED0" w:rsidRPr="00EF3603" w:rsidRDefault="00E8063D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є) ч</w:t>
      </w:r>
      <w:r w:rsidR="00AF7ED0" w:rsidRPr="00EF3603">
        <w:rPr>
          <w:sz w:val="28"/>
          <w:szCs w:val="28"/>
          <w:lang w:val="uk-UA"/>
        </w:rPr>
        <w:t>ас запалювання (в X,X секундах);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ж) </w:t>
      </w:r>
      <w:r w:rsidR="00E8063D">
        <w:rPr>
          <w:sz w:val="28"/>
          <w:szCs w:val="28"/>
          <w:lang w:val="uk-UA"/>
        </w:rPr>
        <w:t>і</w:t>
      </w:r>
      <w:r w:rsidRPr="00EF3603">
        <w:rPr>
          <w:sz w:val="28"/>
          <w:szCs w:val="28"/>
          <w:lang w:val="uk-UA"/>
        </w:rPr>
        <w:t>ндекс кольоропередачі;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з) </w:t>
      </w:r>
      <w:r w:rsidR="00E8063D">
        <w:rPr>
          <w:sz w:val="28"/>
          <w:szCs w:val="28"/>
          <w:lang w:val="uk-UA"/>
        </w:rPr>
        <w:t>р</w:t>
      </w:r>
      <w:r w:rsidRPr="00EF3603">
        <w:rPr>
          <w:sz w:val="28"/>
          <w:szCs w:val="28"/>
          <w:lang w:val="uk-UA"/>
        </w:rPr>
        <w:t xml:space="preserve">івномірність кольору (тільки для світлодіодів); 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і) </w:t>
      </w:r>
      <w:r w:rsidR="00E8063D">
        <w:rPr>
          <w:sz w:val="28"/>
          <w:szCs w:val="28"/>
          <w:lang w:val="uk-UA"/>
        </w:rPr>
        <w:t>н</w:t>
      </w:r>
      <w:r w:rsidRPr="00EF3603">
        <w:rPr>
          <w:sz w:val="28"/>
          <w:szCs w:val="28"/>
          <w:lang w:val="uk-UA"/>
        </w:rPr>
        <w:t>омінальне значення пікової сили світла в канделах (cd);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к) </w:t>
      </w:r>
      <w:r w:rsidR="00E8063D">
        <w:rPr>
          <w:sz w:val="28"/>
          <w:szCs w:val="28"/>
          <w:lang w:val="uk-UA"/>
        </w:rPr>
        <w:t>н</w:t>
      </w:r>
      <w:r w:rsidRPr="00EF3603">
        <w:rPr>
          <w:sz w:val="28"/>
          <w:szCs w:val="28"/>
          <w:lang w:val="uk-UA"/>
        </w:rPr>
        <w:t>омінальне значення кута випромінення;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л) </w:t>
      </w:r>
      <w:r w:rsidR="00E8063D">
        <w:rPr>
          <w:sz w:val="28"/>
          <w:szCs w:val="28"/>
          <w:lang w:val="uk-UA"/>
        </w:rPr>
        <w:t>я</w:t>
      </w:r>
      <w:r w:rsidRPr="00EF3603">
        <w:rPr>
          <w:sz w:val="28"/>
          <w:szCs w:val="28"/>
          <w:lang w:val="uk-UA"/>
        </w:rPr>
        <w:t>кщо лампа призначена для зовнішнього освітлення або промислового використання, має бути вказівка щодо такого використання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м) </w:t>
      </w:r>
      <w:r w:rsidR="00E8063D">
        <w:rPr>
          <w:sz w:val="28"/>
          <w:szCs w:val="28"/>
          <w:lang w:val="uk-UA"/>
        </w:rPr>
        <w:t>с</w:t>
      </w:r>
      <w:r w:rsidRPr="00EF3603">
        <w:rPr>
          <w:sz w:val="28"/>
          <w:szCs w:val="28"/>
          <w:lang w:val="uk-UA"/>
        </w:rPr>
        <w:t>пектральний розподіл випромінення в діапазоні 180-800 нм;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Якщо лампа містить ртуть: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н) </w:t>
      </w:r>
      <w:r w:rsidR="00E8063D">
        <w:rPr>
          <w:sz w:val="28"/>
          <w:szCs w:val="28"/>
          <w:lang w:val="uk-UA"/>
        </w:rPr>
        <w:t>і</w:t>
      </w:r>
      <w:r w:rsidRPr="00EF3603">
        <w:rPr>
          <w:sz w:val="28"/>
          <w:szCs w:val="28"/>
          <w:lang w:val="uk-UA"/>
        </w:rPr>
        <w:t>нструкції про те, як очистити уламки лампи у разі випадкового її пошкодження;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o) </w:t>
      </w:r>
      <w:r w:rsidR="00E8063D">
        <w:rPr>
          <w:sz w:val="28"/>
          <w:szCs w:val="28"/>
          <w:lang w:val="uk-UA"/>
        </w:rPr>
        <w:t>р</w:t>
      </w:r>
      <w:r w:rsidRPr="00EF3603">
        <w:rPr>
          <w:sz w:val="28"/>
          <w:szCs w:val="28"/>
          <w:lang w:val="uk-UA"/>
        </w:rPr>
        <w:t>екомендації про те, як утилізувати лампу в кінці її терміну служби для переробки відповідно до вимог чинного законодавства.</w:t>
      </w:r>
    </w:p>
    <w:p w:rsidR="00AF7ED0" w:rsidRPr="003303EF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3303EF">
        <w:rPr>
          <w:sz w:val="28"/>
          <w:szCs w:val="28"/>
          <w:lang w:val="uk-UA"/>
        </w:rPr>
        <w:t>3.2.</w:t>
      </w:r>
      <w:r w:rsidRPr="003303EF">
        <w:rPr>
          <w:sz w:val="28"/>
          <w:szCs w:val="28"/>
          <w:lang w:val="uk-UA"/>
        </w:rPr>
        <w:tab/>
        <w:t>Додаткові вимоги до інформації про продукт для світлодіодних ламп для заміни люмінесцентних ламп не поєднаних з пускорегулівним апаратом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На додаток до вимог до інформації про продукт відповідно до пункту 3.1 цього додатку, не пізніше ніж через три роки з </w:t>
      </w:r>
      <w:r w:rsidR="003303EF">
        <w:rPr>
          <w:sz w:val="28"/>
          <w:szCs w:val="28"/>
          <w:lang w:val="uk-UA"/>
        </w:rPr>
        <w:t>дати набрання</w:t>
      </w:r>
      <w:r w:rsidRPr="00EF3603">
        <w:rPr>
          <w:sz w:val="28"/>
          <w:szCs w:val="28"/>
          <w:lang w:val="uk-UA"/>
        </w:rPr>
        <w:t xml:space="preserve"> чинності Технічним регламентом щодо вимог </w:t>
      </w:r>
      <w:r w:rsidR="006C46FE">
        <w:rPr>
          <w:sz w:val="28"/>
          <w:szCs w:val="28"/>
          <w:lang w:val="uk-UA"/>
        </w:rPr>
        <w:t>до</w:t>
      </w:r>
      <w:r w:rsidRPr="00EF3603">
        <w:rPr>
          <w:sz w:val="28"/>
          <w:szCs w:val="28"/>
          <w:lang w:val="uk-UA"/>
        </w:rPr>
        <w:t xml:space="preserve"> екодизайну для ламп спрямованого </w:t>
      </w:r>
      <w:r w:rsidRPr="00E8063D">
        <w:rPr>
          <w:sz w:val="28"/>
          <w:szCs w:val="28"/>
          <w:lang w:val="uk-UA"/>
        </w:rPr>
        <w:t>випромінення</w:t>
      </w:r>
      <w:r w:rsidRPr="00EF3603">
        <w:rPr>
          <w:sz w:val="28"/>
          <w:szCs w:val="28"/>
          <w:lang w:val="uk-UA"/>
        </w:rPr>
        <w:t xml:space="preserve">, світлодіодних ламп </w:t>
      </w:r>
      <w:r w:rsidR="006C46FE">
        <w:rPr>
          <w:sz w:val="28"/>
          <w:szCs w:val="28"/>
          <w:lang w:val="uk-UA"/>
        </w:rPr>
        <w:t>та</w:t>
      </w:r>
      <w:r w:rsidRPr="00EF3603">
        <w:rPr>
          <w:sz w:val="28"/>
          <w:szCs w:val="28"/>
          <w:lang w:val="uk-UA"/>
        </w:rPr>
        <w:t xml:space="preserve"> пов'язаного обладнання, виробники світлодіодних ламп, призначених на заміну люмінесцентних ламп,  непоєднаних з пускорегулівним апаратом, мають оприлюднювати на веб-сайтах із вільним доступом, в будь-який формі на розсуд виробників, інформацію про те, що загальна енергоефективність та світлорозподіл будь-</w:t>
      </w:r>
      <w:r w:rsidRPr="00EF3603">
        <w:rPr>
          <w:sz w:val="28"/>
          <w:szCs w:val="28"/>
          <w:lang w:val="uk-UA"/>
        </w:rPr>
        <w:lastRenderedPageBreak/>
        <w:t xml:space="preserve">якої установки, в якій використовуються такі лампи, визначаються конструкцією установки. 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>Заяви про те, що світлодіодна лампа замінює люмінесцентну лампу не поєднану з пускорегулівним апаратом конкретної потужності, можуть бути зроблені тільки якщо:</w:t>
      </w:r>
    </w:p>
    <w:p w:rsidR="00AF7ED0" w:rsidRPr="00EF3603" w:rsidRDefault="00E8063D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F7ED0" w:rsidRPr="00EF3603">
        <w:rPr>
          <w:sz w:val="28"/>
          <w:szCs w:val="28"/>
          <w:lang w:val="uk-UA"/>
        </w:rPr>
        <w:t xml:space="preserve"> сила світла в будь-якому напрямку навколо осі колби не відхиляється більш ніж на 25% від середнього значення сили світла навколо колби, та</w:t>
      </w:r>
    </w:p>
    <w:p w:rsidR="00AF7ED0" w:rsidRPr="00EF3603" w:rsidRDefault="00E8063D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F7ED0" w:rsidRPr="00EF3603">
        <w:rPr>
          <w:sz w:val="28"/>
          <w:szCs w:val="28"/>
          <w:lang w:val="uk-UA"/>
        </w:rPr>
        <w:t xml:space="preserve"> значення світлового потоку світлодіодної лампи не нижче, ніж у люмінесцентної лампи з заявленим для заміни значенням потужності. Значення світлового потоку люмінесцентної лампи має бути отримане шляхом множення заявленого значення потужності на мінімальне значення світлової віддачі, і</w:t>
      </w:r>
    </w:p>
    <w:p w:rsidR="00AF7ED0" w:rsidRPr="00EF3603" w:rsidRDefault="00E8063D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F7ED0" w:rsidRPr="00EF3603">
        <w:rPr>
          <w:sz w:val="28"/>
          <w:szCs w:val="28"/>
          <w:lang w:val="uk-UA"/>
        </w:rPr>
        <w:t xml:space="preserve"> значення потужності світлодіодної лампи має бути не вище, ніж значення потужності люмінесцентної лампи, яку вона заміняє. Технічна документація має надати дані для підтвердження таких заяв.</w:t>
      </w:r>
    </w:p>
    <w:p w:rsidR="00AF7ED0" w:rsidRPr="003303EF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3303EF">
        <w:rPr>
          <w:sz w:val="28"/>
          <w:szCs w:val="28"/>
          <w:lang w:val="uk-UA"/>
        </w:rPr>
        <w:t>3.3.</w:t>
      </w:r>
      <w:r w:rsidRPr="003303EF">
        <w:rPr>
          <w:sz w:val="28"/>
          <w:szCs w:val="28"/>
          <w:lang w:val="uk-UA"/>
        </w:rPr>
        <w:tab/>
        <w:t>Вимоги до інформації про продукт стосовно обладнання, іншого ніж світильники, що призначене для встановлення між мережею живлення та лампами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Не пізніше ніж через три роки з </w:t>
      </w:r>
      <w:r w:rsidR="003303EF">
        <w:rPr>
          <w:sz w:val="28"/>
          <w:szCs w:val="28"/>
          <w:lang w:val="uk-UA"/>
        </w:rPr>
        <w:t>дати набрання</w:t>
      </w:r>
      <w:r w:rsidRPr="00EF3603">
        <w:rPr>
          <w:sz w:val="28"/>
          <w:szCs w:val="28"/>
          <w:lang w:val="uk-UA"/>
        </w:rPr>
        <w:t xml:space="preserve"> чинності Технічним регламентом щодо вимог до екодизайну для ламп спрямованого </w:t>
      </w:r>
      <w:r w:rsidRPr="00E8063D">
        <w:rPr>
          <w:sz w:val="28"/>
          <w:szCs w:val="28"/>
          <w:lang w:val="uk-UA"/>
        </w:rPr>
        <w:t>випромінення</w:t>
      </w:r>
      <w:r w:rsidRPr="00EF3603">
        <w:rPr>
          <w:sz w:val="28"/>
          <w:szCs w:val="28"/>
          <w:lang w:val="uk-UA"/>
        </w:rPr>
        <w:t>,</w:t>
      </w:r>
      <w:r w:rsidR="006C46FE">
        <w:rPr>
          <w:sz w:val="28"/>
          <w:szCs w:val="28"/>
          <w:lang w:val="uk-UA"/>
        </w:rPr>
        <w:t xml:space="preserve"> світлодіодних ламп та</w:t>
      </w:r>
      <w:r w:rsidRPr="00EF3603">
        <w:rPr>
          <w:sz w:val="28"/>
          <w:szCs w:val="28"/>
          <w:lang w:val="uk-UA"/>
        </w:rPr>
        <w:t xml:space="preserve"> пов'язаного обладнання, якщо обладнання не забезпечує сумісність з будь-якою з енергозберігаючих ламп, відповідно до частини 2.3 цього додатку, застереження про те, що обладнання не є сумісним з енергозберігаючими лампами, має бути опубліковане на веб-сайтах із вільним доступом та в будь-яких інших формах, які виробник вважає за доцільне.</w:t>
      </w:r>
    </w:p>
    <w:p w:rsidR="00AF7ED0" w:rsidRPr="003303EF" w:rsidRDefault="00AF7ED0" w:rsidP="00270242">
      <w:pPr>
        <w:tabs>
          <w:tab w:val="left" w:pos="252"/>
        </w:tabs>
        <w:spacing w:before="240" w:line="276" w:lineRule="auto"/>
        <w:ind w:firstLine="567"/>
        <w:jc w:val="both"/>
        <w:rPr>
          <w:bCs/>
          <w:i/>
          <w:iCs/>
          <w:sz w:val="28"/>
          <w:szCs w:val="28"/>
          <w:lang w:val="uk-UA"/>
        </w:rPr>
      </w:pPr>
      <w:r w:rsidRPr="003303EF">
        <w:rPr>
          <w:sz w:val="28"/>
          <w:szCs w:val="28"/>
          <w:lang w:val="uk-UA"/>
        </w:rPr>
        <w:t>3.4.</w:t>
      </w:r>
      <w:r w:rsidRPr="003303EF">
        <w:rPr>
          <w:sz w:val="28"/>
          <w:szCs w:val="28"/>
          <w:lang w:val="uk-UA"/>
        </w:rPr>
        <w:tab/>
        <w:t>Вимоги до інформації про продукт для пускорегулівних апаратів ламп</w:t>
      </w:r>
    </w:p>
    <w:p w:rsidR="00AF7ED0" w:rsidRPr="00EF3603" w:rsidRDefault="00AF7ED0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EF3603">
        <w:rPr>
          <w:sz w:val="28"/>
          <w:szCs w:val="28"/>
          <w:lang w:val="uk-UA"/>
        </w:rPr>
        <w:t xml:space="preserve">Не пізніше ніж через три роки з </w:t>
      </w:r>
      <w:r w:rsidR="003303EF">
        <w:rPr>
          <w:sz w:val="28"/>
          <w:szCs w:val="28"/>
          <w:lang w:val="uk-UA"/>
        </w:rPr>
        <w:t>дати набрання</w:t>
      </w:r>
      <w:r w:rsidRPr="00EF3603">
        <w:rPr>
          <w:sz w:val="28"/>
          <w:szCs w:val="28"/>
          <w:lang w:val="uk-UA"/>
        </w:rPr>
        <w:t xml:space="preserve"> чинності Технічним регламентом щодо вимог </w:t>
      </w:r>
      <w:r w:rsidR="006C46FE">
        <w:rPr>
          <w:sz w:val="28"/>
          <w:szCs w:val="28"/>
          <w:lang w:val="uk-UA"/>
        </w:rPr>
        <w:t>до</w:t>
      </w:r>
      <w:r w:rsidRPr="00EF3603">
        <w:rPr>
          <w:sz w:val="28"/>
          <w:szCs w:val="28"/>
          <w:lang w:val="uk-UA"/>
        </w:rPr>
        <w:t xml:space="preserve"> екодизайну для ламп спрямованого </w:t>
      </w:r>
      <w:r w:rsidRPr="00E8063D">
        <w:rPr>
          <w:sz w:val="28"/>
          <w:szCs w:val="28"/>
          <w:lang w:val="uk-UA"/>
        </w:rPr>
        <w:t>випромінення</w:t>
      </w:r>
      <w:r w:rsidRPr="00EF3603">
        <w:rPr>
          <w:sz w:val="28"/>
          <w:szCs w:val="28"/>
          <w:lang w:val="uk-UA"/>
        </w:rPr>
        <w:t xml:space="preserve">, світлодіодних ламп </w:t>
      </w:r>
      <w:r w:rsidR="006C46FE">
        <w:rPr>
          <w:sz w:val="28"/>
          <w:szCs w:val="28"/>
          <w:lang w:val="uk-UA"/>
        </w:rPr>
        <w:t>та</w:t>
      </w:r>
      <w:r w:rsidRPr="00EF3603">
        <w:rPr>
          <w:sz w:val="28"/>
          <w:szCs w:val="28"/>
          <w:lang w:val="uk-UA"/>
        </w:rPr>
        <w:t xml:space="preserve"> пов'язаного обладнання, наступна інформація має бути опублікована на веб-сайтах із вільним доступом та в будь-яких інших формах, </w:t>
      </w:r>
      <w:r w:rsidR="006C46FE">
        <w:rPr>
          <w:sz w:val="28"/>
          <w:szCs w:val="28"/>
          <w:lang w:val="uk-UA"/>
        </w:rPr>
        <w:t>які виробник вважає за доцільне</w:t>
      </w:r>
      <w:r w:rsidRPr="00EF3603">
        <w:rPr>
          <w:sz w:val="28"/>
          <w:szCs w:val="28"/>
          <w:lang w:val="uk-UA"/>
        </w:rPr>
        <w:t>:</w:t>
      </w:r>
    </w:p>
    <w:p w:rsidR="00AF7ED0" w:rsidRPr="00EF3603" w:rsidRDefault="00E8063D" w:rsidP="00270242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AF7ED0" w:rsidRPr="00EF3603">
        <w:rPr>
          <w:sz w:val="28"/>
          <w:szCs w:val="28"/>
          <w:lang w:val="uk-UA"/>
        </w:rPr>
        <w:t xml:space="preserve"> зазначення того, що продукт призначений для використання як пускорегулівний апарат лампи,</w:t>
      </w:r>
    </w:p>
    <w:p w:rsidR="00E8063D" w:rsidRDefault="00E8063D" w:rsidP="003303EF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F7ED0" w:rsidRPr="00EF3603">
        <w:rPr>
          <w:sz w:val="28"/>
          <w:szCs w:val="28"/>
          <w:lang w:val="uk-UA"/>
        </w:rPr>
        <w:t xml:space="preserve"> якщо це може бути застосовано, інформація про те, що продукт може експлуатуватися в режимі холостого ходу.</w:t>
      </w:r>
    </w:p>
    <w:p w:rsidR="00E8063D" w:rsidRPr="00EF3603" w:rsidRDefault="00E8063D" w:rsidP="003303EF">
      <w:pPr>
        <w:spacing w:before="240" w:line="276" w:lineRule="auto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</w:p>
    <w:sectPr w:rsidR="00E8063D" w:rsidRPr="00EF3603" w:rsidSect="006823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FDB" w:rsidRDefault="00533FDB" w:rsidP="006823E0">
      <w:r>
        <w:separator/>
      </w:r>
    </w:p>
  </w:endnote>
  <w:endnote w:type="continuationSeparator" w:id="0">
    <w:p w:rsidR="00533FDB" w:rsidRDefault="00533FDB" w:rsidP="0068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FDB" w:rsidRDefault="00533FDB" w:rsidP="006823E0">
      <w:r>
        <w:separator/>
      </w:r>
    </w:p>
  </w:footnote>
  <w:footnote w:type="continuationSeparator" w:id="0">
    <w:p w:rsidR="00533FDB" w:rsidRDefault="00533FDB" w:rsidP="00682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8169583"/>
      <w:docPartObj>
        <w:docPartGallery w:val="Page Numbers (Top of Page)"/>
        <w:docPartUnique/>
      </w:docPartObj>
    </w:sdtPr>
    <w:sdtEndPr/>
    <w:sdtContent>
      <w:p w:rsidR="006823E0" w:rsidRDefault="006823E0" w:rsidP="006823E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0BE">
          <w:rPr>
            <w:noProof/>
          </w:rPr>
          <w:t>2</w:t>
        </w:r>
        <w:r>
          <w:fldChar w:fldCharType="end"/>
        </w:r>
        <w:r>
          <w:rPr>
            <w:lang w:val="uk-UA"/>
          </w:rPr>
          <w:t xml:space="preserve">                                    Продовження додатку </w:t>
        </w:r>
        <w:r w:rsidR="006C46FE">
          <w:rPr>
            <w:lang w:val="uk-UA"/>
          </w:rPr>
          <w:t>2</w:t>
        </w:r>
      </w:p>
    </w:sdtContent>
  </w:sdt>
  <w:p w:rsidR="006823E0" w:rsidRDefault="006823E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5E2F"/>
    <w:multiLevelType w:val="hybridMultilevel"/>
    <w:tmpl w:val="DEECB99A"/>
    <w:lvl w:ilvl="0" w:tplc="351A6C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61F"/>
    <w:rsid w:val="00200781"/>
    <w:rsid w:val="00270242"/>
    <w:rsid w:val="003303EF"/>
    <w:rsid w:val="005120BE"/>
    <w:rsid w:val="00533FDB"/>
    <w:rsid w:val="00547F6B"/>
    <w:rsid w:val="006823E0"/>
    <w:rsid w:val="006C46FE"/>
    <w:rsid w:val="0080280D"/>
    <w:rsid w:val="009A2061"/>
    <w:rsid w:val="009E18DF"/>
    <w:rsid w:val="00A7461F"/>
    <w:rsid w:val="00AF7ED0"/>
    <w:rsid w:val="00B2277B"/>
    <w:rsid w:val="00BA5E97"/>
    <w:rsid w:val="00C11737"/>
    <w:rsid w:val="00C55186"/>
    <w:rsid w:val="00C92C55"/>
    <w:rsid w:val="00DF4874"/>
    <w:rsid w:val="00E8063D"/>
    <w:rsid w:val="00E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F1B90A"/>
  <w15:docId w15:val="{88EEABB2-9EE8-458B-B42B-FAC43434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F7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  <w:rPr>
      <w:i/>
      <w:iCs/>
      <w:sz w:val="28"/>
      <w:lang w:val="uk-UA"/>
    </w:rPr>
  </w:style>
  <w:style w:type="paragraph" w:customStyle="1" w:styleId="a4">
    <w:name w:val="Герб"/>
    <w:basedOn w:val="a"/>
    <w:rsid w:val="00AF7ED0"/>
    <w:pPr>
      <w:keepNext/>
      <w:keepLines/>
      <w:jc w:val="center"/>
    </w:pPr>
    <w:rPr>
      <w:rFonts w:ascii="Antiqua" w:hAnsi="Antiqua"/>
      <w:sz w:val="144"/>
      <w:szCs w:val="20"/>
      <w:lang w:val="en-US"/>
    </w:rPr>
  </w:style>
  <w:style w:type="paragraph" w:styleId="a5">
    <w:name w:val="List Paragraph"/>
    <w:basedOn w:val="a"/>
    <w:qFormat/>
    <w:rsid w:val="00AF7ED0"/>
    <w:pPr>
      <w:widowControl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a6">
    <w:name w:val="Основной текст_"/>
    <w:link w:val="3"/>
    <w:locked/>
    <w:rsid w:val="00AF7ED0"/>
    <w:rPr>
      <w:rFonts w:ascii="Palatino Linotype" w:hAnsi="Palatino Linotype"/>
      <w:spacing w:val="3"/>
      <w:sz w:val="11"/>
      <w:szCs w:val="11"/>
      <w:shd w:val="clear" w:color="auto" w:fill="FFFFFF"/>
    </w:rPr>
  </w:style>
  <w:style w:type="paragraph" w:customStyle="1" w:styleId="3">
    <w:name w:val="Основной текст3"/>
    <w:basedOn w:val="a"/>
    <w:link w:val="a6"/>
    <w:rsid w:val="00AF7ED0"/>
    <w:pPr>
      <w:widowControl w:val="0"/>
      <w:shd w:val="clear" w:color="auto" w:fill="FFFFFF"/>
      <w:spacing w:before="300" w:after="300" w:line="192" w:lineRule="exact"/>
      <w:ind w:hanging="460"/>
      <w:jc w:val="both"/>
    </w:pPr>
    <w:rPr>
      <w:rFonts w:ascii="Palatino Linotype" w:eastAsiaTheme="minorHAnsi" w:hAnsi="Palatino Linotype" w:cstheme="minorBidi"/>
      <w:spacing w:val="3"/>
      <w:sz w:val="11"/>
      <w:szCs w:val="11"/>
      <w:shd w:val="clear" w:color="auto" w:fill="FFFFFF"/>
      <w:lang w:eastAsia="en-US"/>
    </w:rPr>
  </w:style>
  <w:style w:type="character" w:customStyle="1" w:styleId="1">
    <w:name w:val="Основной текст1"/>
    <w:rsid w:val="00AF7ED0"/>
    <w:rPr>
      <w:rFonts w:ascii="Palatino Linotype" w:eastAsia="Times New Roman" w:hAnsi="Palatino Linotype" w:cs="Palatino Linotype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Georgia">
    <w:name w:val="Основной текст + Georgia"/>
    <w:aliases w:val="4 pt,Интервал 0 pt"/>
    <w:rsid w:val="00AF7ED0"/>
    <w:rPr>
      <w:rFonts w:ascii="Georgia" w:eastAsia="Times New Roman" w:hAnsi="Georgia" w:cs="Georgia"/>
      <w:color w:val="1A171C"/>
      <w:spacing w:val="0"/>
      <w:w w:val="100"/>
      <w:position w:val="0"/>
      <w:sz w:val="8"/>
      <w:szCs w:val="8"/>
      <w:u w:val="none"/>
      <w:shd w:val="clear" w:color="auto" w:fill="FFFFFF"/>
      <w:lang w:val="uk-UA" w:eastAsia="uk-UA" w:bidi="ar-SA"/>
    </w:rPr>
  </w:style>
  <w:style w:type="character" w:styleId="a7">
    <w:name w:val="Placeholder Text"/>
    <w:basedOn w:val="a0"/>
    <w:uiPriority w:val="99"/>
    <w:semiHidden/>
    <w:rsid w:val="00EF3603"/>
    <w:rPr>
      <w:color w:val="808080"/>
    </w:rPr>
  </w:style>
  <w:style w:type="paragraph" w:styleId="a8">
    <w:name w:val="header"/>
    <w:basedOn w:val="a"/>
    <w:link w:val="a9"/>
    <w:uiPriority w:val="99"/>
    <w:unhideWhenUsed/>
    <w:rsid w:val="006823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82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823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823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3A561-0E4F-4590-8444-27C07723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2981</Words>
  <Characters>16995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2017-06-02T07:20:00Z</dcterms:created>
  <dcterms:modified xsi:type="dcterms:W3CDTF">2017-07-17T11:57:00Z</dcterms:modified>
</cp:coreProperties>
</file>