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a4"/>
        <w:spacing w:before="0" w:after="0" w:line="360" w:lineRule="auto"/>
        <w:ind w:left="5245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</w:rPr>
        <w:t xml:space="preserve">ЗАТВЕРДЖЕНО </w:t>
      </w:r>
      <w:r>
        <w:rPr>
          <w:rFonts w:ascii="Times New Roman" w:hAnsi="Times New Roman"/>
          <w:b w:val="0"/>
          <w:sz w:val="28"/>
          <w:szCs w:val="28"/>
        </w:rPr>
        <w:br/>
        <w:t>Наказ Міністерства енергетики та захисту довкілля України</w:t>
      </w:r>
      <w:r>
        <w:rPr>
          <w:rFonts w:ascii="Times New Roman" w:hAnsi="Times New Roman"/>
          <w:b w:val="0"/>
          <w:sz w:val="28"/>
          <w:szCs w:val="28"/>
        </w:rPr>
        <w:br/>
      </w:r>
      <w:r>
        <w:rPr>
          <w:rFonts w:ascii="Times New Roman" w:hAnsi="Times New Roman"/>
          <w:b w:val="0"/>
          <w:sz w:val="28"/>
          <w:szCs w:val="28"/>
        </w:rPr>
        <w:softHyphen/>
      </w:r>
      <w:r>
        <w:rPr>
          <w:rFonts w:ascii="Times New Roman" w:hAnsi="Times New Roman"/>
          <w:b w:val="0"/>
          <w:sz w:val="28"/>
          <w:szCs w:val="28"/>
        </w:rPr>
        <w:softHyphen/>
      </w:r>
      <w:r>
        <w:rPr>
          <w:rFonts w:ascii="Times New Roman" w:hAnsi="Times New Roman"/>
          <w:b w:val="0"/>
          <w:sz w:val="28"/>
          <w:szCs w:val="28"/>
        </w:rPr>
        <w:softHyphen/>
      </w:r>
      <w:r>
        <w:rPr>
          <w:rFonts w:ascii="Times New Roman" w:hAnsi="Times New Roman"/>
          <w:b w:val="0"/>
          <w:sz w:val="28"/>
          <w:szCs w:val="28"/>
        </w:rPr>
        <w:softHyphen/>
      </w:r>
      <w:r>
        <w:rPr>
          <w:rFonts w:ascii="Times New Roman" w:hAnsi="Times New Roman"/>
          <w:b w:val="0"/>
          <w:sz w:val="28"/>
          <w:szCs w:val="28"/>
        </w:rPr>
        <w:softHyphen/>
      </w:r>
      <w:r>
        <w:rPr>
          <w:rFonts w:ascii="Times New Roman" w:hAnsi="Times New Roman"/>
          <w:b w:val="0"/>
          <w:sz w:val="28"/>
          <w:szCs w:val="28"/>
        </w:rPr>
        <w:softHyphen/>
      </w:r>
      <w:r>
        <w:rPr>
          <w:rFonts w:ascii="Times New Roman" w:hAnsi="Times New Roman"/>
          <w:b w:val="0"/>
          <w:sz w:val="28"/>
          <w:szCs w:val="28"/>
        </w:rPr>
        <w:softHyphen/>
      </w:r>
      <w:r>
        <w:rPr>
          <w:rFonts w:ascii="Times New Roman" w:hAnsi="Times New Roman"/>
          <w:b w:val="0"/>
          <w:sz w:val="28"/>
          <w:szCs w:val="28"/>
        </w:rPr>
        <w:softHyphen/>
      </w:r>
      <w:r>
        <w:rPr>
          <w:rFonts w:ascii="Times New Roman" w:hAnsi="Times New Roman"/>
          <w:b w:val="0"/>
          <w:sz w:val="28"/>
          <w:szCs w:val="28"/>
        </w:rPr>
        <w:softHyphen/>
      </w:r>
      <w:r>
        <w:rPr>
          <w:rFonts w:ascii="Times New Roman" w:hAnsi="Times New Roman"/>
          <w:b w:val="0"/>
          <w:sz w:val="28"/>
          <w:szCs w:val="28"/>
        </w:rPr>
        <w:softHyphen/>
      </w:r>
      <w:r>
        <w:rPr>
          <w:rFonts w:ascii="Times New Roman" w:hAnsi="Times New Roman"/>
          <w:b w:val="0"/>
          <w:sz w:val="28"/>
          <w:szCs w:val="28"/>
          <w:lang w:val="ru-RU"/>
        </w:rPr>
        <w:t>_____________</w:t>
      </w:r>
      <w:r>
        <w:rPr>
          <w:rFonts w:ascii="Times New Roman" w:hAnsi="Times New Roman"/>
          <w:b w:val="0"/>
          <w:sz w:val="28"/>
          <w:szCs w:val="28"/>
        </w:rPr>
        <w:tab/>
        <w:t>2020  року № </w:t>
      </w:r>
      <w:r>
        <w:rPr>
          <w:rFonts w:ascii="Times New Roman" w:hAnsi="Times New Roman"/>
          <w:b w:val="0"/>
          <w:sz w:val="28"/>
          <w:szCs w:val="28"/>
          <w:lang w:val="ru-RU"/>
        </w:rPr>
        <w:t>____</w:t>
      </w:r>
    </w:p>
    <w:p>
      <w:pPr>
        <w:pStyle w:val="a3"/>
        <w:spacing w:before="0" w:line="360" w:lineRule="auto"/>
        <w:rPr>
          <w:rFonts w:asciiTheme="minorHAnsi" w:hAnsiTheme="minorHAnsi"/>
        </w:rPr>
      </w:pPr>
    </w:p>
    <w:p>
      <w:pPr>
        <w:pStyle w:val="a3"/>
        <w:spacing w:before="0" w:line="360" w:lineRule="auto"/>
        <w:rPr>
          <w:rFonts w:asciiTheme="minorHAnsi" w:hAnsiTheme="minorHAnsi"/>
        </w:rPr>
      </w:pPr>
    </w:p>
    <w:p>
      <w:pPr>
        <w:pStyle w:val="a3"/>
        <w:spacing w:before="0" w:line="360" w:lineRule="auto"/>
        <w:rPr>
          <w:rFonts w:asciiTheme="minorHAnsi" w:hAnsiTheme="minorHAnsi"/>
        </w:rPr>
      </w:pPr>
    </w:p>
    <w:p>
      <w:pPr>
        <w:pStyle w:val="a3"/>
        <w:spacing w:before="0" w:line="360" w:lineRule="auto"/>
        <w:rPr>
          <w:rFonts w:asciiTheme="minorHAnsi" w:hAnsiTheme="minorHAnsi"/>
        </w:rPr>
      </w:pPr>
    </w:p>
    <w:p>
      <w:pPr>
        <w:pStyle w:val="a3"/>
        <w:spacing w:before="0" w:line="360" w:lineRule="auto"/>
        <w:rPr>
          <w:rFonts w:asciiTheme="minorHAnsi" w:hAnsiTheme="minorHAnsi"/>
        </w:rPr>
      </w:pPr>
    </w:p>
    <w:p>
      <w:pPr>
        <w:pStyle w:val="a3"/>
        <w:spacing w:before="0" w:line="360" w:lineRule="auto"/>
        <w:rPr>
          <w:rFonts w:asciiTheme="minorHAnsi" w:hAnsiTheme="minorHAnsi"/>
        </w:rPr>
      </w:pPr>
    </w:p>
    <w:p>
      <w:pPr>
        <w:pStyle w:val="a3"/>
        <w:spacing w:before="0" w:line="360" w:lineRule="auto"/>
        <w:rPr>
          <w:rFonts w:asciiTheme="minorHAnsi" w:hAnsiTheme="minorHAnsi"/>
        </w:rPr>
      </w:pPr>
    </w:p>
    <w:p>
      <w:pPr>
        <w:pStyle w:val="a3"/>
        <w:spacing w:before="0" w:line="360" w:lineRule="auto"/>
        <w:ind w:firstLine="0"/>
        <w:rPr>
          <w:rFonts w:asciiTheme="minorHAnsi" w:hAnsiTheme="minorHAnsi"/>
        </w:rPr>
      </w:pPr>
    </w:p>
    <w:p>
      <w:pPr>
        <w:pStyle w:val="a3"/>
        <w:spacing w:before="0" w:line="360" w:lineRule="auto"/>
        <w:rPr>
          <w:rFonts w:asciiTheme="minorHAnsi" w:hAnsiTheme="minorHAnsi"/>
        </w:rPr>
      </w:pPr>
    </w:p>
    <w:p>
      <w:pPr>
        <w:pStyle w:val="a3"/>
        <w:spacing w:before="0" w:line="360" w:lineRule="auto"/>
        <w:rPr>
          <w:rFonts w:asciiTheme="minorHAnsi" w:hAnsiTheme="minorHAnsi"/>
        </w:rPr>
      </w:pPr>
    </w:p>
    <w:p>
      <w:pPr>
        <w:pStyle w:val="a3"/>
        <w:spacing w:before="0" w:line="360" w:lineRule="auto"/>
        <w:rPr>
          <w:rFonts w:asciiTheme="minorHAnsi" w:hAnsiTheme="minorHAnsi"/>
        </w:rPr>
      </w:pPr>
    </w:p>
    <w:p>
      <w:pPr>
        <w:pStyle w:val="a3"/>
        <w:spacing w:before="0" w:line="360" w:lineRule="auto"/>
        <w:rPr>
          <w:rFonts w:asciiTheme="minorHAnsi" w:hAnsiTheme="minorHAnsi"/>
        </w:rPr>
      </w:pPr>
    </w:p>
    <w:p>
      <w:pPr>
        <w:pStyle w:val="a3"/>
        <w:spacing w:before="0" w:line="360" w:lineRule="auto"/>
        <w:rPr>
          <w:rFonts w:asciiTheme="minorHAnsi" w:hAnsiTheme="minorHAnsi"/>
        </w:rPr>
      </w:pPr>
    </w:p>
    <w:p>
      <w:pPr>
        <w:pStyle w:val="a4"/>
        <w:spacing w:before="0" w:after="0" w:line="360" w:lineRule="auto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ТЕХНІЧНИЙ РЕГЛАМЕНТ</w:t>
      </w:r>
      <w:r>
        <w:rPr>
          <w:rFonts w:ascii="Times New Roman" w:hAnsi="Times New Roman"/>
          <w:sz w:val="28"/>
          <w:szCs w:val="28"/>
        </w:rPr>
        <w:br/>
        <w:t>енергетичного маркування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bookmarkStart w:id="0" w:name="11"/>
      <w:bookmarkEnd w:id="0"/>
      <w:r>
        <w:rPr>
          <w:rFonts w:ascii="Times New Roman" w:hAnsi="Times New Roman"/>
          <w:sz w:val="28"/>
          <w:szCs w:val="28"/>
        </w:rPr>
        <w:t>вентиляційних установок для житлових приміщень</w:t>
      </w:r>
    </w:p>
    <w:p>
      <w:pPr>
        <w:pStyle w:val="a3"/>
        <w:spacing w:before="0"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a3"/>
        <w:spacing w:before="0" w:after="120"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I. Загальні положення</w:t>
      </w:r>
    </w:p>
    <w:p>
      <w:pPr>
        <w:pStyle w:val="a3"/>
        <w:spacing w:before="0" w:after="120"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Цей Технічний регламент визначає основні вимоги до енергетичного маркування вентиляційних установок для житлових приміщень.</w:t>
      </w: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Цей Технічний регламент розроблено на основі Делегованого регламенту Комісії (ЄС) № 1254/2014 від 11 липня 2014 року, що доповнює Директиву Європейського Парламенту і Ради 2010/30/ЄС стосовно енергетичного маркування вентиляційних установок для житлових приміщень.</w:t>
      </w: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Дія цього Технічного регламенту не поширюється на вентиляційні установки для житлових приміщень, які:</w:t>
      </w:r>
    </w:p>
    <w:p>
      <w:pPr>
        <w:pStyle w:val="a3"/>
        <w:spacing w:before="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є однонаправленими (витяжними або припливними) зі споживаною електричною потужністю менше 30 Вт;</w:t>
      </w:r>
    </w:p>
    <w:p>
      <w:pPr>
        <w:pStyle w:val="a3"/>
        <w:spacing w:before="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призначені спеціально для експлуатації у потенційно вибухонебезпечному середовищі, як це визначено у постанові Кабінету Міністрів України від 28 грудня 2016 р. № 1055 «Про затвердження Технічного регламенту обладнання та захисних систем, призначених для використання в потенційно вибухонебезпечних середовищах» (Офіційний вісник України, 2017 р., № 8, ст. 236);</w:t>
      </w:r>
    </w:p>
    <w:p>
      <w:pPr>
        <w:pStyle w:val="a3"/>
        <w:spacing w:before="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призначені для використання виключно на короткочасний строк для виконання вимог законодавства у сфері пожежної і техногенної безпеки; </w:t>
      </w:r>
    </w:p>
    <w:p>
      <w:pPr>
        <w:pStyle w:val="a3"/>
        <w:spacing w:before="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визначені винятково як такі, що експлуатуються, якщо:</w:t>
      </w:r>
    </w:p>
    <w:p>
      <w:pPr>
        <w:pStyle w:val="a3"/>
        <w:spacing w:before="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температурний режим повітря рухомого повітря перевищує 100 °C;</w:t>
      </w:r>
    </w:p>
    <w:p>
      <w:pPr>
        <w:pStyle w:val="a3"/>
        <w:spacing w:before="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навколишній температурний режим для двигуна, що призводить в дію вентилятор, перевищує 65 °C, за умови, що двигун знаходиться за межами потоку повітря;</w:t>
      </w:r>
    </w:p>
    <w:p>
      <w:pPr>
        <w:pStyle w:val="a3"/>
        <w:spacing w:before="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температура рухомого повітря або навколишній температурний режим для двигуна за умови, що двигун знаходиться за межами потоку повітря, нижчі, ніж мінус 40</w:t>
      </w:r>
      <w:r>
        <w:rPr>
          <w:rFonts w:ascii="Times New Roman" w:hAnsi="Times New Roman"/>
          <w:sz w:val="28"/>
          <w:szCs w:val="28"/>
          <w:vertAlign w:val="superscript"/>
        </w:rPr>
        <w:t> </w:t>
      </w:r>
      <w:r>
        <w:rPr>
          <w:rFonts w:ascii="Times New Roman" w:hAnsi="Times New Roman"/>
          <w:sz w:val="28"/>
          <w:szCs w:val="28"/>
        </w:rPr>
        <w:t>°C;</w:t>
      </w:r>
    </w:p>
    <w:p>
      <w:pPr>
        <w:pStyle w:val="a3"/>
        <w:spacing w:before="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напруга живлення перевищує 1000 В для змінного струму або  1500 В для постійного струму;</w:t>
      </w:r>
    </w:p>
    <w:p>
      <w:pPr>
        <w:pStyle w:val="a3"/>
        <w:spacing w:before="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середовище є токсичним, висококорозійним, легкозаймистим, або з абразивними речовинами;</w:t>
      </w: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lastRenderedPageBreak/>
        <w:t>включають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теплообмінник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тепловий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насос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рекуперації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тепла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hint="eastAsia"/>
          <w:sz w:val="28"/>
          <w:szCs w:val="28"/>
        </w:rPr>
        <w:t>або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дозволяють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передачу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або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відведення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тепла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hint="eastAsia"/>
          <w:sz w:val="28"/>
          <w:szCs w:val="28"/>
        </w:rPr>
        <w:t>що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доповнює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теплообмінну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систему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hint="eastAsia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винятком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передачі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тепла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захисту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від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замерзання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або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відтавання</w:t>
      </w:r>
      <w:r>
        <w:rPr>
          <w:rFonts w:ascii="Times New Roman" w:hAnsi="Times New Roman"/>
          <w:sz w:val="28"/>
          <w:szCs w:val="28"/>
        </w:rPr>
        <w:t>;</w:t>
      </w: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класифікуються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як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витяжки</w:t>
      </w:r>
      <w:r>
        <w:rPr>
          <w:rFonts w:ascii="Times New Roman" w:hAnsi="Times New Roman"/>
          <w:sz w:val="28"/>
          <w:szCs w:val="28"/>
        </w:rPr>
        <w:t>, як це визначено у наказі Міністерства регіонального розвитку, будівництва та житлово-комунального господарства України від 07.02.2018  № 28 «Про затвердження Технічного регламенту енергетичного маркування побутових духових шаф та кухонних витяжок» зареєстрованого в Міністерстві юстиції України 07 травня 2018 р. за № 568/32020 (Офіційний вісник України, 2018 р., №45, стор. 131).</w:t>
      </w: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>
      <w:pPr>
        <w:spacing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 цьому Технічному регламенті терміни вживаються у таких значеннях:</w:t>
      </w:r>
    </w:p>
    <w:p>
      <w:pPr>
        <w:pStyle w:val="a3"/>
        <w:spacing w:before="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вентиляційна установка для житлових приміщень (RVU) – вентиляційна установка з максимальною швидкістю потоку, що не перевищує 250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>
        <w:rPr>
          <w:rFonts w:ascii="Times New Roman" w:hAnsi="Times New Roman"/>
          <w:sz w:val="28"/>
          <w:szCs w:val="28"/>
        </w:rPr>
        <w:t xml:space="preserve">/год або така, у якої максимальна швидкість потоку становить від 250 до 1000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>
        <w:rPr>
          <w:rFonts w:ascii="Times New Roman" w:hAnsi="Times New Roman"/>
          <w:sz w:val="28"/>
          <w:szCs w:val="28"/>
        </w:rPr>
        <w:t>/год та виробник заявляє, що його цільове використання – виключно для вентиляції житлових приміщень;</w:t>
      </w:r>
    </w:p>
    <w:p>
      <w:pPr>
        <w:pStyle w:val="a8"/>
        <w:tabs>
          <w:tab w:val="left" w:pos="-284"/>
        </w:tabs>
        <w:spacing w:after="12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ентиляційна установка (VU) – побутовий електроприлад, оснащений принаймні одним вентилятором, одним двигуном і корпусом, призначений для заміни повітря в середині будівлі або її частині на зовнішнє повітря;</w:t>
      </w:r>
    </w:p>
    <w:p>
      <w:pPr>
        <w:pStyle w:val="a3"/>
        <w:tabs>
          <w:tab w:val="left" w:pos="993"/>
        </w:tabs>
        <w:spacing w:before="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двонаправлена вентиляційна установка (BVU) – вентиляційна установка, яка створює повітряний потік між приміщенням та зоною поза приміщенням і оснащена двома вентиляторами: витяжним і припливним;</w:t>
      </w:r>
    </w:p>
    <w:p>
      <w:pPr>
        <w:pStyle w:val="a3"/>
        <w:tabs>
          <w:tab w:val="left" w:pos="993"/>
        </w:tabs>
        <w:spacing w:before="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еквівалентна модель вентиляційної установки – вентиляційна установка з такими самими технічними характеристиками відповідно до застосовних вимог до інформації про продукт, яку введено в обіг тим самим виробником, уповноваженим представником або імпортером як іншу модель вентиляційної установки;</w:t>
      </w:r>
    </w:p>
    <w:p>
      <w:pPr>
        <w:pStyle w:val="a3"/>
        <w:tabs>
          <w:tab w:val="left" w:pos="993"/>
        </w:tabs>
        <w:spacing w:before="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максимальна швидкість потоку – це заявлена максимальна швидкість потоку повітря вентиляційної установки, якої можна досягнути за допомогою вбудованого регулятора або регулятора, що окремо поставляється з вентиляційною установкою, за нормальних умов (t = 20 °C та P = 101325 Па) та установка повністю встановлена (включаючи чисті фільтри) згідно з інструкціями виробника. Для канальних вентиляційних установок для житлових приміщень максимальний потік повітря близький до потоку повітря при перепаді зовнішнього статичного тиску 100 Па, а для безканальних вентиляційних установок для житлових приміщень – близький до потоку повітря за найнижчого можливого перепаду загального тиску, що обирається з множини значень 10 (мінімум) – 20 – 50 – 100 – 150 – 200 – 250 Па залежно від того, яке значення дорівнює виміряному значенню тиску або є нижче за нього;</w:t>
      </w:r>
    </w:p>
    <w:p>
      <w:pPr>
        <w:pStyle w:val="a3"/>
        <w:tabs>
          <w:tab w:val="left" w:pos="993"/>
        </w:tabs>
        <w:spacing w:before="0" w:after="24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однонаправлена вентиляційна установка (UVU) – вентиляційна установка, яка створює потік повітря лише в одному напрямку з середини приміщення назовні (витяжна), або ззовні в середину приміщення (припливна), в якій механічно створений потік повітря балансується природнім притоком або витяжкою повітря.</w:t>
      </w:r>
    </w:p>
    <w:p>
      <w:pPr>
        <w:spacing w:after="24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Терміни, що застосовуються у додатках до цього Технічного регламенту, вживаються у значеннях, наведених у додатку 1 до цього Технічного регламенту.</w:t>
      </w:r>
    </w:p>
    <w:p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Інші терміни вживаються у значеннях, наведених у Законах України «Про технічні регламенти та оцінку відповідності», «Про державний ринковий нагляд і контроль нехарчової продукції», «Про загальну безпечність нехарчової продукції», Технічному регламенті енергетичного маркування енергоспоживчих продуктів, затвердженому постановою Кабінету Міністрів України від 07 серпня 2013 року № 702.</w:t>
      </w:r>
    </w:p>
    <w:p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pStyle w:val="a3"/>
        <w:spacing w:before="0"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a3"/>
        <w:spacing w:before="0"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II. Обов’язки постачальників</w:t>
      </w:r>
    </w:p>
    <w:p>
      <w:pPr>
        <w:pStyle w:val="a3"/>
        <w:spacing w:before="0"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З дня набрання чинності цим Технічним регламентом постачальники, які вводять в обіг та експлуатацію вентиляційні установки для житлових приміщень, забезпечують надання розповсюджувачу друкованої та електронної енергетичної етикетки, мікрофіші, у тому числі електронної, відповідно до вимог цього Технічного регламенту.</w:t>
      </w:r>
    </w:p>
    <w:p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>
      <w:pPr>
        <w:spacing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Зміст друкованої та електронної енергетичної етикетки має відповідати вимогам, визначеним у пунктах 2 – 4 цього розділу.</w:t>
      </w:r>
    </w:p>
    <w:p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(зразок) енергетичної етикетки (друкованої та електронної), а також їх опис наведено в додатку 3 до цього Технічного регламенту.</w:t>
      </w:r>
    </w:p>
    <w:p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>
      <w:pPr>
        <w:spacing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Theme="minorHAnsi" w:hAnsiTheme="minorHAnsi"/>
        </w:rPr>
        <w:t> </w:t>
      </w:r>
      <w:r>
        <w:rPr>
          <w:rFonts w:ascii="Times New Roman" w:hAnsi="Times New Roman"/>
          <w:sz w:val="28"/>
          <w:szCs w:val="28"/>
        </w:rPr>
        <w:t>Енергетична етикетка для однонаправлених вентиляційних установок має містити таку інформацію:</w:t>
      </w: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найменування або торговельна марка постачальника однонаправленої вентиляційної установки;</w:t>
      </w: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моделі (код, який відрізняє конкретну модель від інших моделей тієї самої торгівельної марки або того самого постачальника);</w:t>
      </w: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енергоефективність. Літера, що означає клас енергоефективності, розміщується на тому самому рівні, що і відповідна стрілка. Енергоефективність зазначається для тепліших кліматичних умов.</w:t>
      </w: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рівень звукової потужності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WA</m:t>
            </m:r>
          </m:sub>
        </m:sSub>
      </m:oMath>
      <w:r>
        <w:rPr>
          <w:rFonts w:ascii="Times New Roman" w:hAnsi="Times New Roman"/>
          <w:sz w:val="28"/>
          <w:szCs w:val="28"/>
        </w:rPr>
        <w:t>, округлений до найближчого цілого числа, дБ;</w:t>
      </w: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максимальна швидкість потоку, округлена до найближчого цілого числа,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>
        <w:rPr>
          <w:rFonts w:ascii="Times New Roman" w:hAnsi="Times New Roman"/>
          <w:sz w:val="28"/>
          <w:szCs w:val="28"/>
        </w:rPr>
        <w:t>/год, та одна стрілка, що означає однонаправлену вентиляційну установку.</w:t>
      </w: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>
      <w:pPr>
        <w:spacing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</w:t>
      </w:r>
      <w:r>
        <w:rPr>
          <w:rFonts w:asciiTheme="minorHAnsi" w:hAnsiTheme="minorHAnsi"/>
        </w:rPr>
        <w:t> </w:t>
      </w:r>
      <w:r>
        <w:rPr>
          <w:rFonts w:ascii="Times New Roman" w:hAnsi="Times New Roman"/>
          <w:sz w:val="28"/>
          <w:szCs w:val="28"/>
        </w:rPr>
        <w:t>Енергетична етикетка для двонаправлених вентиляціних установок має містити таку інформацію:</w:t>
      </w: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найменування або торговельна марка постачальника;</w:t>
      </w: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моделі (код, який відрізняє конкретну модель від інших моделей тієї самої торгівельної марки або того самого постачальника);</w:t>
      </w: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енергоефективність. Літера, що означає клас енергоефективності, розміщується на тому самому рівні, що і відповідна стрілка. Енергоефективність зазначається для тепліших кліматичних умов.</w:t>
      </w: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рівень звукової потужності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WA</m:t>
            </m:r>
          </m:sub>
        </m:sSub>
      </m:oMath>
      <w:r>
        <w:rPr>
          <w:rFonts w:ascii="Times New Roman" w:hAnsi="Times New Roman"/>
          <w:sz w:val="28"/>
          <w:szCs w:val="28"/>
        </w:rPr>
        <w:t>, округлений до найближчого цілого числа, дБ;</w:t>
      </w: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максимальна швидкість потоку, округлена до найближчого цілого числа, м</w:t>
      </w:r>
      <w:r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>/год, та дві різнонаправлені стрілки, що означають двонаправлену вентиляційну установку.</w:t>
      </w: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 Постачальники до кожної вентиляційної установки для житлових приміщень додають друковану енергетичну етикетку, зміст і форма якої зазначена у додатку 3.</w:t>
      </w: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До кожної моделі вентиляційної установки для житлових приміщень в упаковці  надається мікрофіша. Зміст і форму мікрофіші, у тому числі електронної, наведено у додатку 4.</w:t>
      </w:r>
    </w:p>
    <w:p>
      <w:pPr>
        <w:pStyle w:val="a3"/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Постачальники, які вводять в обіг та/або експлуатацію вентиляційні установки для житлових приміщень повинні мати технічну документацію, яка дає змогу перевірити точність інформації, що міститься на енергетичній етикетці та мікрофіші. Зміст технічної документації наведено в додатку 5 до цього Технічного регламенту.</w:t>
      </w: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7. Постачальники, які вводять в обіг та/або експлуатацію вентиляційні установки для житлових приміщень повинні забезпечувати надання розповсюджувачу інструкції з використання.</w:t>
      </w: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Постачальники, які вводять в обіг та/або експлуатацію вентиляційні установки для житлових приміщень, мають зазначати у рекламі конкретної моделі вентиляційної установки для житлових приміщень інформацію про клас питомого енергоспоживання для цієї моделі у разі зазначення в такій рекламі інформації про споживання енергоресурсів або ціну.</w:t>
      </w: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Постачальники, які вводять в обіг та/або експлуатацію вентиляційні установки для житлових приміщень, мають зазначати у технічних рекламних матеріалах щодо конкретної моделі вентиляційної установки для житлових приміщень інформацію про клас питомого енергоспоживання, у разі зазначення в таких технічних рекламних матеріалах інформації про технічні параметри.</w:t>
      </w: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Постачальники вентиляційних установок для житлових приміщень забезпечують надання розповсюджувачу інформації згідно з додатком 6 до цього Технічного регламенту.</w:t>
      </w:r>
    </w:p>
    <w:p>
      <w:pPr>
        <w:pStyle w:val="a3"/>
        <w:spacing w:before="0"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a3"/>
        <w:spacing w:before="0"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III. Обов’язки розповсюджувачів</w:t>
      </w:r>
    </w:p>
    <w:p>
      <w:pPr>
        <w:pStyle w:val="a3"/>
        <w:spacing w:before="0"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tabs>
          <w:tab w:val="left" w:pos="567"/>
        </w:tabs>
        <w:spacing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Розповсюджувачі вентиляційних установок для житлових приміщень забезпечують:</w:t>
      </w:r>
    </w:p>
    <w:p>
      <w:pPr>
        <w:pStyle w:val="a3"/>
        <w:spacing w:before="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кожну модель вентиляційної установки для житлових приміщень у пунктах продажу енергетичною етикеткою, наданою постачальниками відповідно до пунктів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1–4  розділу II цього Технічного регламенту, яка прикріплюється на передній або верхній частині вентиляційної установки (її має бути чітко видно);</w:t>
      </w:r>
    </w:p>
    <w:p>
      <w:pPr>
        <w:spacing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2) споживача інформацією, наданою постачальниками відповідно до пункту 10 розділу 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цього Технічного регламенту, якщо кінцеві споживачі не можуть побачити вентиляційну установку для житлових приміщень, окрім випадків їх реалізації дистанційним способом (через мережу Інтернет);</w:t>
      </w:r>
    </w:p>
    <w:p>
      <w:pPr>
        <w:pStyle w:val="a3"/>
        <w:spacing w:before="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>
        <w:rPr>
          <w:rFonts w:ascii="Times New Roman" w:hAnsi="Times New Roman" w:hint="eastAsia"/>
          <w:sz w:val="28"/>
          <w:szCs w:val="28"/>
        </w:rPr>
        <w:t>споживача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інформацією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згідно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додатком</w:t>
      </w:r>
      <w:r>
        <w:rPr>
          <w:rFonts w:ascii="Times New Roman" w:hAnsi="Times New Roman"/>
          <w:sz w:val="28"/>
          <w:szCs w:val="28"/>
        </w:rPr>
        <w:t xml:space="preserve"> 7 </w:t>
      </w:r>
      <w:r>
        <w:rPr>
          <w:rFonts w:ascii="Times New Roman" w:hAnsi="Times New Roman" w:hint="eastAsia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цього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Технічного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регламенту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hint="eastAsia"/>
          <w:sz w:val="28"/>
          <w:szCs w:val="28"/>
        </w:rPr>
        <w:t>якщо</w:t>
      </w:r>
      <w:r>
        <w:rPr>
          <w:rFonts w:ascii="Times New Roman" w:hAnsi="Times New Roman"/>
          <w:sz w:val="28"/>
          <w:szCs w:val="28"/>
        </w:rPr>
        <w:t xml:space="preserve"> вентиляційна установка для житлових приміщень пропонують</w:t>
      </w:r>
      <w:r>
        <w:rPr>
          <w:rFonts w:ascii="Times New Roman" w:hAnsi="Times New Roman" w:hint="eastAsia"/>
          <w:sz w:val="28"/>
          <w:szCs w:val="28"/>
        </w:rPr>
        <w:t>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продажу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hint="eastAsia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прокат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або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лізинг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дистанційним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способом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через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мережу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Інтернет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 w:hint="eastAsia"/>
          <w:sz w:val="28"/>
          <w:szCs w:val="28"/>
        </w:rPr>
        <w:t>Зазначена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інформація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надається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споживачу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того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hint="eastAsia"/>
          <w:sz w:val="28"/>
          <w:szCs w:val="28"/>
        </w:rPr>
        <w:t>як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він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придбає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hint="eastAsia"/>
          <w:sz w:val="28"/>
          <w:szCs w:val="28"/>
        </w:rPr>
        <w:t>візьме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прокат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або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лізинг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відповідн</w:t>
      </w:r>
      <w:r>
        <w:rPr>
          <w:rFonts w:ascii="Times New Roman" w:hAnsi="Times New Roman"/>
          <w:sz w:val="28"/>
          <w:szCs w:val="28"/>
        </w:rPr>
        <w:t>у вентиляційну установку для житлових приміщень;</w:t>
      </w:r>
    </w:p>
    <w:p>
      <w:pPr>
        <w:pStyle w:val="a3"/>
        <w:spacing w:before="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наявність у рекламі конкретної моделі вентиляйної установки для житлових приміщень інформації щодо енергоспоживання або ціни, містить конкретний клас питомого енергоспоживання цієї моделі;</w:t>
      </w: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наявність у технічних рекламних матеріалах щодо конкретної моделі вентиляційної установки для житлових приміщень інформації про її технічні параметри та клас питомого енергоспоживання цієї моделі та інструкції з використання.</w:t>
      </w:r>
    </w:p>
    <w:p>
      <w:pPr>
        <w:pStyle w:val="a3"/>
        <w:spacing w:before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>
      <w:pPr>
        <w:pStyle w:val="a3"/>
        <w:spacing w:before="0"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IV. Методи вимірювання</w:t>
      </w:r>
    </w:p>
    <w:p>
      <w:pPr>
        <w:pStyle w:val="a3"/>
        <w:spacing w:before="0" w:line="360" w:lineRule="auto"/>
        <w:rPr>
          <w:rFonts w:ascii="Times New Roman" w:hAnsi="Times New Roman"/>
          <w:b/>
          <w:sz w:val="28"/>
          <w:szCs w:val="28"/>
        </w:rPr>
      </w:pPr>
    </w:p>
    <w:p>
      <w:pPr>
        <w:pStyle w:val="a3"/>
        <w:tabs>
          <w:tab w:val="left" w:pos="993"/>
        </w:tabs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Для забезпечення виконання вимог розділів II та III цього Технічного регламенту клас питомого енергоспоживання визначається згідно з додатком 2 до цього Технічного регламенту.</w:t>
      </w:r>
    </w:p>
    <w:p>
      <w:pPr>
        <w:pStyle w:val="a3"/>
        <w:tabs>
          <w:tab w:val="left" w:pos="993"/>
        </w:tabs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Питоме енергоспоживання, річне споживання електроенергії, річна економія теплової енергії, максимальна швидкість потоку та рівень звукової потужності визначаються відповідно до методів вимірювання та розрахунків,  згідно з додатком 8 до цього Технічного регламенту, які враховують визнані сучасні методи вимірювання і методи розрахунку.</w:t>
      </w:r>
    </w:p>
    <w:p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>
      <w:pPr>
        <w:autoSpaceDE w:val="0"/>
        <w:autoSpaceDN w:val="0"/>
        <w:spacing w:after="12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V. Вимоги до перевірки </w:t>
      </w:r>
      <w:r>
        <w:rPr>
          <w:rFonts w:ascii="Times New Roman" w:hAnsi="Times New Roman"/>
          <w:b/>
          <w:sz w:val="28"/>
          <w:szCs w:val="28"/>
        </w:rPr>
        <w:br/>
        <w:t>під час здійснення державного ринкового нагляду</w:t>
      </w:r>
    </w:p>
    <w:p>
      <w:pPr>
        <w:pStyle w:val="a3"/>
        <w:spacing w:before="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Державний ринковий нагляд щодо відповідності вентиляційних установок для житлових приміщень вимогам цього Технічного регламенту здійснюється органами державного ринкового нагляду в межах сфер їх відповідальності і передбачає встановлення наявності енергетичної етикетки та мікрофіші, їх відповідності вимогам, зазначеним у пунктах 1–5 розділу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цього Технічного регламенту, а також перевірку відповідності фактичних технічних характеристик вентиляційних установок для житлових приміщень вимогам цього Технічного регламенту.</w:t>
      </w:r>
    </w:p>
    <w:p>
      <w:pPr>
        <w:autoSpaceDE w:val="0"/>
        <w:autoSpaceDN w:val="0"/>
        <w:spacing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2. </w:t>
      </w:r>
      <w:r>
        <w:rPr>
          <w:rFonts w:ascii="Times New Roman" w:hAnsi="Times New Roman"/>
          <w:sz w:val="28"/>
          <w:szCs w:val="28"/>
          <w:lang w:eastAsia="en-US"/>
        </w:rPr>
        <w:t xml:space="preserve">Під час перевірки відповідності </w:t>
      </w:r>
      <w:r>
        <w:rPr>
          <w:rFonts w:ascii="Times New Roman" w:hAnsi="Times New Roman"/>
          <w:sz w:val="28"/>
          <w:szCs w:val="28"/>
        </w:rPr>
        <w:t>вентиляційних установок для житлових приміщень</w:t>
      </w:r>
      <w:r>
        <w:rPr>
          <w:rFonts w:ascii="Times New Roman" w:hAnsi="Times New Roman"/>
          <w:sz w:val="28"/>
          <w:szCs w:val="28"/>
          <w:lang w:eastAsia="en-US"/>
        </w:rPr>
        <w:t xml:space="preserve"> вимогам цього Технічного регламенту органи державного ринкового нагляду мають застосовувати процедуру, визначену у додатку 9 до цього Технічного регламенту.</w:t>
      </w:r>
    </w:p>
    <w:p>
      <w:pPr>
        <w:autoSpaceDE w:val="0"/>
        <w:autoSpaceDN w:val="0"/>
        <w:spacing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3. Органи державного ринкового нагляду використовують методи вимірювань і розрахунків відповідно до розділу </w:t>
      </w:r>
      <w:r>
        <w:rPr>
          <w:rFonts w:ascii="Times New Roman" w:hAnsi="Times New Roman"/>
          <w:sz w:val="28"/>
          <w:szCs w:val="28"/>
          <w:lang w:val="en-US" w:eastAsia="en-US"/>
        </w:rPr>
        <w:t>IV</w:t>
      </w:r>
      <w:r>
        <w:rPr>
          <w:rFonts w:ascii="Times New Roman" w:hAnsi="Times New Roman"/>
          <w:sz w:val="28"/>
          <w:szCs w:val="28"/>
          <w:lang w:eastAsia="en-US"/>
        </w:rPr>
        <w:t xml:space="preserve"> цього Технічного регламенту.</w:t>
      </w:r>
    </w:p>
    <w:p>
      <w:pPr>
        <w:autoSpaceDE w:val="0"/>
        <w:autoSpaceDN w:val="0"/>
        <w:spacing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4. Органи державного ринкового нагляду під час перевірки застосовують лише допустимі похибки, наведені у додатку 9 до цього Технічного регламенту.</w:t>
      </w:r>
    </w:p>
    <w:p>
      <w:pPr>
        <w:pStyle w:val="a3"/>
        <w:spacing w:before="0" w:after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Органи державного ринкового нагляду застосовують лише допустимі похибки та використовують процедуру, що зазначена у цьому розділі. Не застосовуються інші похибки (наприклад ті, що встановлені в національних стандартах, що є ідентичними гармонізованим європейським стандартам, або будь-якою іншою методикою вимірювання).</w:t>
      </w:r>
    </w:p>
    <w:p>
      <w:pPr>
        <w:tabs>
          <w:tab w:val="center" w:pos="4819"/>
        </w:tabs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В. о. г</w:t>
      </w:r>
      <w:bookmarkStart w:id="1" w:name="_GoBack"/>
      <w:bookmarkEnd w:id="1"/>
      <w:r>
        <w:rPr>
          <w:rFonts w:ascii="Times New Roman" w:hAnsi="Times New Roman"/>
          <w:b/>
          <w:sz w:val="28"/>
          <w:szCs w:val="28"/>
          <w:lang w:val="ru-RU"/>
        </w:rPr>
        <w:t xml:space="preserve">енерального директора </w:t>
      </w:r>
    </w:p>
    <w:p>
      <w:pPr>
        <w:tabs>
          <w:tab w:val="center" w:pos="4819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Директорату </w:t>
      </w:r>
      <w:r>
        <w:rPr>
          <w:rFonts w:ascii="Times New Roman" w:hAnsi="Times New Roman"/>
          <w:b/>
          <w:sz w:val="28"/>
          <w:szCs w:val="28"/>
        </w:rPr>
        <w:t xml:space="preserve">з питань формування </w:t>
      </w:r>
    </w:p>
    <w:p>
      <w:pPr>
        <w:tabs>
          <w:tab w:val="center" w:pos="4819"/>
        </w:tabs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енерго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- та </w:t>
      </w:r>
      <w:proofErr w:type="spellStart"/>
      <w:r>
        <w:rPr>
          <w:rFonts w:ascii="Times New Roman" w:hAnsi="Times New Roman"/>
          <w:b/>
          <w:sz w:val="28"/>
          <w:szCs w:val="28"/>
        </w:rPr>
        <w:t>ресурсоефективної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політики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  <w:t>О.О. БАЙДА</w:t>
      </w: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a3"/>
        <w:spacing w:before="0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sectPr>
      <w:headerReference w:type="even" r:id="rId8"/>
      <w:headerReference w:type="default" r:id="rId9"/>
      <w:pgSz w:w="11906" w:h="16838" w:code="9"/>
      <w:pgMar w:top="1276" w:right="567" w:bottom="1134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framePr w:wrap="around" w:vAnchor="text" w:hAnchor="margin" w:xAlign="center" w:y="1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8</w:t>
    </w:r>
    <w:r>
      <w:rPr>
        <w:rFonts w:ascii="Times New Roman" w:hAnsi="Times New Roman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3" type="#_x0000_t75" style="width:55.8pt;height:52.8pt" o:bullet="t">
        <v:imagedata r:id="rId1" o:title="clip_image001"/>
      </v:shape>
    </w:pict>
  </w:numPicBullet>
  <w:numPicBullet w:numPicBulletId="1">
    <w:pict>
      <v:shape id="_x0000_i1144" type="#_x0000_t75" style="width:57.6pt;height:50.4pt" o:bullet="t">
        <v:imagedata r:id="rId2" o:title="clip_image011"/>
      </v:shape>
    </w:pict>
  </w:numPicBullet>
  <w:numPicBullet w:numPicBulletId="2">
    <w:pict>
      <v:shape id="_x0000_i1145" type="#_x0000_t75" style="width:54.6pt;height:55.8pt" o:bullet="t">
        <v:imagedata r:id="rId3" o:title="clip_image003"/>
      </v:shape>
    </w:pict>
  </w:numPicBullet>
  <w:numPicBullet w:numPicBulletId="3">
    <w:pict>
      <v:shape id="_x0000_i1146" type="#_x0000_t75" style="width:52.8pt;height:48.6pt" o:bullet="t">
        <v:imagedata r:id="rId4" o:title="clip_image013"/>
      </v:shape>
    </w:pict>
  </w:numPicBullet>
  <w:numPicBullet w:numPicBulletId="4">
    <w:pict>
      <v:shape id="_x0000_i1147" type="#_x0000_t75" style="width:56.4pt;height:56.4pt" o:bullet="t">
        <v:imagedata r:id="rId5" o:title="clip_image015"/>
      </v:shape>
    </w:pict>
  </w:numPicBullet>
  <w:numPicBullet w:numPicBulletId="5">
    <w:pict>
      <v:shape id="_x0000_i1148" type="#_x0000_t75" style="width:52.8pt;height:52.8pt" o:bullet="t">
        <v:imagedata r:id="rId6" o:title="clip_image017"/>
      </v:shape>
    </w:pict>
  </w:numPicBullet>
  <w:numPicBullet w:numPicBulletId="6">
    <w:pict>
      <v:shape id="_x0000_i1149" type="#_x0000_t75" style="width:50.4pt;height:54.6pt" o:bullet="t">
        <v:imagedata r:id="rId7" o:title="clip_image019"/>
      </v:shape>
    </w:pict>
  </w:numPicBullet>
  <w:numPicBullet w:numPicBulletId="7">
    <w:pict>
      <v:shape id="_x0000_i1150" type="#_x0000_t75" style="width:33.6pt;height:31.8pt" o:bullet="t">
        <v:imagedata r:id="rId8" o:title="clip_image021"/>
      </v:shape>
    </w:pict>
  </w:numPicBullet>
  <w:numPicBullet w:numPicBulletId="8">
    <w:pict>
      <v:shape id="_x0000_i1151" type="#_x0000_t75" style="width:33.6pt;height:33.6pt" o:bullet="t">
        <v:imagedata r:id="rId9" o:title="clip_image023"/>
      </v:shape>
    </w:pict>
  </w:numPicBullet>
  <w:numPicBullet w:numPicBulletId="9">
    <w:pict>
      <v:shape id="_x0000_i1152" type="#_x0000_t75" style="width:33.6pt;height:31.8pt" o:bullet="t">
        <v:imagedata r:id="rId10" o:title="clip_image025"/>
      </v:shape>
    </w:pict>
  </w:numPicBullet>
  <w:numPicBullet w:numPicBulletId="10">
    <w:pict>
      <v:shape id="_x0000_i1153" type="#_x0000_t75" style="width:51pt;height:52.8pt" o:bullet="t">
        <v:imagedata r:id="rId11" o:title="clip_image005"/>
      </v:shape>
    </w:pict>
  </w:numPicBullet>
  <w:numPicBullet w:numPicBulletId="11">
    <w:pict>
      <v:shape id="_x0000_i1154" type="#_x0000_t75" style="width:52.8pt;height:50.4pt" o:bullet="t">
        <v:imagedata r:id="rId12" o:title="clip_image007"/>
      </v:shape>
    </w:pict>
  </w:numPicBullet>
  <w:numPicBullet w:numPicBulletId="12">
    <w:pict>
      <v:shape id="_x0000_i1155" type="#_x0000_t75" style="width:52.8pt;height:51pt" o:bullet="t">
        <v:imagedata r:id="rId13" o:title="clip_image009"/>
      </v:shape>
    </w:pict>
  </w:numPicBullet>
  <w:abstractNum w:abstractNumId="0" w15:restartNumberingAfterBreak="0">
    <w:nsid w:val="032E1BE1"/>
    <w:multiLevelType w:val="hybridMultilevel"/>
    <w:tmpl w:val="B4ACBC9A"/>
    <w:lvl w:ilvl="0" w:tplc="04DA92A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28AA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BF4BB0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7A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D6BE4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02BE6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882D8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A2A6F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24355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A5E7974"/>
    <w:multiLevelType w:val="hybridMultilevel"/>
    <w:tmpl w:val="E6084CD8"/>
    <w:lvl w:ilvl="0" w:tplc="CCD21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244377"/>
    <w:multiLevelType w:val="hybridMultilevel"/>
    <w:tmpl w:val="C00E49F0"/>
    <w:lvl w:ilvl="0" w:tplc="C09238E6">
      <w:start w:val="1"/>
      <w:numFmt w:val="bullet"/>
      <w:lvlText w:val=""/>
      <w:lvlJc w:val="left"/>
      <w:pPr>
        <w:ind w:left="1287" w:hanging="360"/>
      </w:pPr>
      <w:rPr>
        <w:rFonts w:ascii="Wingdings 2" w:hAnsi="Wingdings 2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43F5B"/>
    <w:multiLevelType w:val="hybridMultilevel"/>
    <w:tmpl w:val="9DA89CDC"/>
    <w:lvl w:ilvl="0" w:tplc="57864228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3393173"/>
    <w:multiLevelType w:val="hybridMultilevel"/>
    <w:tmpl w:val="62829688"/>
    <w:lvl w:ilvl="0" w:tplc="499091BC">
      <w:start w:val="1"/>
      <w:numFmt w:val="bullet"/>
      <w:lvlText w:val=""/>
      <w:lvlPicBulletId w:val="1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AA18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EE40B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DCC4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8E8B2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78BB6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DA8F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DEE24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580BE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D910A88"/>
    <w:multiLevelType w:val="hybridMultilevel"/>
    <w:tmpl w:val="7A3A8522"/>
    <w:lvl w:ilvl="0" w:tplc="41280E92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8647A9"/>
    <w:multiLevelType w:val="hybridMultilevel"/>
    <w:tmpl w:val="A6FA6894"/>
    <w:lvl w:ilvl="0" w:tplc="B262CA8C">
      <w:start w:val="1"/>
      <w:numFmt w:val="bullet"/>
      <w:lvlText w:val=""/>
      <w:lvlPicBulletId w:val="7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21904909"/>
    <w:multiLevelType w:val="hybridMultilevel"/>
    <w:tmpl w:val="D70EBC52"/>
    <w:lvl w:ilvl="0" w:tplc="4E1E4C98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9E2F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26017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D271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2E5D8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945C4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8E1F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E8A6C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F8AA1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4BE4852"/>
    <w:multiLevelType w:val="hybridMultilevel"/>
    <w:tmpl w:val="47029AAE"/>
    <w:lvl w:ilvl="0" w:tplc="657CADEE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DD7517"/>
    <w:multiLevelType w:val="hybridMultilevel"/>
    <w:tmpl w:val="5410850C"/>
    <w:lvl w:ilvl="0" w:tplc="212620D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8521882"/>
    <w:multiLevelType w:val="hybridMultilevel"/>
    <w:tmpl w:val="90E06698"/>
    <w:lvl w:ilvl="0" w:tplc="0EF0688A">
      <w:start w:val="1"/>
      <w:numFmt w:val="bullet"/>
      <w:lvlText w:val=""/>
      <w:lvlPicBulletId w:val="1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2633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421D0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B039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70DBA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F6B14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6BA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BC2A8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82A5B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CBC5D46"/>
    <w:multiLevelType w:val="hybridMultilevel"/>
    <w:tmpl w:val="2B8ACC72"/>
    <w:lvl w:ilvl="0" w:tplc="B77EF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22C1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D2882F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D407E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42EB5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A40664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5C32C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D6946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62536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8A356E8"/>
    <w:multiLevelType w:val="hybridMultilevel"/>
    <w:tmpl w:val="3590526A"/>
    <w:lvl w:ilvl="0" w:tplc="A0BAB172">
      <w:start w:val="1"/>
      <w:numFmt w:val="bullet"/>
      <w:lvlText w:val=""/>
      <w:lvlPicBulletId w:val="1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A85B3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5F8498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84C4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664DE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F4457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440B5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256A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AEE7C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8C44F32"/>
    <w:multiLevelType w:val="hybridMultilevel"/>
    <w:tmpl w:val="F7729836"/>
    <w:lvl w:ilvl="0" w:tplc="01126FFE">
      <w:start w:val="1"/>
      <w:numFmt w:val="bullet"/>
      <w:lvlText w:val=""/>
      <w:lvlPicBulletId w:val="6"/>
      <w:lvlJc w:val="left"/>
      <w:pPr>
        <w:ind w:left="142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4" w15:restartNumberingAfterBreak="0">
    <w:nsid w:val="4B314919"/>
    <w:multiLevelType w:val="hybridMultilevel"/>
    <w:tmpl w:val="0EC4FA38"/>
    <w:lvl w:ilvl="0" w:tplc="DAD4B88C">
      <w:start w:val="1"/>
      <w:numFmt w:val="bullet"/>
      <w:lvlText w:val=""/>
      <w:lvlPicBulletId w:val="8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7867F6D"/>
    <w:multiLevelType w:val="hybridMultilevel"/>
    <w:tmpl w:val="FC109152"/>
    <w:lvl w:ilvl="0" w:tplc="75165F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F046764"/>
    <w:multiLevelType w:val="hybridMultilevel"/>
    <w:tmpl w:val="93D0F51A"/>
    <w:lvl w:ilvl="0" w:tplc="69403964">
      <w:start w:val="4"/>
      <w:numFmt w:val="bullet"/>
      <w:lvlText w:val="–"/>
      <w:lvlJc w:val="left"/>
      <w:pPr>
        <w:ind w:left="1211" w:hanging="360"/>
      </w:pPr>
      <w:rPr>
        <w:rFonts w:ascii="Calibri" w:eastAsia="Times New Roman" w:hAnsi="Calibri" w:cs="Calibri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7" w15:restartNumberingAfterBreak="0">
    <w:nsid w:val="647F332D"/>
    <w:multiLevelType w:val="hybridMultilevel"/>
    <w:tmpl w:val="D0EEBED4"/>
    <w:lvl w:ilvl="0" w:tplc="DFF8B058">
      <w:start w:val="1"/>
      <w:numFmt w:val="bullet"/>
      <w:lvlText w:val="–"/>
      <w:lvlJc w:val="left"/>
      <w:pPr>
        <w:ind w:left="718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8" w15:restartNumberingAfterBreak="0">
    <w:nsid w:val="66910E3B"/>
    <w:multiLevelType w:val="hybridMultilevel"/>
    <w:tmpl w:val="2A58F3C8"/>
    <w:lvl w:ilvl="0" w:tplc="62629F36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0745C12"/>
    <w:multiLevelType w:val="hybridMultilevel"/>
    <w:tmpl w:val="E5C42576"/>
    <w:lvl w:ilvl="0" w:tplc="BC303110">
      <w:start w:val="1"/>
      <w:numFmt w:val="bullet"/>
      <w:lvlText w:val=""/>
      <w:lvlPicBulletId w:val="9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2"/>
  </w:num>
  <w:num w:numId="4">
    <w:abstractNumId w:val="11"/>
  </w:num>
  <w:num w:numId="5">
    <w:abstractNumId w:val="8"/>
  </w:num>
  <w:num w:numId="6">
    <w:abstractNumId w:val="0"/>
  </w:num>
  <w:num w:numId="7">
    <w:abstractNumId w:val="18"/>
  </w:num>
  <w:num w:numId="8">
    <w:abstractNumId w:val="3"/>
  </w:num>
  <w:num w:numId="9">
    <w:abstractNumId w:val="7"/>
  </w:num>
  <w:num w:numId="10">
    <w:abstractNumId w:val="13"/>
  </w:num>
  <w:num w:numId="11">
    <w:abstractNumId w:val="6"/>
  </w:num>
  <w:num w:numId="12">
    <w:abstractNumId w:val="14"/>
  </w:num>
  <w:num w:numId="13">
    <w:abstractNumId w:val="19"/>
  </w:num>
  <w:num w:numId="14">
    <w:abstractNumId w:val="4"/>
  </w:num>
  <w:num w:numId="15">
    <w:abstractNumId w:val="12"/>
  </w:num>
  <w:num w:numId="16">
    <w:abstractNumId w:val="10"/>
  </w:num>
  <w:num w:numId="17">
    <w:abstractNumId w:val="1"/>
  </w:num>
  <w:num w:numId="18">
    <w:abstractNumId w:val="9"/>
  </w:num>
  <w:num w:numId="19">
    <w:abstractNumId w:val="17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24566C-7F17-4846-9F76-484E3BBCA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pPr>
      <w:keepNext/>
      <w:spacing w:before="120"/>
      <w:ind w:left="567"/>
      <w:outlineLvl w:val="2"/>
    </w:pPr>
    <w:rPr>
      <w:b/>
      <w:i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Pr>
      <w:rFonts w:ascii="Antiqua" w:eastAsia="Times New Roman" w:hAnsi="Antiqua" w:cs="Times New Roman"/>
      <w:b/>
      <w:i/>
      <w:sz w:val="26"/>
      <w:szCs w:val="20"/>
      <w:lang w:val="x-none" w:eastAsia="ru-RU"/>
    </w:rPr>
  </w:style>
  <w:style w:type="paragraph" w:customStyle="1" w:styleId="a3">
    <w:name w:val="Нормальний текст"/>
    <w:basedOn w:val="a"/>
    <w:uiPriority w:val="99"/>
    <w:pPr>
      <w:spacing w:before="120"/>
      <w:ind w:firstLine="567"/>
    </w:pPr>
  </w:style>
  <w:style w:type="paragraph" w:customStyle="1" w:styleId="a4">
    <w:name w:val="Назва документа"/>
    <w:basedOn w:val="a"/>
    <w:next w:val="a3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pPr>
      <w:keepNext/>
      <w:keepLines/>
      <w:spacing w:after="240"/>
      <w:ind w:left="3969"/>
      <w:jc w:val="center"/>
    </w:p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Times New Roman" w:hAnsi="Tahoma" w:cs="Tahoma"/>
      <w:sz w:val="16"/>
      <w:szCs w:val="16"/>
      <w:lang w:val="uk-UA" w:eastAsia="ru-RU"/>
    </w:rPr>
  </w:style>
  <w:style w:type="character" w:styleId="a7">
    <w:name w:val="Placeholder Text"/>
    <w:basedOn w:val="a0"/>
    <w:uiPriority w:val="99"/>
    <w:semiHidden/>
    <w:rPr>
      <w:color w:val="808080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13" Type="http://schemas.openxmlformats.org/officeDocument/2006/relationships/image" Target="media/image13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emf"/><Relationship Id="rId4" Type="http://schemas.openxmlformats.org/officeDocument/2006/relationships/image" Target="media/image4.png"/><Relationship Id="rId9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72636-8FBE-4767-B414-7C26C32DC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8076</Words>
  <Characters>4604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Дар’я Кривопляс</cp:lastModifiedBy>
  <cp:revision>4</cp:revision>
  <cp:lastPrinted>2020-03-05T08:52:00Z</cp:lastPrinted>
  <dcterms:created xsi:type="dcterms:W3CDTF">2020-04-06T10:14:00Z</dcterms:created>
  <dcterms:modified xsi:type="dcterms:W3CDTF">2020-04-07T13:30:00Z</dcterms:modified>
</cp:coreProperties>
</file>