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pPr>
        <w:spacing w:line="360" w:lineRule="auto"/>
        <w:ind w:left="5245"/>
        <w:rPr>
          <w:rFonts w:ascii="Times New Roman" w:hAnsi="Times New Roman"/>
          <w:sz w:val="28"/>
          <w:szCs w:val="28"/>
          <w:lang w:val="uk-UA"/>
        </w:rPr>
      </w:pPr>
      <w:r>
        <w:rPr>
          <w:rFonts w:ascii="Times New Roman" w:hAnsi="Times New Roman"/>
          <w:sz w:val="28"/>
          <w:szCs w:val="28"/>
          <w:lang w:val="uk-UA"/>
        </w:rPr>
        <w:t xml:space="preserve">ЗАТВЕРДЖЕНО </w:t>
      </w:r>
      <w:r>
        <w:rPr>
          <w:rFonts w:ascii="Times New Roman" w:hAnsi="Times New Roman"/>
          <w:sz w:val="28"/>
          <w:szCs w:val="28"/>
          <w:lang w:val="uk-UA"/>
        </w:rPr>
        <w:br/>
        <w:t>Наказ Міністерства енергетики та захисту довкілля України</w:t>
      </w:r>
    </w:p>
    <w:p>
      <w:pPr>
        <w:spacing w:line="360" w:lineRule="auto"/>
        <w:ind w:left="5245"/>
        <w:rPr>
          <w:rFonts w:ascii="Times New Roman" w:hAnsi="Times New Roman"/>
          <w:sz w:val="28"/>
          <w:szCs w:val="28"/>
          <w:lang w:val="uk-UA"/>
        </w:rPr>
      </w:pPr>
      <w:r>
        <w:rPr>
          <w:rFonts w:ascii="Times New Roman" w:hAnsi="Times New Roman"/>
          <w:sz w:val="28"/>
          <w:szCs w:val="28"/>
          <w:lang w:val="uk-UA"/>
        </w:rPr>
        <w:t>_________________ року № ______</w:t>
      </w:r>
    </w:p>
    <w:p>
      <w:pPr>
        <w:spacing w:line="360" w:lineRule="auto"/>
        <w:rPr>
          <w:rFonts w:ascii="Times New Roman" w:hAnsi="Times New Roman"/>
          <w:sz w:val="28"/>
          <w:szCs w:val="28"/>
          <w:lang w:val="uk-UA"/>
        </w:rPr>
      </w:pPr>
    </w:p>
    <w:p>
      <w:pPr>
        <w:spacing w:after="0" w:line="360" w:lineRule="auto"/>
        <w:jc w:val="center"/>
        <w:rPr>
          <w:rFonts w:ascii="Times New Roman" w:hAnsi="Times New Roman"/>
          <w:b/>
          <w:sz w:val="28"/>
          <w:szCs w:val="28"/>
          <w:lang w:val="uk-UA"/>
        </w:rPr>
      </w:pPr>
      <w:r>
        <w:rPr>
          <w:rFonts w:ascii="Times New Roman" w:hAnsi="Times New Roman"/>
          <w:b/>
          <w:sz w:val="28"/>
          <w:szCs w:val="28"/>
          <w:lang w:val="uk-UA"/>
        </w:rPr>
        <w:t xml:space="preserve">ТЕХНІЧНИЙ РЕГЛАМЕНТ </w:t>
      </w:r>
      <w:r>
        <w:rPr>
          <w:rFonts w:ascii="Times New Roman" w:hAnsi="Times New Roman"/>
          <w:b/>
          <w:sz w:val="28"/>
          <w:szCs w:val="28"/>
          <w:lang w:val="uk-UA"/>
        </w:rPr>
        <w:br/>
        <w:t xml:space="preserve">енергетичного маркування місцевих обігрівачів </w:t>
      </w:r>
    </w:p>
    <w:p>
      <w:pPr>
        <w:pStyle w:val="a8"/>
        <w:spacing w:before="240" w:after="240" w:line="360" w:lineRule="auto"/>
        <w:ind w:left="0"/>
        <w:jc w:val="center"/>
        <w:rPr>
          <w:rFonts w:ascii="Times New Roman" w:hAnsi="Times New Roman"/>
          <w:b/>
          <w:sz w:val="28"/>
          <w:szCs w:val="28"/>
          <w:lang w:val="uk-UA"/>
        </w:rPr>
      </w:pPr>
      <w:r>
        <w:rPr>
          <w:rFonts w:ascii="Times New Roman" w:hAnsi="Times New Roman"/>
          <w:b/>
          <w:sz w:val="28"/>
          <w:szCs w:val="28"/>
          <w:lang w:val="en-US"/>
        </w:rPr>
        <w:t>I</w:t>
      </w:r>
      <w:r>
        <w:rPr>
          <w:rFonts w:ascii="Times New Roman" w:hAnsi="Times New Roman"/>
          <w:b/>
          <w:sz w:val="28"/>
          <w:szCs w:val="28"/>
          <w:lang w:val="uk-UA"/>
        </w:rPr>
        <w:t>. Загальні положення</w:t>
      </w:r>
    </w:p>
    <w:p>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1. Цей Технічний регламент визначає основні вимоги щодо енергетичного маркування місцевих обігрівачів з номінальною тепловою потужністю ≤ 50 кВт,</w:t>
      </w:r>
      <w:r>
        <w:rPr>
          <w:lang w:val="uk-UA"/>
        </w:rPr>
        <w:t xml:space="preserve"> </w:t>
      </w:r>
      <w:r>
        <w:rPr>
          <w:rFonts w:ascii="Times New Roman" w:hAnsi="Times New Roman"/>
          <w:sz w:val="28"/>
          <w:szCs w:val="28"/>
          <w:lang w:val="uk-UA"/>
        </w:rPr>
        <w:t>а також</w:t>
      </w:r>
      <w:r>
        <w:rPr>
          <w:lang w:val="uk-UA"/>
        </w:rPr>
        <w:t xml:space="preserve"> </w:t>
      </w:r>
      <w:r>
        <w:rPr>
          <w:rFonts w:ascii="Times New Roman" w:hAnsi="Times New Roman"/>
          <w:sz w:val="28"/>
          <w:szCs w:val="28"/>
          <w:lang w:val="uk-UA"/>
        </w:rPr>
        <w:t>надання споживачам додаткової інформації стосовно них.</w:t>
      </w:r>
    </w:p>
    <w:p>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Цей Технічний регламент розроблено на основі Делегованого регламенту Комісії (ЄС) №</w:t>
      </w:r>
      <w:r>
        <w:rPr>
          <w:rFonts w:ascii="Times New Roman" w:hAnsi="Times New Roman"/>
          <w:sz w:val="28"/>
          <w:szCs w:val="28"/>
          <w:lang w:val="en-US"/>
        </w:rPr>
        <w:t> </w:t>
      </w:r>
      <w:r>
        <w:rPr>
          <w:rFonts w:ascii="Times New Roman" w:hAnsi="Times New Roman"/>
          <w:sz w:val="28"/>
          <w:szCs w:val="28"/>
          <w:lang w:val="uk-UA"/>
        </w:rPr>
        <w:t>2015/1186 від 24 квітня 2015 року, що доповнює Директиву Європейського Парламенту і Ради 2010/30/ЄС стосовно енергетичного маркування місцевих обігрівачів.</w:t>
      </w:r>
    </w:p>
    <w:p>
      <w:pPr>
        <w:spacing w:after="0" w:line="360" w:lineRule="auto"/>
        <w:ind w:firstLine="709"/>
        <w:jc w:val="both"/>
        <w:rPr>
          <w:rFonts w:ascii="Times New Roman" w:hAnsi="Times New Roman"/>
          <w:sz w:val="28"/>
          <w:szCs w:val="28"/>
          <w:lang w:val="uk-UA"/>
        </w:rPr>
      </w:pPr>
    </w:p>
    <w:p>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2. Дія цього Технічного регламенту не поширюється на:</w:t>
      </w:r>
    </w:p>
    <w:p>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електричні місцеві обігрівачі;</w:t>
      </w:r>
    </w:p>
    <w:p>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місцеві обігрівачі, які використовують парокомпресійний цикл або цикл поглинання для вироблення тепла та працюють на електричних компресорах або паливі;</w:t>
      </w:r>
    </w:p>
    <w:p>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твердопаливні місцеві обігрівачі, які в якості палива використовують лише</w:t>
      </w:r>
      <w:r>
        <w:rPr>
          <w:rFonts w:ascii="Times New Roman" w:hAnsi="Times New Roman"/>
          <w:sz w:val="28"/>
          <w:szCs w:val="28"/>
        </w:rPr>
        <w:t xml:space="preserve"> </w:t>
      </w:r>
      <w:r>
        <w:rPr>
          <w:rFonts w:ascii="Times New Roman" w:hAnsi="Times New Roman"/>
          <w:sz w:val="28"/>
          <w:szCs w:val="28"/>
          <w:lang w:val="uk-UA"/>
        </w:rPr>
        <w:t>недеревну біомасу;</w:t>
      </w:r>
    </w:p>
    <w:p>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місцеві обігрівачі, які призначені не для обігріву приміщень, а для досягнення та підтримання певного теплового комфорту людей за допомогою конвекції тепла або випромінювання тепла;</w:t>
      </w:r>
    </w:p>
    <w:p>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місцеві обігрівачі, які передбачені лише для використання на відкритому повітрі;</w:t>
      </w:r>
    </w:p>
    <w:p>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lastRenderedPageBreak/>
        <w:t>місцеві обігрівачі, пряма теплова потужність яких менша на 6 відсотків від суми прямої та непрямої теплової потужності при номінальній тепловій потужності;</w:t>
      </w:r>
    </w:p>
    <w:p>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твердопаливні місцеві обігрівачі, які не є зібраними на заводі або які не передбачені як готові елементи чи частини одним виробником, а які мають бути зібрані на місці;</w:t>
      </w:r>
    </w:p>
    <w:p>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світлові місцеві обігрівачі та трубчасті місцеві обігрівачі;</w:t>
      </w:r>
    </w:p>
    <w:p>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вироби повітряного обігріву;</w:t>
      </w:r>
    </w:p>
    <w:p>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печі для сауни.</w:t>
      </w:r>
    </w:p>
    <w:p>
      <w:pPr>
        <w:spacing w:after="0" w:line="360" w:lineRule="auto"/>
        <w:ind w:firstLine="709"/>
        <w:jc w:val="both"/>
        <w:rPr>
          <w:rFonts w:ascii="Times New Roman" w:hAnsi="Times New Roman"/>
          <w:sz w:val="28"/>
          <w:szCs w:val="28"/>
          <w:lang w:val="uk-UA"/>
        </w:rPr>
      </w:pPr>
    </w:p>
    <w:p>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3. У цьому Технічному регламенті терміни вживаються у таких значеннях:</w:t>
      </w:r>
    </w:p>
    <w:p>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бездимоходний обігрівач – місцевий обігрівач, який використовує газоподібне або рідке паливо, виділяє продукти згорання у приміщення, де знаходиться обігрівач, та який відмінний від світлового місцевого обігрівача;</w:t>
      </w:r>
    </w:p>
    <w:p>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біомаса – складова продуктів, відходів і залишків сільського господарства (у тому числі рослинні та тваринні речовини), лісового господарства та пов’язаних з ними галузей промисловості, у тому числі риболовства та аквакультури, які мають біологічне походження, а також складова промислових і муніципальних відходів, яка здатна до біологічного розкладу;</w:t>
      </w:r>
    </w:p>
    <w:p>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викопне тверде паливо – тверде паливо, відмінне від біомаси, у тому числі антрацит та сухе вугілля, твердий кокс, напівкокс, кам’яне вугілля, буре вугілля, суміш різних видів викопного палива або суміш біомаси та викопного палива, а також в рамках цього Технічного регламенту  – торф;</w:t>
      </w:r>
    </w:p>
    <w:p>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деревна біомаса – біомаса, отримана з дерев, кущів і чагарників, у тому числі дрова, тріска, пресована деревина у формі гранул, пресована деревина у формі брикетів і тирса;</w:t>
      </w:r>
    </w:p>
    <w:p>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еквівалентна модель – модель, введена в обіг з такими самими технічними параметрами, встановленими в таблицях 1 та 2 додатка 5 до цього Технічного регламенту, як і в іншої моделі, введеної в обіг тим самим постачальником;</w:t>
      </w:r>
    </w:p>
    <w:p>
      <w:pPr>
        <w:spacing w:after="0" w:line="360" w:lineRule="auto"/>
        <w:ind w:firstLine="709"/>
        <w:jc w:val="both"/>
        <w:rPr>
          <w:rFonts w:ascii="Times New Roman" w:hAnsi="Times New Roman"/>
          <w:sz w:val="28"/>
          <w:szCs w:val="28"/>
        </w:rPr>
      </w:pPr>
      <w:r>
        <w:rPr>
          <w:rFonts w:ascii="Times New Roman" w:hAnsi="Times New Roman"/>
          <w:sz w:val="28"/>
          <w:szCs w:val="28"/>
          <w:lang w:val="uk-UA"/>
        </w:rPr>
        <w:lastRenderedPageBreak/>
        <w:t>електричний місцевий обігрівач – місцевий обігрівач, що використовує електричний ефект Джоуля для вироблення тепла;</w:t>
      </w:r>
    </w:p>
    <w:p>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інше допустиме паливо – паливо, відмінне від рекомендованого палива, яке можна використовувати у місцевому обігрівачі відповідно до інструкцій постачальника та яке включає будь-який вид палива, зазначений в інструкції з експлуатації для монтажників та кінцевих споживачів, на веб-сайтах виробників та постачальників з вільним доступом, у технічному або рекламному матеріалі та рекламі;</w:t>
      </w:r>
    </w:p>
    <w:p>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мінімальна теплова потужність (P</w:t>
      </w:r>
      <w:r>
        <w:rPr>
          <w:rFonts w:ascii="Times New Roman" w:hAnsi="Times New Roman"/>
          <w:sz w:val="28"/>
          <w:szCs w:val="28"/>
          <w:vertAlign w:val="subscript"/>
          <w:lang w:val="uk-UA"/>
        </w:rPr>
        <w:t>min</w:t>
      </w:r>
      <w:r>
        <w:rPr>
          <w:rFonts w:ascii="Times New Roman" w:hAnsi="Times New Roman"/>
          <w:sz w:val="28"/>
          <w:szCs w:val="28"/>
          <w:lang w:val="uk-UA"/>
        </w:rPr>
        <w:t>) – теплова потужність місцевого обігрівача, що охоплює пряму та непряму теплову потужність (у відповідних випадках), під час його експлуатації при налаштуванні на мінімальну теплову потужність, як заявлено постачальником, виражена у кВт;</w:t>
      </w:r>
    </w:p>
    <w:p>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місцевий обігрівач – пристрій призначений для обігріву, який випромінює тепло шляхом прямої передачі тепла або шляхом поєднання прямої передачі тепла з передачею тепла рідині, з метою досягнення та підтримування певного рівня теплового комфорту для людини в закритому просторі, де знаходиться місцевий обігрівач та/або у поєднанні з віддачою тепла до інших приміщень, обладнаний одним або кількома теплогенераторами, що перетворюють електроенергію або газоподібне, рідке чи тверде паливо безпосередньо в тепло шляхом використання ефекту Джоуля або спалення палива відповідно;</w:t>
      </w:r>
    </w:p>
    <w:p>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місцевий обігрівач з відкритою камерою згоряння – місцевий обігрівач, що використовує газоподібне, рідке або тверде паливо, у якому вогнище та газоподібні продукти згорання не є герметично відділеними від приміщення, в якому встановлено місцевий обігрівач, та який герметично з’єднано з димоходом чи топкою або вимагає димового каналу для виведення продуктів згорання;</w:t>
      </w:r>
    </w:p>
    <w:p>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 xml:space="preserve">місцевий обігрівач із закритою камерою згоряння – місцевий обігрівач, що використовує газоподібне, рідке або тверде паливо, у якому вогнище та газоподібні продукти згорання можуть бути герметично відділені від приміщення в якому встановлено місцевий обігрівач, та який герметично </w:t>
      </w:r>
      <w:r>
        <w:rPr>
          <w:rFonts w:ascii="Times New Roman" w:hAnsi="Times New Roman"/>
          <w:sz w:val="28"/>
          <w:szCs w:val="28"/>
          <w:lang w:val="uk-UA"/>
        </w:rPr>
        <w:lastRenderedPageBreak/>
        <w:t>з’єднаний з димоходом чи топкою або вимагає димового каналу для виведення продуктів згорання;</w:t>
      </w:r>
    </w:p>
    <w:p>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місцевий обігрівач на газоподібному паливі – місцевий обігрівач приміщення з відкритою камерою згоряння або місцевий обігрівач приміщення із закритою камерою згоряння, що використовує газоподібне паливо;</w:t>
      </w:r>
    </w:p>
    <w:p>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місцевий обігрівач на рідкому паливі – місцевий обігрівач з відкритою камерою згоряння або місцевий обігрівач приміщення із закритою камерою згоряння, що використовує рідке паливо;</w:t>
      </w:r>
    </w:p>
    <w:p>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паливний місцевий обігрівач – місцевий обігрівач з відкритою камерою згоряння або місцевий обігрівач із закритою камерою згоряння або піч;</w:t>
      </w:r>
    </w:p>
    <w:p>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недеревна біомаса – біомаса, відмінна від деревної біомаси, у тому числі солома, міскантус, очерет, кісточки, зерна, кісточки маслин, маслинова макуха та горіхова шкарлупа;</w:t>
      </w:r>
    </w:p>
    <w:p>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непряма теплова потужність – тепловіддача приладу до теплоносія за допомогою такого ж процесу вироблення тепла як і при процесі вироблення прямої теплової потужності, виражена у кВт;</w:t>
      </w:r>
    </w:p>
    <w:p>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номінальна теплова потужність P</w:t>
      </w:r>
      <w:r>
        <w:rPr>
          <w:rFonts w:ascii="Times New Roman" w:hAnsi="Times New Roman"/>
          <w:sz w:val="16"/>
          <w:szCs w:val="16"/>
          <w:lang w:val="en-US"/>
        </w:rPr>
        <w:t>nom</w:t>
      </w:r>
      <w:r>
        <w:rPr>
          <w:rFonts w:ascii="Times New Roman" w:hAnsi="Times New Roman"/>
          <w:sz w:val="28"/>
          <w:szCs w:val="28"/>
          <w:lang w:val="uk-UA"/>
        </w:rPr>
        <w:t xml:space="preserve"> – теплова потужність місцевого обігрівача, що охоплює пряму та непряму теплову потужність (у відповідних випадках), під час його експлуатації за налаштування на максимальну теплову потужність, яку можна підтримувати протягом тривалого періоду, як заявлено постачальником, виражен</w:t>
      </w:r>
      <w:r>
        <w:rPr>
          <w:rFonts w:ascii="Times New Roman" w:hAnsi="Times New Roman"/>
          <w:sz w:val="28"/>
          <w:szCs w:val="28"/>
        </w:rPr>
        <w:t>а</w:t>
      </w:r>
      <w:r>
        <w:rPr>
          <w:rFonts w:ascii="Times New Roman" w:hAnsi="Times New Roman"/>
          <w:sz w:val="28"/>
          <w:szCs w:val="28"/>
          <w:lang w:val="uk-UA"/>
        </w:rPr>
        <w:t xml:space="preserve"> в кВт;</w:t>
      </w:r>
    </w:p>
    <w:p>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обігрівач з виходом до димоходу – місцевий обігрівач, який використовує газоподібне, рідке або тверде паливо, призначено для розміщення під димоходом або в каміні без герметизації між продуктом та димоходом або топки та який дозволяє продуктам згорання проходити вільно від вогнища до димоходу або димового каналу;</w:t>
      </w:r>
    </w:p>
    <w:p>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 xml:space="preserve">плита – місцевий обігрівач, що використовує тверде паливо, вміщує в одному корпусі функцію місцевого обігрівача та варильну поверхню, духовку або те й інше, які необхідні для приготування їжі та який герметично з’єднано з </w:t>
      </w:r>
      <w:r>
        <w:rPr>
          <w:rFonts w:ascii="Times New Roman" w:hAnsi="Times New Roman"/>
          <w:sz w:val="28"/>
          <w:szCs w:val="28"/>
          <w:lang w:val="uk-UA"/>
        </w:rPr>
        <w:lastRenderedPageBreak/>
        <w:t>димоходом чи топкою або вимагає димового каналу для виведення продуктів згорання;</w:t>
      </w:r>
    </w:p>
    <w:p>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піч для сауни – місцевий обігрівач, вбудований у сухі сауни, парні сауни чи подібні середовища або призначений для використання у них;</w:t>
      </w:r>
    </w:p>
    <w:p>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призначений для використання на відкритому повітрі – прилад, придатний для безпечної експлуатації за межами закритого простору, у тому числі можливе використання на відкритому повітрі;</w:t>
      </w:r>
    </w:p>
    <w:p>
      <w:pPr>
        <w:spacing w:after="0" w:line="360" w:lineRule="auto"/>
        <w:ind w:firstLine="709"/>
        <w:jc w:val="both"/>
        <w:rPr>
          <w:rFonts w:ascii="Times New Roman" w:hAnsi="Times New Roman"/>
          <w:sz w:val="28"/>
          <w:szCs w:val="28"/>
        </w:rPr>
      </w:pPr>
      <w:r>
        <w:rPr>
          <w:rFonts w:ascii="Times New Roman" w:hAnsi="Times New Roman"/>
          <w:sz w:val="28"/>
          <w:szCs w:val="28"/>
          <w:lang w:val="uk-UA"/>
        </w:rPr>
        <w:t>прилад обігріву повітря – прилад, який подає тепло лише до системи повітряного опалення, може знаходитися у каналі, призначено для використання, коли його закріплено або надійно зафіксовано у певному місці або вмонтовано у стіну, та який розповсюджує повітря за допомогою повітродувного пристрою для досягнення та підтримання певного рівня теплового комфорту для людини в межах закритого простору, де знаходиться прилад;</w:t>
      </w:r>
    </w:p>
    <w:p>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рекомендоване паливо – єдине паливо, яке рекомендоване до використання у місцевому обігрівачі відповідно до інструкцій постачальника;</w:t>
      </w:r>
    </w:p>
    <w:p>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світловий місцевий обігрівач – місцевий обігрівач, в якому використовується газоподібне або рідке паливо та обладнано нагрівальним елементом, який встановлюють над рівнем голови, спрямовують у напрямку місця використання так, щоб виділене тепло нагрівального елемента, що переважно є інфрачервоним випроміненням, безпосередньо зігрівало об’єкти, які необхідно нагріти, та який виділяє продукти згорання у приміщення, де він знаходиться;</w:t>
      </w:r>
    </w:p>
    <w:p>
      <w:pPr>
        <w:spacing w:after="0" w:line="360" w:lineRule="auto"/>
        <w:ind w:firstLine="709"/>
        <w:jc w:val="both"/>
        <w:rPr>
          <w:rFonts w:ascii="Times New Roman" w:hAnsi="Times New Roman"/>
          <w:sz w:val="28"/>
          <w:szCs w:val="28"/>
        </w:rPr>
      </w:pPr>
      <w:r>
        <w:rPr>
          <w:rFonts w:ascii="Times New Roman" w:hAnsi="Times New Roman"/>
          <w:sz w:val="28"/>
          <w:szCs w:val="28"/>
          <w:lang w:val="uk-UA"/>
        </w:rPr>
        <w:t>тверде паливо – паливо, яке є твердим за звичайної температури всередині приміщення, у тому числі тверда біомаса та тверде викопне паливо;</w:t>
      </w:r>
    </w:p>
    <w:p>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твердопаливний місцевий обігрівач – місцевий обігрівач приміщення з відкритою камерою згоряння, місцевий обігрівач із закритою камерою згоряння або піч, що використовує тверде паливо;</w:t>
      </w:r>
    </w:p>
    <w:p>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тепловіддача – теплова потужність приладу, що виділяється або передається від нього в повітря шляхом випромінювання та конвекції тепла, за винятком тепловіддачі від приладу до теплоносія, виражена у кВт;</w:t>
      </w:r>
    </w:p>
    <w:p>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lastRenderedPageBreak/>
        <w:t>трубчастий місцевий обігрівач – місцевий обігрівач, в якому використовується газоподібне або рідке паливо та обладнано нагрівальним елементом, який встановлюють над рівнем голови біля об’єктів, що необхідно нагріти, обігріває приміщення переважно шляхом інфрачервоного випромінювання з трубки або трубок, нагрітих за допомогою внутрішнього каналу продуктів згорання, та з якого продукти згорання необхідно виводити через димовий канал;</w:t>
      </w:r>
    </w:p>
    <w:p>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функція непрямого нагріву – здатність приладу передавати частину загальної теплової потужності рідкому теплоносієві для використання при обігріві приміщення або побутовому нагріванні води;</w:t>
      </w:r>
    </w:p>
    <w:p>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Терміни, що застосовуються у додатках до цього Технічного регламенту, вживаються у значеннях, наведених у додатку 1 до цього Технічного регламенту.</w:t>
      </w:r>
    </w:p>
    <w:p>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 xml:space="preserve">Інші терміни вживаються у значеннях, наведених у Законах України </w:t>
      </w:r>
      <w:r>
        <w:rPr>
          <w:rFonts w:ascii="Times New Roman" w:hAnsi="Times New Roman"/>
          <w:sz w:val="28"/>
          <w:szCs w:val="28"/>
          <w:lang w:val="uk-UA"/>
        </w:rPr>
        <w:br/>
        <w:t>«Про технічні регламенти та оцінку відповідності», «Про державний ринковий нагляд і контроль нехарчової продукції», «Про загальну безпечність нехарчової продукції», Технічному регламенті енергетичного маркування енергоспоживчих продуктів, затвердженому постановою Кабінету Міністрів України від 07 серпня 2013 року № 702.</w:t>
      </w:r>
    </w:p>
    <w:p>
      <w:pPr>
        <w:spacing w:after="0" w:line="360" w:lineRule="auto"/>
        <w:ind w:firstLine="709"/>
        <w:jc w:val="both"/>
        <w:rPr>
          <w:rFonts w:ascii="Times New Roman" w:hAnsi="Times New Roman"/>
          <w:sz w:val="28"/>
          <w:szCs w:val="28"/>
          <w:lang w:val="uk-UA"/>
        </w:rPr>
      </w:pPr>
    </w:p>
    <w:p>
      <w:pPr>
        <w:spacing w:after="240" w:line="360" w:lineRule="auto"/>
        <w:jc w:val="center"/>
        <w:rPr>
          <w:rFonts w:ascii="Times New Roman" w:hAnsi="Times New Roman"/>
          <w:b/>
          <w:sz w:val="28"/>
          <w:szCs w:val="28"/>
          <w:lang w:val="uk-UA"/>
        </w:rPr>
      </w:pPr>
      <w:r>
        <w:rPr>
          <w:rFonts w:ascii="Times New Roman" w:hAnsi="Times New Roman"/>
          <w:b/>
          <w:sz w:val="28"/>
          <w:szCs w:val="28"/>
          <w:lang w:val="uk-UA"/>
        </w:rPr>
        <w:t>II. Обов’язки постачальників</w:t>
      </w:r>
    </w:p>
    <w:p>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1.</w:t>
      </w:r>
      <w:r>
        <w:rPr>
          <w:rFonts w:ascii="Times New Roman" w:hAnsi="Times New Roman"/>
          <w:sz w:val="28"/>
          <w:szCs w:val="28"/>
          <w:lang w:val="en-US"/>
        </w:rPr>
        <w:t> </w:t>
      </w:r>
      <w:r>
        <w:rPr>
          <w:rFonts w:ascii="Times New Roman" w:hAnsi="Times New Roman"/>
          <w:sz w:val="28"/>
          <w:szCs w:val="28"/>
          <w:lang w:val="uk-UA"/>
        </w:rPr>
        <w:t>Через 2 роки і 6 місяців з дня набрання чинності цим Технічним регламентом постачальники, які вводять в обіг або в експлуатацію місцеві обігрівачі, що не є бездимоходними обігрівачами, в яких використовується тверде паливо, або обігрівачами з виходом до димоходу, в яких використовується тверде паливо, та через 6 років і 6 місяців з дня набрання чинності цим Технічним регламентом постачальники, які вводять в обіг або в експлуатацію місцеві бездимоходні обігрівачі, що використовують тверде паливо, або обігрівачі з виходом до димоходу, – забезпечують</w:t>
      </w:r>
      <w:r>
        <w:rPr>
          <w:lang w:val="uk-UA"/>
        </w:rPr>
        <w:t xml:space="preserve"> </w:t>
      </w:r>
      <w:r>
        <w:rPr>
          <w:rFonts w:ascii="Times New Roman" w:hAnsi="Times New Roman"/>
          <w:sz w:val="28"/>
          <w:szCs w:val="28"/>
          <w:lang w:val="uk-UA"/>
        </w:rPr>
        <w:t>розповсюджувача друкованою та електронною енергетичною етикеткою, мікрофішею, у тому числі електронною, відповідно до вимог цього Технічного регламенту.</w:t>
      </w:r>
    </w:p>
    <w:p>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lastRenderedPageBreak/>
        <w:t>Зміст друкованої та електронної енергетичної етикетки та мікрофіші має відповідати вимогам, визначеним у пунктах 2 – 4 цього розділу.</w:t>
      </w:r>
    </w:p>
    <w:p>
      <w:pPr>
        <w:spacing w:after="0" w:line="360" w:lineRule="auto"/>
        <w:ind w:firstLine="709"/>
        <w:jc w:val="both"/>
        <w:rPr>
          <w:rFonts w:ascii="Times New Roman" w:hAnsi="Times New Roman"/>
          <w:sz w:val="28"/>
          <w:szCs w:val="28"/>
          <w:lang w:val="uk-UA"/>
        </w:rPr>
      </w:pPr>
      <w:r>
        <w:rPr>
          <w:rFonts w:ascii="Times New Roman" w:hAnsi="Times New Roman"/>
          <w:sz w:val="28"/>
          <w:szCs w:val="28"/>
        </w:rPr>
        <w:t>Форма (зразок) енергетичної етикетки (друкованої та електронної), а також їх опис наведено в додатку 3 до цього Технічного регламенту.</w:t>
      </w:r>
    </w:p>
    <w:p>
      <w:pPr>
        <w:spacing w:after="0" w:line="360" w:lineRule="auto"/>
        <w:ind w:firstLine="709"/>
        <w:jc w:val="both"/>
        <w:rPr>
          <w:rFonts w:ascii="Times New Roman" w:hAnsi="Times New Roman"/>
          <w:sz w:val="28"/>
          <w:szCs w:val="28"/>
          <w:lang w:val="uk-UA"/>
        </w:rPr>
      </w:pPr>
    </w:p>
    <w:p>
      <w:pPr>
        <w:spacing w:after="0" w:line="360" w:lineRule="auto"/>
        <w:ind w:firstLine="709"/>
        <w:jc w:val="both"/>
        <w:rPr>
          <w:rFonts w:ascii="Times New Roman" w:hAnsi="Times New Roman"/>
          <w:sz w:val="28"/>
          <w:szCs w:val="28"/>
          <w:lang w:val="uk-UA"/>
        </w:rPr>
      </w:pPr>
      <w:r>
        <w:rPr>
          <w:rFonts w:ascii="Times New Roman" w:hAnsi="Times New Roman"/>
          <w:sz w:val="28"/>
          <w:szCs w:val="28"/>
        </w:rPr>
        <w:t>2.</w:t>
      </w:r>
      <w:r>
        <w:rPr>
          <w:rFonts w:asciiTheme="minorHAnsi" w:hAnsiTheme="minorHAnsi"/>
        </w:rPr>
        <w:t> </w:t>
      </w:r>
      <w:r>
        <w:rPr>
          <w:rFonts w:ascii="Times New Roman" w:hAnsi="Times New Roman"/>
          <w:sz w:val="28"/>
          <w:szCs w:val="28"/>
        </w:rPr>
        <w:t xml:space="preserve">Енергетична етикетка для </w:t>
      </w:r>
      <w:r>
        <w:rPr>
          <w:rFonts w:ascii="Times New Roman" w:hAnsi="Times New Roman"/>
          <w:sz w:val="28"/>
          <w:szCs w:val="28"/>
          <w:lang w:val="uk-UA"/>
        </w:rPr>
        <w:t xml:space="preserve">місцевих обігрівачів </w:t>
      </w:r>
      <w:r>
        <w:rPr>
          <w:rFonts w:ascii="Times New Roman" w:hAnsi="Times New Roman"/>
          <w:sz w:val="28"/>
          <w:szCs w:val="28"/>
        </w:rPr>
        <w:t>має містити таку інформацію:</w:t>
      </w:r>
    </w:p>
    <w:p>
      <w:pPr>
        <w:pStyle w:val="a7"/>
        <w:spacing w:before="0" w:line="360" w:lineRule="auto"/>
        <w:ind w:firstLine="709"/>
        <w:rPr>
          <w:rFonts w:ascii="Times New Roman" w:hAnsi="Times New Roman"/>
          <w:sz w:val="28"/>
          <w:szCs w:val="28"/>
        </w:rPr>
      </w:pPr>
      <w:r>
        <w:rPr>
          <w:rFonts w:ascii="Times New Roman" w:hAnsi="Times New Roman"/>
          <w:sz w:val="28"/>
          <w:szCs w:val="28"/>
        </w:rPr>
        <w:t>найменування або торговельна марка постачальника місцевого обігрівача;</w:t>
      </w:r>
    </w:p>
    <w:p>
      <w:pPr>
        <w:pStyle w:val="a7"/>
        <w:spacing w:before="0" w:line="360" w:lineRule="auto"/>
        <w:ind w:firstLine="709"/>
        <w:rPr>
          <w:rFonts w:ascii="Times New Roman" w:hAnsi="Times New Roman"/>
          <w:sz w:val="28"/>
          <w:szCs w:val="28"/>
        </w:rPr>
      </w:pPr>
      <w:r>
        <w:rPr>
          <w:rFonts w:ascii="Times New Roman" w:hAnsi="Times New Roman"/>
          <w:sz w:val="28"/>
          <w:szCs w:val="28"/>
        </w:rPr>
        <w:t>код моделі місцевого обігрівача (код, який відрізняє конкретну модель місцевого обігрівача від інших моделей тієї самої торгівельної марки або того самого постачальника);</w:t>
      </w:r>
    </w:p>
    <w:p>
      <w:pPr>
        <w:pStyle w:val="a7"/>
        <w:spacing w:before="0" w:line="360" w:lineRule="auto"/>
        <w:ind w:firstLine="709"/>
        <w:rPr>
          <w:rFonts w:ascii="Times New Roman" w:hAnsi="Times New Roman"/>
          <w:sz w:val="28"/>
          <w:szCs w:val="28"/>
        </w:rPr>
      </w:pPr>
      <w:r>
        <w:rPr>
          <w:rFonts w:ascii="Times New Roman" w:hAnsi="Times New Roman"/>
          <w:sz w:val="28"/>
          <w:szCs w:val="28"/>
        </w:rPr>
        <w:t>клас енергоефективності, визначений відповідно до пункту 1 додатку 2 до цього Технічного регламенту. Літера, що означає клас енергоефективності місцевого обігрівача, розміщується на тому самому рівні, що і відповідна стрілка;</w:t>
      </w:r>
    </w:p>
    <w:p>
      <w:pPr>
        <w:spacing w:after="0" w:line="360" w:lineRule="auto"/>
        <w:ind w:firstLine="709"/>
        <w:rPr>
          <w:rFonts w:ascii="Times New Roman" w:hAnsi="Times New Roman"/>
          <w:sz w:val="28"/>
          <w:szCs w:val="28"/>
          <w:lang w:val="uk-UA"/>
        </w:rPr>
      </w:pPr>
      <w:r>
        <w:rPr>
          <w:rFonts w:ascii="Times New Roman" w:hAnsi="Times New Roman"/>
          <w:sz w:val="28"/>
          <w:szCs w:val="28"/>
        </w:rPr>
        <w:t xml:space="preserve">символ </w:t>
      </w:r>
      <w:r>
        <w:rPr>
          <w:rFonts w:ascii="Times New Roman" w:hAnsi="Times New Roman"/>
          <w:sz w:val="28"/>
          <w:szCs w:val="28"/>
          <w:lang w:val="uk-UA"/>
        </w:rPr>
        <w:t>прямої теплової потужності</w:t>
      </w:r>
      <w:r>
        <w:rPr>
          <w:rFonts w:ascii="Times New Roman" w:hAnsi="Times New Roman"/>
          <w:sz w:val="28"/>
          <w:szCs w:val="28"/>
        </w:rPr>
        <w:t>;</w:t>
      </w:r>
    </w:p>
    <w:p>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 xml:space="preserve">значення прямої теплової потужності в кВт, округлене </w:t>
      </w:r>
      <w:r>
        <w:rPr>
          <w:rFonts w:ascii="Times New Roman" w:hAnsi="Times New Roman"/>
          <w:sz w:val="28"/>
          <w:szCs w:val="28"/>
        </w:rPr>
        <w:t xml:space="preserve">до </w:t>
      </w:r>
      <w:r>
        <w:rPr>
          <w:rFonts w:ascii="Times New Roman" w:hAnsi="Times New Roman"/>
          <w:sz w:val="28"/>
          <w:szCs w:val="28"/>
          <w:lang w:val="uk-UA"/>
        </w:rPr>
        <w:t>першого знаку після коми;</w:t>
      </w:r>
    </w:p>
    <w:p>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для місцевих обігрівачів з передачею тепла рідині – символ непрямої теплової потужності;</w:t>
      </w:r>
    </w:p>
    <w:p>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для місцевих обігрівачів з передачею тепла рідині – значення непрямої теплової потужності,</w:t>
      </w:r>
      <w:r>
        <w:rPr>
          <w:rFonts w:ascii="Times New Roman" w:hAnsi="Times New Roman"/>
          <w:sz w:val="28"/>
          <w:szCs w:val="28"/>
        </w:rPr>
        <w:t xml:space="preserve"> </w:t>
      </w:r>
      <w:r>
        <w:rPr>
          <w:rFonts w:ascii="Times New Roman" w:hAnsi="Times New Roman"/>
          <w:sz w:val="28"/>
          <w:szCs w:val="28"/>
          <w:lang w:val="uk-UA"/>
        </w:rPr>
        <w:t>у</w:t>
      </w:r>
      <w:r>
        <w:rPr>
          <w:rFonts w:ascii="Times New Roman" w:hAnsi="Times New Roman"/>
          <w:sz w:val="28"/>
          <w:szCs w:val="28"/>
        </w:rPr>
        <w:t xml:space="preserve"> кВт</w:t>
      </w:r>
      <w:r>
        <w:rPr>
          <w:rFonts w:ascii="Times New Roman" w:hAnsi="Times New Roman"/>
          <w:sz w:val="28"/>
          <w:szCs w:val="28"/>
          <w:lang w:val="uk-UA"/>
        </w:rPr>
        <w:t>,</w:t>
      </w:r>
      <w:r>
        <w:rPr>
          <w:rFonts w:ascii="Times New Roman" w:hAnsi="Times New Roman"/>
          <w:sz w:val="28"/>
          <w:szCs w:val="28"/>
        </w:rPr>
        <w:t xml:space="preserve"> округл</w:t>
      </w:r>
      <w:r>
        <w:rPr>
          <w:rFonts w:ascii="Times New Roman" w:hAnsi="Times New Roman"/>
          <w:sz w:val="28"/>
          <w:szCs w:val="28"/>
          <w:lang w:val="uk-UA"/>
        </w:rPr>
        <w:t>ене</w:t>
      </w:r>
      <w:r>
        <w:rPr>
          <w:rFonts w:ascii="Times New Roman" w:hAnsi="Times New Roman"/>
          <w:sz w:val="28"/>
          <w:szCs w:val="28"/>
        </w:rPr>
        <w:t xml:space="preserve"> до </w:t>
      </w:r>
      <w:r>
        <w:rPr>
          <w:rFonts w:ascii="Times New Roman" w:hAnsi="Times New Roman"/>
          <w:sz w:val="28"/>
          <w:szCs w:val="28"/>
          <w:lang w:val="uk-UA"/>
        </w:rPr>
        <w:t>першого знаку після коми</w:t>
      </w:r>
      <w:r>
        <w:rPr>
          <w:rFonts w:ascii="Times New Roman" w:hAnsi="Times New Roman"/>
          <w:sz w:val="28"/>
          <w:szCs w:val="28"/>
        </w:rPr>
        <w:t>.</w:t>
      </w:r>
    </w:p>
    <w:p>
      <w:pPr>
        <w:pStyle w:val="a7"/>
        <w:spacing w:before="0" w:line="360" w:lineRule="auto"/>
        <w:ind w:firstLine="709"/>
        <w:rPr>
          <w:rFonts w:ascii="Times New Roman" w:hAnsi="Times New Roman"/>
          <w:sz w:val="28"/>
          <w:szCs w:val="28"/>
        </w:rPr>
      </w:pPr>
    </w:p>
    <w:p>
      <w:pPr>
        <w:pStyle w:val="a7"/>
        <w:spacing w:before="0" w:line="360" w:lineRule="auto"/>
        <w:ind w:firstLine="709"/>
        <w:rPr>
          <w:rFonts w:ascii="Times New Roman" w:hAnsi="Times New Roman"/>
          <w:sz w:val="28"/>
          <w:szCs w:val="28"/>
        </w:rPr>
      </w:pPr>
      <w:r>
        <w:rPr>
          <w:rFonts w:ascii="Times New Roman" w:hAnsi="Times New Roman"/>
          <w:sz w:val="28"/>
          <w:szCs w:val="28"/>
        </w:rPr>
        <w:t>3. Зміст і форму мікрофіші, у тому числі електронної, наведено у додатку 4 до цього Технічного регламенту.</w:t>
      </w:r>
    </w:p>
    <w:p>
      <w:pPr>
        <w:pStyle w:val="a7"/>
        <w:spacing w:before="0" w:line="360" w:lineRule="auto"/>
        <w:ind w:firstLine="709"/>
        <w:rPr>
          <w:rFonts w:ascii="Times New Roman" w:hAnsi="Times New Roman"/>
          <w:sz w:val="28"/>
          <w:szCs w:val="28"/>
        </w:rPr>
      </w:pPr>
    </w:p>
    <w:p>
      <w:pPr>
        <w:pStyle w:val="a7"/>
        <w:spacing w:before="0" w:line="360" w:lineRule="auto"/>
        <w:ind w:firstLine="709"/>
        <w:rPr>
          <w:rFonts w:ascii="Times New Roman" w:hAnsi="Times New Roman"/>
          <w:sz w:val="28"/>
          <w:szCs w:val="28"/>
        </w:rPr>
      </w:pPr>
      <w:r>
        <w:rPr>
          <w:rFonts w:ascii="Times New Roman" w:hAnsi="Times New Roman"/>
          <w:sz w:val="28"/>
          <w:szCs w:val="28"/>
        </w:rPr>
        <w:t>4. Постачальники, які вводять в обіг та/або експлуатацію місцевий обігрівач повинні мати технічну документацію, яка дає змогу перевірити точність інформації, що міститься на енергетичній етикетці та мікрофіші. Зміст технічної документації наведено в додатку 5 до цього Технічного регламенту.</w:t>
      </w:r>
    </w:p>
    <w:p>
      <w:pPr>
        <w:pStyle w:val="a7"/>
        <w:spacing w:before="0" w:line="360" w:lineRule="auto"/>
        <w:ind w:firstLine="709"/>
        <w:rPr>
          <w:rFonts w:ascii="Times New Roman" w:hAnsi="Times New Roman"/>
          <w:sz w:val="28"/>
          <w:szCs w:val="28"/>
        </w:rPr>
      </w:pPr>
    </w:p>
    <w:p>
      <w:pPr>
        <w:pStyle w:val="a7"/>
        <w:spacing w:before="0" w:line="360" w:lineRule="auto"/>
        <w:ind w:firstLine="709"/>
        <w:rPr>
          <w:rFonts w:ascii="Times New Roman" w:hAnsi="Times New Roman"/>
          <w:sz w:val="28"/>
          <w:szCs w:val="28"/>
        </w:rPr>
      </w:pPr>
      <w:r>
        <w:rPr>
          <w:rFonts w:ascii="Times New Roman" w:hAnsi="Times New Roman"/>
          <w:sz w:val="28"/>
          <w:szCs w:val="28"/>
        </w:rPr>
        <w:t>5. Через 2 роки і 9 місяців з дня набрання чинності цим Технічним регламентом постачальники, які вводять в обіг та/або експлуатацію місцеві обігрівачі, які не є бездимоходними обігрівачами, що використовують тверде паливо, або обігрівачами з виходом до димоходу, що використовують тверде паливо, та через 6 років та 9 місяців з дня набрання чинності цим Технічним регламентом постачальники, які вводять в обіг або в експлуатацію місцеві бездимоходні обігрівачі, що використовують тверде паливо, або обігрівачі з виходом до димоходу, мають зазначати у рекламі конкретної моделі місцевого обігрівача інформацію про клас енергоефективності для цих моделей у разі зазначення в такій рекламі інформації про споживання енергоресурсів або ціну.</w:t>
      </w:r>
    </w:p>
    <w:p>
      <w:pPr>
        <w:pStyle w:val="a7"/>
        <w:spacing w:before="0" w:line="360" w:lineRule="auto"/>
        <w:ind w:firstLine="709"/>
        <w:rPr>
          <w:rFonts w:ascii="Times New Roman" w:hAnsi="Times New Roman"/>
          <w:sz w:val="28"/>
          <w:szCs w:val="28"/>
        </w:rPr>
      </w:pPr>
    </w:p>
    <w:p>
      <w:pPr>
        <w:pStyle w:val="a7"/>
        <w:spacing w:before="0" w:line="360" w:lineRule="auto"/>
        <w:ind w:firstLine="709"/>
        <w:rPr>
          <w:rFonts w:ascii="Times New Roman" w:hAnsi="Times New Roman"/>
          <w:sz w:val="28"/>
          <w:szCs w:val="28"/>
        </w:rPr>
      </w:pPr>
      <w:r>
        <w:rPr>
          <w:rFonts w:ascii="Times New Roman" w:hAnsi="Times New Roman"/>
          <w:sz w:val="28"/>
          <w:szCs w:val="28"/>
        </w:rPr>
        <w:t>6. Через 2 роки і 9 місяців з дня набрання чинності цим Технічним регламентом постачальники, які вводять в обіг та/або експлуатацію місцеві обігрівачі, які не є бездимоходними обігрівачами, що використовують тверде паливо, або обігрівачами з виходом до димоходу, що використовують тверде паливо, та через 6 років та 9 місяців з дня набрання чинності цим Технічним регламентом постачальники, які вводять в обіг або в експлуатацію місцеві бездимоходні обігрівачі, що використовують тверде паливо, або обігрівачі з виходом до димоходу, постачальники, які вводять в обіг та/або експлуатацію місцеві обігрівачі, мають зазначати у технічних рекламних матеріалах щодо конкретної моделі місцевого обігрівача інформацію про клас питомого енергоспоживання, у разі зазначення в таких технічних рекламних матеріалах інформації про технічні параметри.</w:t>
      </w:r>
    </w:p>
    <w:p>
      <w:pPr>
        <w:pStyle w:val="a7"/>
        <w:spacing w:before="0" w:line="360" w:lineRule="auto"/>
        <w:ind w:firstLine="709"/>
        <w:rPr>
          <w:rFonts w:ascii="Times New Roman" w:hAnsi="Times New Roman"/>
          <w:sz w:val="28"/>
          <w:szCs w:val="28"/>
        </w:rPr>
      </w:pPr>
    </w:p>
    <w:p>
      <w:pPr>
        <w:pStyle w:val="a7"/>
        <w:spacing w:before="0" w:line="360" w:lineRule="auto"/>
        <w:ind w:firstLine="709"/>
        <w:rPr>
          <w:rFonts w:ascii="Times New Roman" w:hAnsi="Times New Roman"/>
          <w:sz w:val="28"/>
          <w:szCs w:val="28"/>
        </w:rPr>
      </w:pPr>
      <w:r>
        <w:rPr>
          <w:rFonts w:ascii="Times New Roman" w:hAnsi="Times New Roman"/>
          <w:sz w:val="28"/>
          <w:szCs w:val="28"/>
        </w:rPr>
        <w:t>7. Постачальники місцевих обігрівачів забезпечують надання розповсюджувачу інформації згідно з додатком 6 до цього Технічного регламенту.</w:t>
      </w:r>
    </w:p>
    <w:p>
      <w:pPr>
        <w:pStyle w:val="a7"/>
        <w:spacing w:before="0" w:line="360" w:lineRule="auto"/>
        <w:ind w:firstLine="0"/>
        <w:rPr>
          <w:rFonts w:ascii="Times New Roman" w:hAnsi="Times New Roman"/>
          <w:sz w:val="28"/>
          <w:szCs w:val="28"/>
        </w:rPr>
      </w:pPr>
    </w:p>
    <w:p>
      <w:pPr>
        <w:tabs>
          <w:tab w:val="left" w:pos="567"/>
        </w:tabs>
        <w:spacing w:after="0" w:line="360" w:lineRule="auto"/>
        <w:jc w:val="center"/>
        <w:rPr>
          <w:rFonts w:ascii="Times New Roman" w:eastAsia="Times New Roman" w:hAnsi="Times New Roman"/>
          <w:b/>
          <w:sz w:val="28"/>
          <w:szCs w:val="28"/>
          <w:lang w:val="uk-UA" w:eastAsia="ru-RU"/>
        </w:rPr>
      </w:pPr>
      <w:r>
        <w:rPr>
          <w:rFonts w:ascii="Times New Roman" w:eastAsia="Times New Roman" w:hAnsi="Times New Roman"/>
          <w:b/>
          <w:sz w:val="28"/>
          <w:szCs w:val="28"/>
          <w:lang w:val="uk-UA" w:eastAsia="ru-RU"/>
        </w:rPr>
        <w:t>ІІІ. Обов’язки розповсюджувачів</w:t>
      </w:r>
    </w:p>
    <w:p>
      <w:pPr>
        <w:tabs>
          <w:tab w:val="left" w:pos="567"/>
        </w:tabs>
        <w:spacing w:after="0" w:line="360" w:lineRule="auto"/>
        <w:ind w:firstLine="709"/>
        <w:jc w:val="both"/>
        <w:rPr>
          <w:rFonts w:ascii="Times New Roman" w:eastAsia="Times New Roman" w:hAnsi="Times New Roman"/>
          <w:sz w:val="28"/>
          <w:szCs w:val="28"/>
          <w:lang w:val="uk-UA" w:eastAsia="ru-RU"/>
        </w:rPr>
      </w:pPr>
      <w:r>
        <w:rPr>
          <w:rFonts w:ascii="Times New Roman" w:eastAsia="Times New Roman" w:hAnsi="Times New Roman"/>
          <w:sz w:val="28"/>
          <w:szCs w:val="28"/>
          <w:lang w:val="uk-UA" w:eastAsia="ru-RU"/>
        </w:rPr>
        <w:lastRenderedPageBreak/>
        <w:t xml:space="preserve">1. Через 2 роки і 6 місяців з дня набрання чинності розповсюджувачі місцевих обігрівачів приміщення забезпечують </w:t>
      </w:r>
      <w:r>
        <w:rPr>
          <w:rFonts w:ascii="Times New Roman" w:hAnsi="Times New Roman"/>
          <w:sz w:val="28"/>
          <w:szCs w:val="28"/>
          <w:lang w:val="uk-UA"/>
        </w:rPr>
        <w:t xml:space="preserve">кожну модель місцевого обігрівача у пунктах продажу енергетичною етикеткою, наданою постачальниками відповідно до пунктів 1-4 розділу </w:t>
      </w:r>
      <w:r>
        <w:rPr>
          <w:rFonts w:ascii="Times New Roman" w:hAnsi="Times New Roman"/>
          <w:sz w:val="28"/>
          <w:szCs w:val="28"/>
          <w:lang w:val="en-US"/>
        </w:rPr>
        <w:t>II</w:t>
      </w:r>
      <w:r>
        <w:rPr>
          <w:rFonts w:ascii="Times New Roman" w:hAnsi="Times New Roman"/>
          <w:sz w:val="28"/>
          <w:szCs w:val="28"/>
          <w:lang w:val="uk-UA"/>
        </w:rPr>
        <w:t xml:space="preserve"> цього Технічного регламенту, яка прикріплюється на передній або верхній частині місцевого обігрівача (її має бути чітко видно);</w:t>
      </w:r>
    </w:p>
    <w:p>
      <w:pPr>
        <w:pStyle w:val="a7"/>
        <w:spacing w:before="0" w:line="360" w:lineRule="auto"/>
        <w:ind w:firstLine="709"/>
        <w:rPr>
          <w:rFonts w:ascii="Times New Roman" w:hAnsi="Times New Roman"/>
          <w:sz w:val="28"/>
          <w:szCs w:val="28"/>
        </w:rPr>
      </w:pPr>
    </w:p>
    <w:p>
      <w:pPr>
        <w:pStyle w:val="a7"/>
        <w:spacing w:before="0" w:line="360" w:lineRule="auto"/>
        <w:ind w:firstLine="709"/>
        <w:rPr>
          <w:rFonts w:ascii="Times New Roman" w:hAnsi="Times New Roman"/>
          <w:sz w:val="28"/>
          <w:szCs w:val="28"/>
        </w:rPr>
      </w:pPr>
      <w:r>
        <w:rPr>
          <w:rFonts w:ascii="Times New Roman" w:hAnsi="Times New Roman"/>
          <w:sz w:val="28"/>
          <w:szCs w:val="28"/>
        </w:rPr>
        <w:t>2. Через 2 роки і 9 місяців з дня набрання чинності постачальники, які вводять в обіг та/або експлуатацію місцеві обігрівачі, які не є бездимоходними обігрівачами, що використовують тверде паливо, або обігрівачами з виходом до димоходу, що використовують тверде паливо, та через 6 років та 9 місяців з дня набрання чинності цим Технічним регламентом постачальники, які вводять в обіг або в експлуатацію місцеві бездимоходні обігрівачі, що використовують тверде паливо, або обігрівачі з виходом до димоходу, розповсюджувачі місцевих обігрівачів приміщення забезпечують:</w:t>
      </w:r>
    </w:p>
    <w:p>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1)</w:t>
      </w:r>
      <w:r>
        <w:rPr>
          <w:lang w:val="uk-UA"/>
        </w:rPr>
        <w:t xml:space="preserve"> </w:t>
      </w:r>
      <w:r>
        <w:rPr>
          <w:rFonts w:ascii="Times New Roman" w:hAnsi="Times New Roman"/>
          <w:sz w:val="28"/>
          <w:szCs w:val="28"/>
          <w:lang w:val="uk-UA"/>
        </w:rPr>
        <w:t>споживача інформацією, наданою постачальниками відповідно до пункту 7 розділу II цього Технічного регламенту, якщо місцевий обігрівач пропонуються для продажу, у прокат або лізинг за поштовим замовленням, каталогом чи в інший спосіб (окрім випадків їх реалізації дистанційним способом через мережу Інтернет), коли споживач не може побачити місцевий обігрівач. Зазначена інформація надається споживачу до того, як він придбає, візьме у прокат або лізинг відповідний місцевий обігрівач;</w:t>
      </w:r>
    </w:p>
    <w:p>
      <w:pPr>
        <w:pStyle w:val="a7"/>
        <w:spacing w:before="0" w:line="360" w:lineRule="auto"/>
        <w:ind w:firstLine="709"/>
        <w:rPr>
          <w:rFonts w:ascii="Times New Roman" w:hAnsi="Times New Roman"/>
          <w:sz w:val="28"/>
          <w:szCs w:val="28"/>
        </w:rPr>
      </w:pPr>
      <w:r>
        <w:rPr>
          <w:rFonts w:ascii="Times New Roman" w:hAnsi="Times New Roman"/>
          <w:sz w:val="28"/>
          <w:szCs w:val="28"/>
        </w:rPr>
        <w:t>2) споживача інформацією згідно з додатком 7 до цього Технічного регламенту, якщо місцевий обігрівач пропонуються для продажу, у прокат або лізинг дистанційним способом через мережу Інтернет. Зазначена інформація надається споживачу до того, як він придбає, візьме у прокат або лізинг місцевий обігрівач;</w:t>
      </w:r>
    </w:p>
    <w:p>
      <w:pPr>
        <w:pStyle w:val="a7"/>
        <w:spacing w:before="0" w:line="360" w:lineRule="auto"/>
        <w:ind w:firstLine="709"/>
        <w:rPr>
          <w:rFonts w:ascii="Times New Roman" w:hAnsi="Times New Roman"/>
          <w:sz w:val="28"/>
          <w:szCs w:val="28"/>
        </w:rPr>
      </w:pPr>
      <w:r>
        <w:rPr>
          <w:rFonts w:ascii="Times New Roman" w:hAnsi="Times New Roman"/>
          <w:sz w:val="28"/>
          <w:szCs w:val="28"/>
        </w:rPr>
        <w:t>3) наявність у рекламі конкретної моделі місцевого обігрівача інформації про клас енергоефективності для цієї моделі у разі зазначення в такій рекламі інформації про споживання енергоресурсів або ціну;</w:t>
      </w:r>
    </w:p>
    <w:p>
      <w:pPr>
        <w:pStyle w:val="a7"/>
        <w:spacing w:before="0" w:line="360" w:lineRule="auto"/>
        <w:ind w:firstLine="709"/>
        <w:rPr>
          <w:rFonts w:ascii="Times New Roman" w:hAnsi="Times New Roman"/>
          <w:sz w:val="28"/>
          <w:szCs w:val="28"/>
        </w:rPr>
      </w:pPr>
      <w:r>
        <w:rPr>
          <w:rFonts w:ascii="Times New Roman" w:hAnsi="Times New Roman"/>
          <w:sz w:val="28"/>
          <w:szCs w:val="28"/>
        </w:rPr>
        <w:lastRenderedPageBreak/>
        <w:t>4) наявність у технічних рекламних матеріалах щодо конкретної моделі місцевого обігрівача інформації про її технічні параметри та клас енергоефективності нагрівання води згідно із теплішими кліматичними умовами для цієї моделі.</w:t>
      </w:r>
    </w:p>
    <w:p>
      <w:pPr>
        <w:spacing w:after="0" w:line="360" w:lineRule="auto"/>
        <w:jc w:val="center"/>
        <w:rPr>
          <w:rFonts w:ascii="Times New Roman" w:hAnsi="Times New Roman"/>
          <w:b/>
          <w:sz w:val="28"/>
          <w:szCs w:val="28"/>
          <w:lang w:val="uk-UA"/>
        </w:rPr>
      </w:pPr>
      <w:r>
        <w:rPr>
          <w:rFonts w:ascii="Times New Roman" w:eastAsia="Times New Roman" w:hAnsi="Times New Roman"/>
          <w:b/>
          <w:sz w:val="28"/>
          <w:szCs w:val="28"/>
          <w:lang w:val="en-US" w:eastAsia="ru-RU"/>
        </w:rPr>
        <w:t>IV</w:t>
      </w:r>
      <w:r>
        <w:rPr>
          <w:rFonts w:ascii="Times New Roman" w:eastAsia="Times New Roman" w:hAnsi="Times New Roman"/>
          <w:b/>
          <w:sz w:val="28"/>
          <w:szCs w:val="28"/>
          <w:lang w:val="uk-UA" w:eastAsia="ru-RU"/>
        </w:rPr>
        <w:t>.</w:t>
      </w:r>
      <w:r>
        <w:rPr>
          <w:rFonts w:ascii="Times New Roman" w:eastAsia="Times New Roman" w:hAnsi="Times New Roman"/>
          <w:b/>
          <w:sz w:val="28"/>
          <w:szCs w:val="28"/>
          <w:lang w:val="en-US" w:eastAsia="ru-RU"/>
        </w:rPr>
        <w:t> </w:t>
      </w:r>
      <w:r>
        <w:rPr>
          <w:rFonts w:ascii="Times New Roman" w:hAnsi="Times New Roman"/>
          <w:b/>
          <w:sz w:val="28"/>
          <w:szCs w:val="28"/>
          <w:lang w:val="uk-UA"/>
        </w:rPr>
        <w:t>Методи вимірювання і розрахунку</w:t>
      </w:r>
    </w:p>
    <w:p>
      <w:pPr>
        <w:spacing w:after="0" w:line="360" w:lineRule="auto"/>
        <w:ind w:firstLine="709"/>
        <w:jc w:val="both"/>
        <w:rPr>
          <w:rFonts w:ascii="Times New Roman" w:eastAsia="Times New Roman" w:hAnsi="Times New Roman"/>
          <w:sz w:val="28"/>
          <w:szCs w:val="28"/>
          <w:lang w:val="uk-UA" w:eastAsia="ru-RU"/>
        </w:rPr>
      </w:pPr>
      <w:r>
        <w:rPr>
          <w:rFonts w:ascii="Times New Roman" w:eastAsia="Times New Roman" w:hAnsi="Times New Roman"/>
          <w:sz w:val="28"/>
          <w:szCs w:val="28"/>
          <w:lang w:val="uk-UA" w:eastAsia="ru-RU"/>
        </w:rPr>
        <w:t>1.</w:t>
      </w:r>
      <w:r>
        <w:rPr>
          <w:rFonts w:ascii="Times New Roman" w:eastAsia="Times New Roman" w:hAnsi="Times New Roman"/>
          <w:sz w:val="28"/>
          <w:szCs w:val="28"/>
          <w:lang w:val="en-US" w:eastAsia="ru-RU"/>
        </w:rPr>
        <w:t> </w:t>
      </w:r>
      <w:r>
        <w:rPr>
          <w:rFonts w:ascii="Times New Roman" w:eastAsia="Times New Roman" w:hAnsi="Times New Roman"/>
          <w:sz w:val="28"/>
          <w:szCs w:val="28"/>
          <w:lang w:val="uk-UA" w:eastAsia="ru-RU"/>
        </w:rPr>
        <w:t xml:space="preserve">Постачальники, які вводять в обіг та/або експлуатацію місцеві обігрівачі, під час проведення випробувань для визначення енергетичних характеристик, інформація про які зазначається в енергетичній етикетці та мікрофіші, використовують надійні, точні і відтворювані методи вимірювання та розрахунку, які враховують визнані сучасні методи вимірювання і методи розрахунку. </w:t>
      </w:r>
    </w:p>
    <w:p>
      <w:pPr>
        <w:spacing w:after="0" w:line="360" w:lineRule="auto"/>
        <w:ind w:firstLine="709"/>
        <w:jc w:val="both"/>
        <w:rPr>
          <w:rFonts w:ascii="Times New Roman" w:eastAsia="Times New Roman" w:hAnsi="Times New Roman"/>
          <w:sz w:val="28"/>
          <w:szCs w:val="28"/>
          <w:lang w:val="uk-UA" w:eastAsia="ru-RU"/>
        </w:rPr>
      </w:pPr>
      <w:r>
        <w:rPr>
          <w:rFonts w:ascii="Times New Roman" w:eastAsia="Times New Roman" w:hAnsi="Times New Roman"/>
          <w:sz w:val="28"/>
          <w:szCs w:val="28"/>
          <w:lang w:val="uk-UA" w:eastAsia="ru-RU"/>
        </w:rPr>
        <w:t xml:space="preserve">2. Вимірювання, зазначені в пункті 1 цього розділу, здійснюються з використанням національних стандартів, що є ідентичними гармонізованим європейським стандартам, або будь-якою іншою методикою вимірювання. Ці методики мають відповідати умовам і технічним параметрам, викладеним у додатку 8 до цього Технічного регламенту. </w:t>
      </w:r>
    </w:p>
    <w:p>
      <w:pPr>
        <w:pStyle w:val="a7"/>
        <w:spacing w:before="0" w:line="360" w:lineRule="auto"/>
        <w:jc w:val="center"/>
        <w:rPr>
          <w:rFonts w:ascii="Times New Roman" w:hAnsi="Times New Roman"/>
          <w:b/>
          <w:sz w:val="28"/>
          <w:szCs w:val="28"/>
        </w:rPr>
      </w:pPr>
    </w:p>
    <w:p>
      <w:pPr>
        <w:pStyle w:val="a7"/>
        <w:spacing w:before="0" w:line="360" w:lineRule="auto"/>
        <w:jc w:val="center"/>
        <w:rPr>
          <w:rFonts w:ascii="Times New Roman" w:hAnsi="Times New Roman"/>
          <w:b/>
          <w:sz w:val="28"/>
          <w:szCs w:val="28"/>
        </w:rPr>
      </w:pPr>
      <w:r>
        <w:rPr>
          <w:rFonts w:ascii="Times New Roman" w:hAnsi="Times New Roman"/>
          <w:b/>
          <w:sz w:val="28"/>
          <w:szCs w:val="28"/>
          <w:lang w:val="en-US"/>
        </w:rPr>
        <w:t>V</w:t>
      </w:r>
      <w:r>
        <w:rPr>
          <w:rFonts w:ascii="Times New Roman" w:hAnsi="Times New Roman"/>
          <w:b/>
          <w:sz w:val="28"/>
          <w:szCs w:val="28"/>
        </w:rPr>
        <w:t>.</w:t>
      </w:r>
      <w:r>
        <w:rPr>
          <w:rFonts w:ascii="Times New Roman" w:hAnsi="Times New Roman"/>
          <w:b/>
          <w:sz w:val="28"/>
          <w:szCs w:val="28"/>
          <w:lang w:val="en-US"/>
        </w:rPr>
        <w:t> </w:t>
      </w:r>
      <w:r>
        <w:rPr>
          <w:rFonts w:ascii="Times New Roman" w:hAnsi="Times New Roman"/>
          <w:b/>
          <w:sz w:val="28"/>
          <w:szCs w:val="28"/>
        </w:rPr>
        <w:t>Вимоги до перевірки</w:t>
      </w:r>
      <w:r>
        <w:rPr>
          <w:rFonts w:ascii="Times New Roman" w:hAnsi="Times New Roman"/>
          <w:b/>
          <w:sz w:val="28"/>
          <w:szCs w:val="28"/>
        </w:rPr>
        <w:br/>
        <w:t>під час здійснення державного ринкового нагляду</w:t>
      </w:r>
    </w:p>
    <w:p>
      <w:pPr>
        <w:pStyle w:val="a7"/>
        <w:spacing w:before="0" w:after="120" w:line="360" w:lineRule="auto"/>
        <w:ind w:firstLine="709"/>
        <w:rPr>
          <w:rFonts w:ascii="Times New Roman" w:hAnsi="Times New Roman"/>
          <w:sz w:val="28"/>
          <w:szCs w:val="28"/>
        </w:rPr>
      </w:pPr>
      <w:r>
        <w:rPr>
          <w:rFonts w:ascii="Times New Roman" w:hAnsi="Times New Roman"/>
          <w:sz w:val="28"/>
          <w:szCs w:val="28"/>
        </w:rPr>
        <w:t xml:space="preserve">1. Державний ринковий нагляд щодо відповідності місцевих обігрівачів вимогам цього Технічного регламенту здійснюється органами державного ринкового нагляду в межах сфер їх відповідальності і передбачає встановлення наявності енергетичної етикетки та мікрофіші, їх відповідності вимогам, зазначеним у пунктах 1–3 розділу </w:t>
      </w:r>
      <w:r>
        <w:rPr>
          <w:rFonts w:ascii="Times New Roman" w:hAnsi="Times New Roman"/>
          <w:sz w:val="28"/>
          <w:szCs w:val="28"/>
          <w:lang w:val="en-US"/>
        </w:rPr>
        <w:t>II</w:t>
      </w:r>
      <w:r>
        <w:rPr>
          <w:rFonts w:ascii="Times New Roman" w:hAnsi="Times New Roman"/>
          <w:sz w:val="28"/>
          <w:szCs w:val="28"/>
        </w:rPr>
        <w:t xml:space="preserve"> цього Технічного регламенту, а також перевірку відповідності фактичних технічних характеристик місцевих обігрівачів вимогам цього Технічного регламенту.</w:t>
      </w:r>
    </w:p>
    <w:p>
      <w:pPr>
        <w:autoSpaceDE w:val="0"/>
        <w:autoSpaceDN w:val="0"/>
        <w:spacing w:after="120" w:line="360" w:lineRule="auto"/>
        <w:ind w:firstLine="709"/>
        <w:jc w:val="both"/>
        <w:rPr>
          <w:rFonts w:ascii="Times New Roman" w:hAnsi="Times New Roman"/>
          <w:sz w:val="28"/>
          <w:szCs w:val="28"/>
          <w:lang w:val="uk-UA"/>
        </w:rPr>
      </w:pPr>
      <w:r>
        <w:rPr>
          <w:rFonts w:ascii="Times New Roman" w:hAnsi="Times New Roman"/>
          <w:sz w:val="28"/>
          <w:szCs w:val="28"/>
        </w:rPr>
        <w:t>2. </w:t>
      </w:r>
      <w:r>
        <w:rPr>
          <w:rFonts w:ascii="Times New Roman" w:hAnsi="Times New Roman"/>
          <w:sz w:val="28"/>
          <w:szCs w:val="28"/>
          <w:lang w:val="uk-UA"/>
        </w:rPr>
        <w:t>Під час перевірки відповідності місцевих обігрівачів вимогам цього Технічного регламенту органи державного ринкового нагляду мають застосовувати процедуру, визначену у додатку 9 до цього Технічного регламенту.</w:t>
      </w:r>
    </w:p>
    <w:p>
      <w:pPr>
        <w:autoSpaceDE w:val="0"/>
        <w:autoSpaceDN w:val="0"/>
        <w:spacing w:after="120" w:line="360" w:lineRule="auto"/>
        <w:ind w:firstLine="709"/>
        <w:jc w:val="both"/>
        <w:rPr>
          <w:rFonts w:ascii="Times New Roman" w:hAnsi="Times New Roman"/>
          <w:sz w:val="28"/>
          <w:szCs w:val="28"/>
          <w:lang w:val="uk-UA"/>
        </w:rPr>
      </w:pPr>
      <w:r>
        <w:rPr>
          <w:rFonts w:ascii="Times New Roman" w:hAnsi="Times New Roman"/>
          <w:sz w:val="28"/>
          <w:szCs w:val="28"/>
          <w:lang w:val="uk-UA"/>
        </w:rPr>
        <w:lastRenderedPageBreak/>
        <w:t>3. Органи державного ринкового нагляду використовують методи вимірювань і розрахунків відповідно до розділу IV цього Технічного регламенту.</w:t>
      </w:r>
    </w:p>
    <w:p>
      <w:pPr>
        <w:autoSpaceDE w:val="0"/>
        <w:autoSpaceDN w:val="0"/>
        <w:spacing w:after="120" w:line="360" w:lineRule="auto"/>
        <w:ind w:firstLine="709"/>
        <w:jc w:val="both"/>
        <w:rPr>
          <w:rFonts w:ascii="Times New Roman" w:hAnsi="Times New Roman"/>
          <w:sz w:val="28"/>
          <w:szCs w:val="28"/>
          <w:lang w:val="uk-UA"/>
        </w:rPr>
      </w:pPr>
      <w:r>
        <w:rPr>
          <w:rFonts w:ascii="Times New Roman" w:hAnsi="Times New Roman"/>
          <w:sz w:val="28"/>
          <w:szCs w:val="28"/>
          <w:lang w:val="uk-UA"/>
        </w:rPr>
        <w:t>4. Органи державного ринкового нагляду під час перевірки застосовують лише допустимі похибки, наведені у додатку 9 до цього Технічного регламенту.</w:t>
      </w:r>
    </w:p>
    <w:p>
      <w:pPr>
        <w:pStyle w:val="a7"/>
        <w:spacing w:before="0" w:after="120" w:line="360" w:lineRule="auto"/>
        <w:ind w:firstLine="709"/>
        <w:rPr>
          <w:rFonts w:ascii="Times New Roman" w:hAnsi="Times New Roman"/>
          <w:sz w:val="28"/>
          <w:szCs w:val="28"/>
        </w:rPr>
      </w:pPr>
      <w:r>
        <w:rPr>
          <w:rFonts w:ascii="Times New Roman" w:hAnsi="Times New Roman"/>
          <w:sz w:val="28"/>
          <w:szCs w:val="28"/>
        </w:rPr>
        <w:t>5. Органи державного ринкового нагляду застосовують лише допустимі похибки та використовують процедуру, що зазначена у цьому розділі. Не застосовуються інші похибки (наприклад ті, що встановлені в національних стандартах, що є ідентичними гармонізованим європейським стандартам, або будь-якою іншою методикою вимірювання).</w:t>
      </w:r>
    </w:p>
    <w:p>
      <w:pPr>
        <w:spacing w:after="0" w:line="240" w:lineRule="auto"/>
        <w:rPr>
          <w:rFonts w:ascii="Times New Roman" w:eastAsia="Times New Roman" w:hAnsi="Times New Roman"/>
          <w:sz w:val="28"/>
          <w:szCs w:val="28"/>
          <w:lang w:val="uk-UA" w:eastAsia="ru-RU"/>
        </w:rPr>
      </w:pPr>
    </w:p>
    <w:tbl>
      <w:tblPr>
        <w:tblStyle w:val="ab"/>
        <w:tblW w:w="0" w:type="auto"/>
        <w:tblInd w:w="-5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5"/>
        <w:gridCol w:w="5748"/>
      </w:tblGrid>
      <w:tr>
        <w:tc>
          <w:tcPr>
            <w:tcW w:w="4395" w:type="dxa"/>
            <w:hideMark/>
          </w:tcPr>
          <w:p>
            <w:pPr>
              <w:jc w:val="both"/>
              <w:rPr>
                <w:rFonts w:ascii="Times New Roman" w:hAnsi="Times New Roman"/>
                <w:b/>
                <w:sz w:val="28"/>
                <w:szCs w:val="28"/>
                <w:lang w:val="ru-RU"/>
              </w:rPr>
            </w:pPr>
            <w:r>
              <w:rPr>
                <w:rFonts w:ascii="Times New Roman" w:hAnsi="Times New Roman"/>
                <w:b/>
                <w:sz w:val="28"/>
                <w:szCs w:val="28"/>
              </w:rPr>
              <w:t xml:space="preserve">В.о. генерального директора Директорату з питань формування енерго- та ресурсоефективної політики   </w:t>
            </w:r>
            <w:r>
              <w:rPr>
                <w:rFonts w:ascii="Times New Roman" w:hAnsi="Times New Roman"/>
                <w:b/>
                <w:sz w:val="28"/>
                <w:szCs w:val="28"/>
                <w:lang w:val="ru-RU"/>
              </w:rPr>
              <w:t xml:space="preserve">    </w:t>
            </w:r>
            <w:r>
              <w:rPr>
                <w:rFonts w:ascii="Times New Roman" w:hAnsi="Times New Roman"/>
                <w:b/>
                <w:sz w:val="28"/>
                <w:szCs w:val="28"/>
              </w:rPr>
              <w:t xml:space="preserve">                     </w:t>
            </w:r>
            <w:r>
              <w:rPr>
                <w:rFonts w:ascii="Times New Roman" w:hAnsi="Times New Roman"/>
                <w:b/>
                <w:sz w:val="28"/>
                <w:szCs w:val="28"/>
                <w:lang w:val="ru-RU"/>
              </w:rPr>
              <w:t xml:space="preserve">                    </w:t>
            </w:r>
          </w:p>
        </w:tc>
        <w:tc>
          <w:tcPr>
            <w:tcW w:w="5748" w:type="dxa"/>
          </w:tcPr>
          <w:p>
            <w:pPr>
              <w:spacing w:line="360" w:lineRule="auto"/>
              <w:jc w:val="both"/>
              <w:rPr>
                <w:rFonts w:ascii="Times New Roman" w:hAnsi="Times New Roman"/>
                <w:b/>
                <w:sz w:val="28"/>
                <w:szCs w:val="28"/>
              </w:rPr>
            </w:pPr>
          </w:p>
          <w:p>
            <w:pPr>
              <w:spacing w:line="360" w:lineRule="auto"/>
              <w:jc w:val="both"/>
              <w:rPr>
                <w:rFonts w:ascii="Times New Roman" w:hAnsi="Times New Roman"/>
                <w:b/>
                <w:sz w:val="28"/>
                <w:szCs w:val="28"/>
              </w:rPr>
            </w:pPr>
            <w:r>
              <w:rPr>
                <w:rFonts w:ascii="Times New Roman" w:hAnsi="Times New Roman"/>
                <w:b/>
                <w:sz w:val="28"/>
                <w:szCs w:val="28"/>
              </w:rPr>
              <w:t xml:space="preserve">                                          </w:t>
            </w:r>
          </w:p>
          <w:p>
            <w:pPr>
              <w:spacing w:line="360" w:lineRule="auto"/>
              <w:jc w:val="both"/>
              <w:rPr>
                <w:rFonts w:ascii="Times New Roman" w:hAnsi="Times New Roman"/>
                <w:b/>
                <w:sz w:val="28"/>
                <w:szCs w:val="28"/>
              </w:rPr>
            </w:pPr>
            <w:r>
              <w:rPr>
                <w:rFonts w:ascii="Times New Roman" w:hAnsi="Times New Roman"/>
                <w:b/>
                <w:sz w:val="28"/>
                <w:szCs w:val="28"/>
              </w:rPr>
              <w:t xml:space="preserve">                                                    Олена БАЙДА          </w:t>
            </w:r>
          </w:p>
        </w:tc>
      </w:tr>
    </w:tbl>
    <w:p>
      <w:pPr>
        <w:spacing w:after="0" w:line="240" w:lineRule="auto"/>
        <w:rPr>
          <w:rFonts w:ascii="Times New Roman" w:eastAsia="Times New Roman" w:hAnsi="Times New Roman"/>
          <w:sz w:val="20"/>
          <w:szCs w:val="20"/>
          <w:lang w:val="uk-UA" w:eastAsia="ru-RU"/>
        </w:rPr>
      </w:pPr>
      <w:bookmarkStart w:id="0" w:name="_GoBack"/>
      <w:bookmarkEnd w:id="0"/>
    </w:p>
    <w:sectPr>
      <w:headerReference w:type="default" r:id="rId8"/>
      <w:pgSz w:w="11906" w:h="16838"/>
      <w:pgMar w:top="1134" w:right="567" w:bottom="1134" w:left="1701" w:header="284"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pPr>
        <w:spacing w:after="0" w:line="240" w:lineRule="auto"/>
      </w:pPr>
      <w:r>
        <w:separator/>
      </w:r>
    </w:p>
  </w:endnote>
  <w:endnote w:type="continuationSeparator" w:id="0">
    <w:p>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ntiqua">
    <w:altName w:val="Courier New"/>
    <w:charset w:val="00"/>
    <w:family w:val="swiss"/>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separator/>
      </w:r>
    </w:p>
  </w:footnote>
  <w:footnote w:type="continuationSeparator" w:id="0">
    <w:p>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framePr w:w="305" w:h="334" w:hRule="exact" w:wrap="around" w:vAnchor="text" w:hAnchor="page" w:x="6425" w:y="49"/>
      <w:rPr>
        <w:rFonts w:ascii="Times New Roman" w:hAnsi="Times New Roman"/>
        <w:sz w:val="28"/>
        <w:szCs w:val="28"/>
      </w:rPr>
    </w:pPr>
    <w:r>
      <w:rPr>
        <w:rFonts w:ascii="Times New Roman" w:hAnsi="Times New Roman"/>
        <w:sz w:val="28"/>
        <w:szCs w:val="28"/>
      </w:rPr>
      <w:fldChar w:fldCharType="begin"/>
    </w:r>
    <w:r>
      <w:rPr>
        <w:rFonts w:ascii="Times New Roman" w:hAnsi="Times New Roman"/>
        <w:sz w:val="28"/>
        <w:szCs w:val="28"/>
      </w:rPr>
      <w:instrText xml:space="preserve">PAGE  </w:instrText>
    </w:r>
    <w:r>
      <w:rPr>
        <w:rFonts w:ascii="Times New Roman" w:hAnsi="Times New Roman"/>
        <w:sz w:val="28"/>
        <w:szCs w:val="28"/>
      </w:rPr>
      <w:fldChar w:fldCharType="separate"/>
    </w:r>
    <w:r>
      <w:rPr>
        <w:rFonts w:ascii="Times New Roman" w:hAnsi="Times New Roman"/>
        <w:noProof/>
        <w:sz w:val="28"/>
        <w:szCs w:val="28"/>
      </w:rPr>
      <w:t>10</w:t>
    </w:r>
    <w:r>
      <w:rPr>
        <w:rFonts w:ascii="Times New Roman" w:hAnsi="Times New Roman"/>
        <w:sz w:val="28"/>
        <w:szCs w:val="28"/>
      </w:rPr>
      <w:fldChar w:fldCharType="end"/>
    </w:r>
  </w:p>
  <w:p>
    <w:pPr>
      <w:pStyle w:val="a3"/>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424C11"/>
    <w:multiLevelType w:val="hybridMultilevel"/>
    <w:tmpl w:val="06FA1364"/>
    <w:lvl w:ilvl="0" w:tplc="718ED3BA">
      <w:start w:val="1"/>
      <w:numFmt w:val="upperRoman"/>
      <w:lvlText w:val="%1."/>
      <w:lvlJc w:val="left"/>
      <w:pPr>
        <w:ind w:left="1004" w:hanging="72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visionView w:inkAnnotations="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B6A849AD-A7F8-4CC3-84EE-D4376BB1A7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pPr>
      <w:tabs>
        <w:tab w:val="center" w:pos="4677"/>
        <w:tab w:val="right" w:pos="9355"/>
      </w:tabs>
      <w:spacing w:after="0" w:line="240" w:lineRule="auto"/>
    </w:pPr>
  </w:style>
  <w:style w:type="character" w:customStyle="1" w:styleId="a4">
    <w:name w:val="Верхний колонтитул Знак"/>
    <w:basedOn w:val="a0"/>
    <w:link w:val="a3"/>
    <w:uiPriority w:val="99"/>
    <w:rPr>
      <w:rFonts w:ascii="Calibri" w:eastAsia="Calibri" w:hAnsi="Calibri" w:cs="Times New Roman"/>
    </w:rPr>
  </w:style>
  <w:style w:type="paragraph" w:styleId="a5">
    <w:name w:val="footer"/>
    <w:basedOn w:val="a"/>
    <w:link w:val="a6"/>
    <w:uiPriority w:val="99"/>
    <w:unhideWhenUsed/>
    <w:pPr>
      <w:tabs>
        <w:tab w:val="center" w:pos="4677"/>
        <w:tab w:val="right" w:pos="9355"/>
      </w:tabs>
      <w:spacing w:after="0" w:line="240" w:lineRule="auto"/>
    </w:pPr>
  </w:style>
  <w:style w:type="character" w:customStyle="1" w:styleId="a6">
    <w:name w:val="Нижний колонтитул Знак"/>
    <w:basedOn w:val="a0"/>
    <w:link w:val="a5"/>
    <w:uiPriority w:val="99"/>
    <w:rPr>
      <w:rFonts w:ascii="Calibri" w:eastAsia="Calibri" w:hAnsi="Calibri" w:cs="Times New Roman"/>
    </w:rPr>
  </w:style>
  <w:style w:type="paragraph" w:customStyle="1" w:styleId="a7">
    <w:name w:val="Нормальний текст"/>
    <w:basedOn w:val="a"/>
    <w:uiPriority w:val="99"/>
    <w:pPr>
      <w:spacing w:before="120" w:after="0" w:line="240" w:lineRule="auto"/>
      <w:ind w:firstLine="567"/>
      <w:jc w:val="both"/>
    </w:pPr>
    <w:rPr>
      <w:rFonts w:ascii="Antiqua" w:eastAsia="Times New Roman" w:hAnsi="Antiqua"/>
      <w:sz w:val="26"/>
      <w:szCs w:val="20"/>
      <w:lang w:val="uk-UA" w:eastAsia="ru-RU"/>
    </w:rPr>
  </w:style>
  <w:style w:type="paragraph" w:styleId="a8">
    <w:name w:val="List Paragraph"/>
    <w:basedOn w:val="a"/>
    <w:uiPriority w:val="34"/>
    <w:qFormat/>
    <w:pPr>
      <w:ind w:left="720"/>
      <w:contextualSpacing/>
    </w:pPr>
  </w:style>
  <w:style w:type="paragraph" w:styleId="a9">
    <w:name w:val="Balloon Text"/>
    <w:basedOn w:val="a"/>
    <w:link w:val="aa"/>
    <w:uiPriority w:val="99"/>
    <w:semiHidden/>
    <w:unhideWhenUsed/>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Pr>
      <w:rFonts w:ascii="Tahoma" w:eastAsia="Calibri" w:hAnsi="Tahoma" w:cs="Tahoma"/>
      <w:sz w:val="16"/>
      <w:szCs w:val="16"/>
    </w:rPr>
  </w:style>
  <w:style w:type="table" w:styleId="ab">
    <w:name w:val="Table Grid"/>
    <w:basedOn w:val="a1"/>
    <w:uiPriority w:val="59"/>
    <w:pPr>
      <w:spacing w:after="0" w:line="240" w:lineRule="auto"/>
    </w:pPr>
    <w:rPr>
      <w:rFonts w:ascii="Times New Roman" w:eastAsia="Times New Roman" w:hAnsi="Times New Roman" w:cs="Times New Roman"/>
      <w:sz w:val="20"/>
      <w:szCs w:val="20"/>
      <w:lang w:val="uk-UA" w:eastAsia="uk-UA"/>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8AE802-4A70-467B-A2EF-B457858372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11</Pages>
  <Words>2760</Words>
  <Characters>15737</Characters>
  <Application>Microsoft Office Word</Application>
  <DocSecurity>0</DocSecurity>
  <Lines>131</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CtrlSoft</Company>
  <LinksUpToDate>false</LinksUpToDate>
  <CharactersWithSpaces>18461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Mahmurov</dc:creator>
  <cp:lastModifiedBy>Іван Алексєєв</cp:lastModifiedBy>
  <cp:revision>3</cp:revision>
  <cp:lastPrinted>2020-03-05T10:57:00Z</cp:lastPrinted>
  <dcterms:created xsi:type="dcterms:W3CDTF">2020-04-21T06:42:00Z</dcterms:created>
  <dcterms:modified xsi:type="dcterms:W3CDTF">2020-04-21T06:46:00Z</dcterms:modified>
</cp:coreProperties>
</file>