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567"/>
          <w:tab w:val="left" w:pos="8069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6</w:t>
      </w:r>
    </w:p>
    <w:p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</w:t>
      </w:r>
    </w:p>
    <w:p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енергетичного маркування</w:t>
      </w:r>
    </w:p>
    <w:p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 приміщень, комбінованих</w:t>
      </w:r>
    </w:p>
    <w:p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обігрівачів, комплектів з обігрівача</w:t>
      </w:r>
    </w:p>
    <w:p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приміщень, регулятора температури і</w:t>
      </w:r>
    </w:p>
    <w:p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сонячної установки та комплектів</w:t>
      </w:r>
    </w:p>
    <w:p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комбінованого обігрівача,</w:t>
      </w:r>
    </w:p>
    <w:p>
      <w:pPr>
        <w:tabs>
          <w:tab w:val="left" w:pos="567"/>
        </w:tabs>
        <w:spacing w:after="0" w:line="240" w:lineRule="auto"/>
        <w:ind w:left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регулятора температури і</w:t>
      </w:r>
    </w:p>
    <w:p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сонячної установки </w:t>
      </w:r>
    </w:p>
    <w:p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(пункт 10 розділу ІІІ)</w:t>
      </w:r>
    </w:p>
    <w:p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ІНФОРМАЦІЯ,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яка надається у разі, якщо кінцеві споживачі не можуть побачити обігрівач приміщення, комбінований обігрівач, комплект з обігрівача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приміщень, регулятора температури і сонячної установки та комплект з комбінованого обігрівача, регулятора температури і сонячної установки, окрім випадків їх реалізації дистанційним способом (через мережу Інтернет)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  Якщо кінцеві споживачі не можуть побачити обігрівачі приміщень,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їм надається інформація, зазначена у розділі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 Технічного регламенту енергетичного маркування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 (далі – Технічний регламент), в такому порядку: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 клас сезонної енергоефективності моделі, визначений відповідно до пункта 1 додатка 2 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номінальна теплова потужність, включаючи номінальну теплову потужність кожного додаткового обігрівача, в кВт, округлена до цілого числа (для обігрівачів приміщень з теплонасосами за тепліших кліматичних умов);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сезонна енергоефективність у відсотках, округлена до цілого числа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і обчислена згідно з пунктами 3 і 4 додатка 7 до Технічного регламенту (для обігрівачів приміщень з теплонасосами відповідно до тепліших кліматичних умов);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річне споживання енергії в кВт∙год та/або в ГДж, яку отримує кінцевий споживач у перерахунку на вищу теплотворну здатність за тепліших кліматичних умов, округлене до найближчого цілого числа і розраховане відповідно до пунктів 3 та 4 додатка 7 до Технічного регламенту (для обігрівачів приміщень з теплонасосами відповідно до тепліших кліматичних умов);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5)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рівень звукової потужності </w:t>
      </w:r>
      <w:r>
        <w:rPr>
          <w:rFonts w:ascii="Times New Roman" w:hAnsi="Times New Roman"/>
          <w:sz w:val="28"/>
          <w:szCs w:val="28"/>
        </w:rPr>
        <w:t>в приміщенні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L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WA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округлений до найближчого цілого числа (для обігрівачів приміщень з теплонасосами, якщо застосовно), дБ;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крім того, для когенераційних обігрівачів приміщень: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електрична ефективність у відсотках, округлена до найближчого цілого числа;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крім того, для обігрівачів приміщень з теплонасосами: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номінальна теплова потужність, включаючи номінальну теплову потужність кожного додаткового обігрівача, за холодніших кліматичних умов, округлена до найближчого цілого числа, в кВт;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сезонна енергоефективність у відсотках, за холодніших кліматичних умов, округлена до найближчого цілого числа і розрахована відповідно до пункту 4 додатка 7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річне споживання енергії в кВт∙год та/або в ГДж, яку отримує кінцевий споживач у перерахунку на вищу теплотворну здатність за холодніших кліматичних умов, округлене до найближчого цілого числа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і розрахована відповідно до пункта 4 додатка 7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рівень звукової потужності L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WA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ззовні приміщення, округлений до найближчого цілого числа, в дБ;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крім того, для низькотемпературних теплонасосів: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засвідчення того, що низькотемпературний теплонасос може використовуватись виключно за низьких температур.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 Якщо кінцеві споживачі не можуть побачити комбіновані обігрівачі, їм надається інформація, зазначена у розділі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ІІ Технічного регламенту, в такому порядку: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 для обігріву приміщення – при застосуванні за середніх температур, для нагрівання води – заявлений профіль навантаження, позначений відповідною літерою і типовим застосуванням, згідно з таблицею 7 додатка 7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2) клас сезонної енергоефективності моделі, визначений згідно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з пунктами 1 та 2 додатка 2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3) номінальна теплова потужність, включаючи номінальну теплову потужність кожного додаткового обігрівача, округлена до найближчого цілого числа (для комбінованих обігрівачів з теплонасосами за тепліших кліматичних умов), в кВт;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4) для обігріву приміщень – річне споживання енергії в кВт∙год та/або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в ГДж, яку отримує кінцевий споживач у перерахунку на вищу теплотворну здатність, округлене до найближчого цілого числа і розраховано відповідно до пунктів 3 та 4 додатка 7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Технічного регламенту (для комбінованих обігрівачів з теплонасосами за тепліших кліматичних умов). Для нагрівання води - річне споживання електроенергії в кВт∙год та/або річне споживання палива в ГДж, яку отримує кінцевий споживач у перерахунку на вищу теплотворну здатність, округлене до найближчого цілого числа і розраховано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відповідно до пунктів 5 додатка 7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 (для комбінованих обігрівачів з теплонасосами за тепліших кліматичних умов);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5) сезонна енергоефективність обігріву приміщення у відсотках, округлена до найближчого цілого числа і розрахована відповідно до пунктів 3 та 4 додатка 7 до Технічного регламенту (для комбінованих обігрівачів з теплонасосами за тепліших кліматичних умов); енергоефективність нагрівання води у відсотках, округлена до найближчого цілого числа і розрахована відповідно до пункту 5 додатка 7 до Технічного регламенту (для комбінованих обігрівачів з теплонасосами за тепліших кліматичних умов);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6) рівень звукової потужності L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WA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всередині приміщення, округлений до найближчого цілого числа (для комбінованих обігрівачів з теплонасосами, якщо застосовно), дБ;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7) якщо застосовно, зазначення того, що комбінований обігрівач може працювати тільки не в пікові години;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крім того, для комбінованих обігрівачів з теплонасосами: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8) номінальна теплова потужність, включаючи номінальну теплову потужність кожного додаткового обігрівача, в кВт, за холодніших кліматичних умов, округлена до найближчого цілого числа;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9) для обігріву приміщень – річне споживання енергії в кВт∙год та/або в ГДж, за холодніших кліматичних умов, округлене до найближчого цілого числа і розраховане відповідно до пункту 4 додатка 7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регламенту.  Для нагрівання води – річне споживання електроенергії в кВт∙год та/або річне споживання палива в ГДж, яку отримує кінцевий споживач у перерахунку на вищу теплотворну здатність, за холодніших кліматичних умов, округлене до найближчого цілого числа і розраховане відповідно до пункту 5 додатка 7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10) сезонна енергоефективність обігріву приміщення у відсотках, за холодніших кліматичних умов, округлена до найближчого цілого числа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і розрахована відповідно до пункту 4 додатка 7. Енергоефективність нагрівання води у відсотках, за холодніших кліматичних умов, округлена до найближчого цілого числа і розрахована відповідно до пункту 5 додатка 7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11) рівень звукової потужності L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WA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ззовні приміщення, округлений до найближчого цілого числа, в дБ.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 Якщо кінцеві споживачі не можуть побачити комплекти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з обігрівача приміщень, регулятора температури і сонячної установки, їм надається інформація, зазначена в розділі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ІІ Технічного регламенту в такому порядку: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 клас сезонної енергоефективності моделі, визначений відповідно до пункту 1 додатка 2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2) сезонна енергоефективність обігріву приміщення у відсотках, округлена до найближчого цілого числа;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3) елементи, </w:t>
      </w:r>
      <w:r>
        <w:rPr>
          <w:rFonts w:ascii="Times New Roman" w:hAnsi="Times New Roman"/>
          <w:sz w:val="28"/>
          <w:szCs w:val="28"/>
        </w:rPr>
        <w:t>відображені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рисунках 1–4, відповідно додатка 4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 Якщо кінцеві споживачі не можуть побачити комплекти з комбінованого обігрівача, регулятора температури і сонячної установки, їм надається інформація, зазначена в розділі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 Технічного регламенту в такому порядку: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 клас сезонної енергоефективності моделі, визначений відповідно до пунктів 1 та 2 додатка 2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2) сезонна енергоефективність обігріву приміщення та енергоефективність нагрівання води у відсотках, округлена до найближчого цілого числа;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3) елементи, </w:t>
      </w:r>
      <w:r>
        <w:rPr>
          <w:rFonts w:ascii="Times New Roman" w:hAnsi="Times New Roman"/>
          <w:sz w:val="28"/>
          <w:szCs w:val="28"/>
        </w:rPr>
        <w:t>відображені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рисунках 1 та 3, відповідно, додатка 4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регламенту;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4) елементи, </w:t>
      </w:r>
      <w:r>
        <w:rPr>
          <w:rFonts w:ascii="Times New Roman" w:hAnsi="Times New Roman"/>
          <w:sz w:val="28"/>
          <w:szCs w:val="28"/>
        </w:rPr>
        <w:t>відображені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рисунку 5 додатка 4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регламенту.</w:t>
      </w:r>
    </w:p>
    <w:p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Розмір і шрифт тексту, яким друкується або відображається інформація, згадана в пунктах 1–4 цього додатка, мають бути чітки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ми.</w:t>
      </w:r>
    </w:p>
    <w:sectPr>
      <w:headerReference w:type="default" r:id="rId6"/>
      <w:headerReference w:type="first" r:id="rId7"/>
      <w:pgSz w:w="11906" w:h="16838"/>
      <w:pgMar w:top="709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framePr w:h="391" w:hRule="exact" w:wrap="around" w:vAnchor="text" w:hAnchor="page" w:x="6136" w:y="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a6"/>
      <w:spacing w:after="0"/>
      <w:jc w:val="right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  <w:lang w:val="uk-UA"/>
      </w:rPr>
      <w:t>Продовження додатка 6</w:t>
    </w:r>
  </w:p>
  <w:p>
    <w:pPr>
      <w:pStyle w:val="a6"/>
      <w:spacing w:after="0"/>
      <w:jc w:val="right"/>
      <w:rPr>
        <w:rFonts w:ascii="Times New Roman" w:hAnsi="Times New Roman"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6"/>
      <w:jc w:val="center"/>
    </w:pPr>
  </w:p>
  <w:p>
    <w:pPr>
      <w:pStyle w:val="a6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E4781C-4AAF-41F0-BEA5-AC5FBAAD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pPr>
      <w:widowControl w:val="0"/>
      <w:suppressAutoHyphens/>
      <w:overflowPunct w:val="0"/>
    </w:pPr>
    <w:rPr>
      <w:rFonts w:ascii="EUAlbertina" w:eastAsia="SimSun" w:hAnsi="EUAlbertina" w:cs="Calibri"/>
      <w:color w:val="00000A"/>
      <w:sz w:val="24"/>
    </w:rPr>
  </w:style>
  <w:style w:type="paragraph" w:styleId="a5">
    <w:name w:val="List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Pr>
      <w:sz w:val="22"/>
      <w:szCs w:val="22"/>
      <w:lang w:eastAsia="en-US"/>
    </w:rPr>
  </w:style>
  <w:style w:type="paragraph" w:customStyle="1" w:styleId="aa">
    <w:name w:val="Назва документа"/>
    <w:basedOn w:val="a"/>
    <w:next w:val="a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ab">
    <w:name w:val="Базовый"/>
    <w:uiPriority w:val="99"/>
    <w:pPr>
      <w:widowControl w:val="0"/>
      <w:suppressAutoHyphens/>
      <w:overflowPunct w:val="0"/>
      <w:spacing w:after="200" w:line="276" w:lineRule="auto"/>
    </w:pPr>
    <w:rPr>
      <w:rFonts w:ascii="EUAlbertina" w:eastAsia="SimSun" w:hAnsi="EUAlbertina" w:cs="Calibri"/>
      <w:color w:val="00000A"/>
      <w:sz w:val="24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5091</Words>
  <Characters>2903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Mahmurov</dc:creator>
  <cp:lastModifiedBy>Оксана Плахотнюк</cp:lastModifiedBy>
  <cp:revision>10</cp:revision>
  <cp:lastPrinted>2019-02-06T12:57:00Z</cp:lastPrinted>
  <dcterms:created xsi:type="dcterms:W3CDTF">2019-08-29T09:51:00Z</dcterms:created>
  <dcterms:modified xsi:type="dcterms:W3CDTF">2020-04-28T17:25:00Z</dcterms:modified>
</cp:coreProperties>
</file>