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7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установки та комплектів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установки </w:t>
      </w:r>
    </w:p>
    <w:p w:rsidR="00FD0C03" w:rsidRDefault="00A12828"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(пункт 3 розділу І)</w:t>
      </w:r>
    </w:p>
    <w:p w:rsidR="00FD0C03" w:rsidRDefault="00FD0C0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D0C03" w:rsidRDefault="00FD0C0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D0C03" w:rsidRDefault="00A1282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УМОВИ</w:t>
      </w:r>
    </w:p>
    <w:p w:rsidR="00FD0C03" w:rsidRDefault="00A1282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 технічні параметри вимірювання та розрахунків</w:t>
      </w:r>
    </w:p>
    <w:p w:rsidR="00FD0C03" w:rsidRDefault="00FD0C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D0C03" w:rsidRDefault="00A1282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 Умови для проведення вимірювань та розрахунків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проведення вимірювань,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пунктах 3–5 цього додатка, температура всередині приміщення має бути встановлена на рівні 20 °С. 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розрахунків, зазначених у пунктах 3–5 цього додатка, споживання електроенергії має бути помножене на коефіцієнт перетворення CC, щ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 дорівнює 2,5, окрім випадків, коли річне споживання електроенергії, яку отримує кінцевий споживач, не визначається відповідно до пунктів 2, 3, 4 та 5 цього додатка.  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Для обігрівачів, обладнаних додатковими обігрівачами, вимірювання та розрахунки номінал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ьної теплової потужності, сезонної енергоефективності обігріву приміщення, енергоефективності нагрівання води, рівня звукової потужності і викидів оксидів азоту мають враховувати наявність додаткових обігрівачів.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Заявлені значення номінальної теплової поту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жності, сезонної енергоефективності обігріву приміщення, енергоефективності нагрівання води і рівня звукової потужності мають бути округлені до найближчого цілого числа.</w:t>
      </w:r>
    </w:p>
    <w:p w:rsidR="00FD0C03" w:rsidRDefault="00A1282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 Сезонна енергоефективність обігріву приміщення і споживання енергії котельними обіг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рівачами приміщень, комбінованими котельними обігрівачами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когенераційними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обігрівачами приміщень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Сезонна енергоефективність обігріву приміщення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s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обчислюється як сезонна енергоефективність обігріву приміщення в активному режимі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son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скоригована внеска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ми, що враховують регулятори температури, споживанням електроенергії для власних потреб, втратами тепла в режимі «очікування», споживання енергії пальника запалювання (якщо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застосовно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та, 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когенераційних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обігрівачів приміщень, скоригованих шляхом додав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електричної ефективності, помноженої на коефіцієнт перетворення CC, що дорівнює 2,5.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Річний обсяг енергоспоживання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та/або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ГДж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який отримує кінцевий споживач у перерахунку на вищу теплотворну здатність, обчислюється як відношення річн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 навантаження обігріву до сезонної енергоефективності обігріву приміщення.</w:t>
      </w:r>
    </w:p>
    <w:p w:rsidR="00FD0C03" w:rsidRDefault="00A1282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 Сезонна енергоефективність обігріву приміщення і споживання обігрівачів приміщення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комбінованих обігрівачів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bookmarkStart w:id="0" w:name="_GoBack"/>
      <w:bookmarkEnd w:id="0"/>
      <w:proofErr w:type="spellEnd"/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 Для встановлення номінального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коефіцієнта корисної дії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COP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rated</w:t>
      </w:r>
      <w:proofErr w:type="spellEnd"/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або номінального коефіцієнта первинної енергії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PER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rated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або рівня звукової потужності робочі умови мають відповідати стандартним умовам випробувань, які зазначені в таблиці 1 цього додатка, та має використовуватись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однакова заявлена теплоємність.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>
        <w:rPr>
          <w:rFonts w:ascii="Times New Roman" w:eastAsia="Palatino Linotype" w:hAnsi="Times New Roman"/>
          <w:sz w:val="28"/>
          <w:szCs w:val="28"/>
          <w:lang w:val="uk-UA"/>
        </w:rPr>
        <w:t>оефіцієнт корисної дії в активному режимі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SCOP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on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холодніших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і тепліших кліматичних умов обчислюється на основі часткового навантаження обігріву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Ph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Tj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 допоміжної теплової потужності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sup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Tj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(якщо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застосовно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) та коефі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цієнта корисної дії для певного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COPbin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Tj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або коефіцієнта первинної енергії для певного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біну</w:t>
      </w:r>
      <w:proofErr w:type="spellEnd"/>
      <w:r>
        <w:rPr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PERbin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Tj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зваженого за тривалістю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годинах, під час яких застосовуються умови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використовуючи такі параметри: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вихідні розрахункові умови, зазна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чені в таблиці 2 цього додатка;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розрахунковий сезон України за холодніших і тепліших кліматичних умов, зазначений у таблиці 4 цього додатка;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якщо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застосовно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ефекти спаду енергоефективності, спричинені циклічною роботою, залежно від типу контролю потужност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 обігріву.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Еталонна річна потреба обігріву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проєктне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навантаження обігріву </w:t>
      </w:r>
      <m:oMath>
        <m:sSub>
          <m:sSubPr>
            <m:ctrlPr>
              <w:rPr>
                <w:rFonts w:ascii="Cambria Math" w:eastAsia="Palatino Linotype" w:hAnsi="Cambria Math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Palatino Linotype" w:hAnsi="Cambria Math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Palatino Linotype" w:hAnsi="Cambria Math"/>
                <w:sz w:val="28"/>
                <w:szCs w:val="28"/>
                <w:lang w:val="uk-UA"/>
              </w:rPr>
              <m:t>designh</m:t>
            </m:r>
          </m:sub>
        </m:sSub>
      </m:oMath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холодніших і тепліших кліматичних умов, помножене на річні еквівалентні години роботи в активному режимі H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2066 та H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2465 за тепліших і холодніших кліматичних 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мов, відповідно.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Річний обсяг енергоспоживання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обчислюється як сума: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відношення еталонної річної потреби обігріву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коефіцієнта корисної дії в активному режимі</w:t>
      </w:r>
      <w:r>
        <w:rPr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SCOP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on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або коефіцієнта первинної енергії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в активному режимі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SPER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on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споживання енергії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вимкненому режимі, режимі вимкненого термостата, режимі «очікування» і режимі картерного нагрівача протягом опалювального періоду.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Сезонний коефіцієнт корисної дії SCOP або сезонний коефіцієнт первинної енергії SPER обчислюється як відношення еталонної 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ічної потреби обігріву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річного обсягу енергоспоживання енергії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Сезонна енергоефективність обігріву приміщень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s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обчислюється як сезонний коефіцієнт корисної дії SCOP, поділений на коефіцієнт перетворення CC або сезонний коефіцієнт первинної енер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гії SPER, скоригований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показники регуляторів температури для водно-/соляно-водних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комбінованих обігрівачів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а також на споживання електроенергії одним або кількома наземними насосами.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Річний обсяг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енергоспоживання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HE,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та/або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ГДж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яку отримує кінцевий споживач, у перерахунку на вищу теплотворну здатність обчислюється як відношення еталонної річної потреби обігріву 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H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сезонної енергоефективності обігріву приміщень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s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D0C03" w:rsidRDefault="00A1282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 Енергоефектив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ність нагрівання води комбінованих обігрівачів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Енергоефективність нагрівання води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wh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комбінованого обігрівача обчислюється як відношення між вихідною енергією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ref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енергією, потрібною для її генерації за таких умов: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 вимірювання здійснюються з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використанням профілів навантаження відповідно до таблиці 7 цього додатка;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вимірювання здійснюються з використанням 24-годинного циклу вимірювання так: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00:00 до 06:59 – немає зливу води;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07:00 – зливи води згідно із заявленим профілем навантажен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ня;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кінця останнього зливу до 24:00 – немає зливу води;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заявлений профіль навантаження – максимальний профіль навантаження або профіль навантаження, на одну позначку нижчий за максимальний;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 для комбінованих обігрівачів із тепловими насосами засто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совуються такі умови: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комбіновані обігрівачі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випробовуються за умов, викладених у таблиці 1 цього додатка;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комбіновані обігрівачі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у яких як джерело тепла використовується витяжне повітря, випробовуються відповідно до умов,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зазначених у таблиці 3 цього додатка;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5) річне споживання електроенергії AEC,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відносно енергії, що надходить до кінцевих споживачів, обчислюється як добове споживання електроенергії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elec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кВт, відносно енергії, що надходить до кінцевих споживачі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в, помножене на 220;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6) річне споживання палива AFC,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ГДж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відносно вищої теплотворної здатності обчислюється як добове споживання палива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fuel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помножене на 220.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 Умови вимірювань та розрахунків для сонячних пристроїв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Сонячний колектор, бак-акумулятор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насос у контурі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колектора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(якщо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застосовно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випробовуються окремо. Якщо сонячний колектор і бак-акумулятор не можуть бути випробувані окремо, їх випробовують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у комплекті один з одним.</w:t>
      </w:r>
    </w:p>
    <w:p w:rsidR="00FD0C03" w:rsidRDefault="00A12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Результати використовуються для визначення постійних теплових втрат S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обчислення енергоефективності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колектора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col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річного внеску тепла, відмінного від сонячного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nonsol</w:t>
      </w:r>
      <w:proofErr w:type="spellEnd"/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профілів навантаження M, L, XL та XXL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за тепліших кліматичних умов відповідно до таблиць 5 та 6 цього додатка, і річного споживання електроенергії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власних потреб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aux</w:t>
      </w:r>
      <w:proofErr w:type="spellEnd"/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відносно енергії, що надходить до кінцевих споживачів.</w:t>
      </w:r>
    </w:p>
    <w:p w:rsidR="00FD0C03" w:rsidRDefault="00FD0C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iCs/>
          <w:sz w:val="28"/>
          <w:szCs w:val="28"/>
          <w:lang w:val="uk-UA"/>
        </w:rPr>
        <w:t>Таблиця 1</w:t>
      </w:r>
    </w:p>
    <w:p w:rsidR="00FD0C03" w:rsidRDefault="00A12828">
      <w:pPr>
        <w:widowControl w:val="0"/>
        <w:suppressAutoHyphens/>
        <w:overflowPunct w:val="0"/>
        <w:spacing w:after="240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Стандартні умови випробувань для обігрівачів приміщень </w:t>
      </w: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br/>
        <w:t xml:space="preserve">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теплонасосом</w:t>
      </w:r>
      <w:proofErr w:type="spellEnd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 і комбінованих обігрівачів 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теплонасосом</w:t>
      </w:r>
      <w:proofErr w:type="spellEnd"/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1"/>
        <w:gridCol w:w="1513"/>
        <w:gridCol w:w="1530"/>
        <w:gridCol w:w="1215"/>
        <w:gridCol w:w="1203"/>
        <w:gridCol w:w="1206"/>
        <w:gridCol w:w="1198"/>
      </w:tblGrid>
      <w:tr w:rsidR="00FD0C03">
        <w:trPr>
          <w:trHeight w:val="105"/>
        </w:trPr>
        <w:tc>
          <w:tcPr>
            <w:tcW w:w="1525" w:type="dxa"/>
            <w:vMerge w:val="restart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Джерело тепла</w:t>
            </w:r>
          </w:p>
        </w:tc>
        <w:tc>
          <w:tcPr>
            <w:tcW w:w="3119" w:type="dxa"/>
            <w:gridSpan w:val="2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Зовнішній теплообмінник</w:t>
            </w:r>
          </w:p>
        </w:tc>
        <w:tc>
          <w:tcPr>
            <w:tcW w:w="4926" w:type="dxa"/>
            <w:gridSpan w:val="4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Внутрішній теплообмінник</w:t>
            </w:r>
          </w:p>
        </w:tc>
      </w:tr>
      <w:tr w:rsidR="00FD0C03">
        <w:trPr>
          <w:trHeight w:val="105"/>
        </w:trPr>
        <w:tc>
          <w:tcPr>
            <w:tcW w:w="1525" w:type="dxa"/>
            <w:vMerge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Кліматичні умови</w:t>
            </w:r>
          </w:p>
        </w:tc>
        <w:tc>
          <w:tcPr>
            <w:tcW w:w="1560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Температура на вході сухого (вологого) термометра</w:t>
            </w:r>
          </w:p>
        </w:tc>
        <w:tc>
          <w:tcPr>
            <w:tcW w:w="2463" w:type="dxa"/>
            <w:gridSpan w:val="2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Обігрівачі приміщень з </w:t>
            </w: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теплонасосами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 і комбіновані обігрівачі з </w:t>
            </w: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теплонасосами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, окрім низькотемпературних </w:t>
            </w: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теплонасосів</w:t>
            </w:r>
            <w:proofErr w:type="spellEnd"/>
          </w:p>
        </w:tc>
        <w:tc>
          <w:tcPr>
            <w:tcW w:w="2463" w:type="dxa"/>
            <w:gridSpan w:val="2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Низькотемпературні </w:t>
            </w: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теплонасоси</w:t>
            </w:r>
            <w:proofErr w:type="spellEnd"/>
          </w:p>
        </w:tc>
      </w:tr>
      <w:tr w:rsidR="00FD0C03">
        <w:trPr>
          <w:trHeight w:val="510"/>
        </w:trPr>
        <w:tc>
          <w:tcPr>
            <w:tcW w:w="1525" w:type="dxa"/>
            <w:vMerge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Т на 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вході</w:t>
            </w:r>
          </w:p>
        </w:tc>
        <w:tc>
          <w:tcPr>
            <w:tcW w:w="1232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 на виході</w:t>
            </w:r>
          </w:p>
        </w:tc>
        <w:tc>
          <w:tcPr>
            <w:tcW w:w="123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 на вході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 на виході</w:t>
            </w:r>
          </w:p>
        </w:tc>
      </w:tr>
      <w:tr w:rsidR="00FD0C03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Зовнішнє повітря</w:t>
            </w:r>
          </w:p>
        </w:tc>
        <w:tc>
          <w:tcPr>
            <w:tcW w:w="155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Тепліші</w:t>
            </w:r>
          </w:p>
        </w:tc>
        <w:tc>
          <w:tcPr>
            <w:tcW w:w="1560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+7°С</w:t>
            </w:r>
          </w:p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(+6°С)</w:t>
            </w:r>
          </w:p>
        </w:tc>
        <w:tc>
          <w:tcPr>
            <w:tcW w:w="1231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+47°С</w:t>
            </w:r>
          </w:p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+55°С</w:t>
            </w:r>
          </w:p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+30°С</w:t>
            </w:r>
          </w:p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 w:val="restart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+35°С</w:t>
            </w:r>
          </w:p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  <w:tr w:rsidR="00FD0C03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Холодніші</w:t>
            </w:r>
          </w:p>
        </w:tc>
        <w:tc>
          <w:tcPr>
            <w:tcW w:w="1560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+2°С</w:t>
            </w:r>
          </w:p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(+1°С)</w:t>
            </w: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  <w:tcBorders>
              <w:right w:val="single" w:sz="4" w:space="0" w:color="auto"/>
            </w:tcBorders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  <w:tr w:rsidR="00FD0C03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Витяжне повітря</w:t>
            </w:r>
          </w:p>
        </w:tc>
        <w:tc>
          <w:tcPr>
            <w:tcW w:w="155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Всі</w:t>
            </w:r>
          </w:p>
        </w:tc>
        <w:tc>
          <w:tcPr>
            <w:tcW w:w="1560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+20°С</w:t>
            </w:r>
          </w:p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(+12°С)</w:t>
            </w: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  <w:tcBorders>
              <w:right w:val="single" w:sz="4" w:space="0" w:color="auto"/>
            </w:tcBorders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  <w:tr w:rsidR="00FD0C03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 на вході/виході</w:t>
            </w: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  <w:tcBorders>
              <w:right w:val="single" w:sz="4" w:space="0" w:color="auto"/>
            </w:tcBorders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526"/>
        </w:trPr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55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Всі</w:t>
            </w:r>
          </w:p>
        </w:tc>
        <w:tc>
          <w:tcPr>
            <w:tcW w:w="156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+10°С / +7°С</w:t>
            </w: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  <w:vMerge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vMerge/>
            <w:tcBorders>
              <w:right w:val="single" w:sz="4" w:space="0" w:color="auto"/>
            </w:tcBorders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  <w:tr w:rsidR="00FD0C03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Соляний розчин</w:t>
            </w:r>
          </w:p>
        </w:tc>
        <w:tc>
          <w:tcPr>
            <w:tcW w:w="155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Всі</w:t>
            </w:r>
          </w:p>
        </w:tc>
        <w:tc>
          <w:tcPr>
            <w:tcW w:w="156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0°С / -3°С</w:t>
            </w:r>
          </w:p>
        </w:tc>
        <w:tc>
          <w:tcPr>
            <w:tcW w:w="1231" w:type="dxa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</w:tr>
    </w:tbl>
    <w:p w:rsidR="00FD0C03" w:rsidRDefault="00FD0C03">
      <w:pPr>
        <w:spacing w:after="0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en-US"/>
        </w:rPr>
      </w:pPr>
      <w:r>
        <w:rPr>
          <w:rFonts w:ascii="Times New Roman" w:eastAsia="SimSun" w:hAnsi="Times New Roman"/>
          <w:iCs/>
          <w:sz w:val="28"/>
          <w:szCs w:val="28"/>
          <w:lang w:val="uk-UA"/>
        </w:rPr>
        <w:t>Таблиця 2</w:t>
      </w: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240" w:line="240" w:lineRule="auto"/>
        <w:ind w:left="567" w:hanging="567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Стандартні номінальні умови випробувань для обігрівачів приміщень 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теплонасосами</w:t>
      </w:r>
      <w:proofErr w:type="spellEnd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 і комбінованих обігрівачів 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теплонасосами</w:t>
      </w:r>
      <w:proofErr w:type="spellEnd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, температура повітря за сухим термометром </w:t>
      </w: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br/>
        <w:t>(температура за вологим термометром вказана в дужках)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2268"/>
        <w:gridCol w:w="2126"/>
        <w:gridCol w:w="2269"/>
      </w:tblGrid>
      <w:tr w:rsidR="00FD0C03">
        <w:trPr>
          <w:trHeight w:val="688"/>
        </w:trPr>
        <w:tc>
          <w:tcPr>
            <w:tcW w:w="2660" w:type="dxa"/>
            <w:vMerge w:val="restart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Кліматичні умови</w:t>
            </w:r>
          </w:p>
        </w:tc>
        <w:tc>
          <w:tcPr>
            <w:tcW w:w="2268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</w:rPr>
              <w:t>Еталонна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розрахункова температура</w:t>
            </w:r>
          </w:p>
        </w:tc>
        <w:tc>
          <w:tcPr>
            <w:tcW w:w="2126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Бівалентна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 температура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Гранична робоча температура</w:t>
            </w:r>
          </w:p>
        </w:tc>
      </w:tr>
      <w:tr w:rsidR="00FD0C03">
        <w:trPr>
          <w:trHeight w:val="556"/>
        </w:trPr>
        <w:tc>
          <w:tcPr>
            <w:tcW w:w="2660" w:type="dxa"/>
            <w:vMerge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uk-UA" w:eastAsia="ru-RU"/>
              </w:rPr>
              <w:t>designh</w:t>
            </w:r>
            <w:proofErr w:type="spellEnd"/>
          </w:p>
        </w:tc>
        <w:tc>
          <w:tcPr>
            <w:tcW w:w="2126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T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val="en-US" w:eastAsia="ru-RU"/>
              </w:rPr>
              <w:t>biv</w:t>
            </w:r>
            <w:proofErr w:type="spellEnd"/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en-US"/>
              </w:rPr>
              <w:t>TOL</w:t>
            </w:r>
          </w:p>
        </w:tc>
      </w:tr>
      <w:tr w:rsidR="00FD0C03">
        <w:trPr>
          <w:trHeight w:val="409"/>
        </w:trPr>
        <w:tc>
          <w:tcPr>
            <w:tcW w:w="2660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Тепліші</w:t>
            </w:r>
          </w:p>
        </w:tc>
        <w:tc>
          <w:tcPr>
            <w:tcW w:w="2268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-10°С (-11°С)</w:t>
            </w:r>
          </w:p>
        </w:tc>
        <w:tc>
          <w:tcPr>
            <w:tcW w:w="2126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Максимально +2°С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Максимально -7°С</w:t>
            </w:r>
          </w:p>
        </w:tc>
      </w:tr>
      <w:tr w:rsidR="00FD0C03">
        <w:trPr>
          <w:trHeight w:val="356"/>
        </w:trPr>
        <w:tc>
          <w:tcPr>
            <w:tcW w:w="2660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ind w:left="142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Холодніші</w:t>
            </w:r>
          </w:p>
        </w:tc>
        <w:tc>
          <w:tcPr>
            <w:tcW w:w="2268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-22°С (-23°С)</w:t>
            </w:r>
          </w:p>
        </w:tc>
        <w:tc>
          <w:tcPr>
            <w:tcW w:w="2126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Максимально -7°С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Максимально -15°С</w:t>
            </w:r>
          </w:p>
        </w:tc>
      </w:tr>
    </w:tbl>
    <w:p w:rsidR="00FD0C03" w:rsidRDefault="00FD0C03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both"/>
        <w:rPr>
          <w:rFonts w:ascii="Cambria" w:eastAsia="SimSun" w:hAnsi="Cambria" w:cs="Calibri"/>
          <w:iCs/>
          <w:sz w:val="28"/>
          <w:szCs w:val="28"/>
          <w:lang w:val="uk-UA"/>
        </w:rPr>
      </w:pPr>
    </w:p>
    <w:p w:rsidR="00FD0C03" w:rsidRDefault="00FD0C03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both"/>
        <w:rPr>
          <w:rFonts w:ascii="Cambria" w:eastAsia="SimSun" w:hAnsi="Cambria" w:cs="Calibri"/>
          <w:iCs/>
          <w:sz w:val="28"/>
          <w:szCs w:val="28"/>
          <w:lang w:val="uk-UA"/>
        </w:rPr>
      </w:pPr>
    </w:p>
    <w:p w:rsidR="00FD0C03" w:rsidRDefault="00FD0C03">
      <w:pPr>
        <w:widowControl w:val="0"/>
        <w:tabs>
          <w:tab w:val="left" w:pos="567"/>
        </w:tabs>
        <w:suppressAutoHyphens/>
        <w:overflowPunct w:val="0"/>
        <w:spacing w:after="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uk-UA"/>
        </w:rPr>
      </w:pP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en-US"/>
        </w:rPr>
      </w:pPr>
      <w:r>
        <w:rPr>
          <w:rFonts w:ascii="Times New Roman" w:eastAsia="SimSun" w:hAnsi="Times New Roman"/>
          <w:iCs/>
          <w:sz w:val="28"/>
          <w:szCs w:val="28"/>
          <w:lang w:val="uk-UA"/>
        </w:rPr>
        <w:lastRenderedPageBreak/>
        <w:t>Таблиця 3</w:t>
      </w: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0" w:line="240" w:lineRule="auto"/>
        <w:ind w:left="567" w:hanging="567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Максимальний </w:t>
      </w: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доступний об’єм витяжного повітря [м</w:t>
      </w:r>
      <w:r>
        <w:rPr>
          <w:rFonts w:ascii="Times New Roman" w:eastAsia="SimSun" w:hAnsi="Times New Roman"/>
          <w:b/>
          <w:iCs/>
          <w:sz w:val="28"/>
          <w:szCs w:val="28"/>
          <w:vertAlign w:val="superscript"/>
          <w:lang w:val="uk-UA"/>
        </w:rPr>
        <w:t>3</w:t>
      </w: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/год],</w:t>
      </w: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120" w:line="240" w:lineRule="auto"/>
        <w:ind w:left="567" w:hanging="567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 з вологістю 5,5 г/ м</w:t>
      </w:r>
      <w:r>
        <w:rPr>
          <w:rFonts w:ascii="Times New Roman" w:eastAsia="SimSun" w:hAnsi="Times New Roman"/>
          <w:b/>
          <w:iCs/>
          <w:sz w:val="28"/>
          <w:szCs w:val="28"/>
          <w:vertAlign w:val="superscript"/>
          <w:lang w:val="uk-UA"/>
        </w:rPr>
        <w:t>3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8"/>
        <w:gridCol w:w="1774"/>
        <w:gridCol w:w="833"/>
        <w:gridCol w:w="832"/>
        <w:gridCol w:w="833"/>
        <w:gridCol w:w="765"/>
        <w:gridCol w:w="766"/>
        <w:gridCol w:w="805"/>
      </w:tblGrid>
      <w:tr w:rsidR="00FD0C03">
        <w:tc>
          <w:tcPr>
            <w:tcW w:w="2802" w:type="dxa"/>
            <w:tcBorders>
              <w:left w:val="single" w:sz="4" w:space="0" w:color="auto"/>
            </w:tcBorders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ind w:left="142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Заявлений профіль навантаження</w:t>
            </w:r>
          </w:p>
        </w:tc>
        <w:tc>
          <w:tcPr>
            <w:tcW w:w="1842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XXS</w:t>
            </w:r>
          </w:p>
        </w:tc>
        <w:tc>
          <w:tcPr>
            <w:tcW w:w="85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XS</w:t>
            </w:r>
          </w:p>
        </w:tc>
        <w:tc>
          <w:tcPr>
            <w:tcW w:w="85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S</w:t>
            </w:r>
          </w:p>
        </w:tc>
        <w:tc>
          <w:tcPr>
            <w:tcW w:w="85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M</w:t>
            </w:r>
          </w:p>
        </w:tc>
        <w:tc>
          <w:tcPr>
            <w:tcW w:w="77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L</w:t>
            </w:r>
          </w:p>
        </w:tc>
        <w:tc>
          <w:tcPr>
            <w:tcW w:w="78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XL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XXL</w:t>
            </w:r>
          </w:p>
        </w:tc>
      </w:tr>
      <w:tr w:rsidR="00FD0C03">
        <w:trPr>
          <w:trHeight w:val="853"/>
        </w:trPr>
        <w:tc>
          <w:tcPr>
            <w:tcW w:w="2802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ind w:left="142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Максимальний доступний об’єм витяжного повітря</w:t>
            </w:r>
          </w:p>
        </w:tc>
        <w:tc>
          <w:tcPr>
            <w:tcW w:w="1842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109</w:t>
            </w:r>
          </w:p>
        </w:tc>
        <w:tc>
          <w:tcPr>
            <w:tcW w:w="85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128</w:t>
            </w:r>
          </w:p>
        </w:tc>
        <w:tc>
          <w:tcPr>
            <w:tcW w:w="85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128</w:t>
            </w:r>
          </w:p>
        </w:tc>
        <w:tc>
          <w:tcPr>
            <w:tcW w:w="85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159</w:t>
            </w:r>
          </w:p>
        </w:tc>
        <w:tc>
          <w:tcPr>
            <w:tcW w:w="77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190</w:t>
            </w:r>
          </w:p>
        </w:tc>
        <w:tc>
          <w:tcPr>
            <w:tcW w:w="780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870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1021</w:t>
            </w:r>
          </w:p>
        </w:tc>
      </w:tr>
    </w:tbl>
    <w:p w:rsidR="00FD0C03" w:rsidRDefault="00FD0C03">
      <w:pPr>
        <w:widowControl w:val="0"/>
        <w:tabs>
          <w:tab w:val="left" w:pos="567"/>
          <w:tab w:val="left" w:pos="993"/>
        </w:tabs>
        <w:suppressAutoHyphens/>
        <w:overflowPunct w:val="0"/>
        <w:spacing w:after="120"/>
        <w:ind w:left="567" w:hanging="567"/>
        <w:jc w:val="both"/>
        <w:rPr>
          <w:rFonts w:ascii="Cambria" w:eastAsia="SimSun" w:hAnsi="Cambria" w:cs="Calibri"/>
          <w:iCs/>
          <w:sz w:val="28"/>
          <w:szCs w:val="28"/>
          <w:lang w:val="uk-UA"/>
        </w:rPr>
      </w:pPr>
    </w:p>
    <w:p w:rsidR="00FD0C03" w:rsidRDefault="00FD0C03">
      <w:pPr>
        <w:widowControl w:val="0"/>
        <w:tabs>
          <w:tab w:val="left" w:pos="567"/>
        </w:tabs>
        <w:suppressAutoHyphens/>
        <w:overflowPunct w:val="0"/>
        <w:spacing w:after="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uk-UA"/>
        </w:rPr>
      </w:pP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right"/>
        <w:rPr>
          <w:rFonts w:ascii="Times New Roman" w:eastAsia="SimSun" w:hAnsi="Times New Roman"/>
          <w:iCs/>
          <w:sz w:val="28"/>
          <w:szCs w:val="28"/>
          <w:lang w:val="en-US"/>
        </w:rPr>
      </w:pPr>
      <w:r>
        <w:rPr>
          <w:rFonts w:ascii="Times New Roman" w:eastAsia="SimSun" w:hAnsi="Times New Roman"/>
          <w:iCs/>
          <w:sz w:val="28"/>
          <w:szCs w:val="28"/>
          <w:lang w:val="uk-UA"/>
        </w:rPr>
        <w:t>Таблиця 4</w:t>
      </w:r>
    </w:p>
    <w:p w:rsidR="00FD0C03" w:rsidRDefault="00A12828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Еталонні опалювальні періоди в Україні за </w:t>
      </w:r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тепліших і холодніших умов для обігрівачів приміщень 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теплонасосами</w:t>
      </w:r>
      <w:proofErr w:type="spellEnd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 xml:space="preserve"> і комбінованих обігрівачів з </w:t>
      </w:r>
      <w:proofErr w:type="spellStart"/>
      <w:r>
        <w:rPr>
          <w:rFonts w:ascii="Times New Roman" w:eastAsia="SimSun" w:hAnsi="Times New Roman"/>
          <w:b/>
          <w:iCs/>
          <w:sz w:val="28"/>
          <w:szCs w:val="28"/>
          <w:lang w:val="uk-UA"/>
        </w:rPr>
        <w:t>теплонасосами</w:t>
      </w:r>
      <w:proofErr w:type="spellEnd"/>
    </w:p>
    <w:p w:rsidR="00FD0C03" w:rsidRDefault="00FD0C03">
      <w:pPr>
        <w:widowControl w:val="0"/>
        <w:tabs>
          <w:tab w:val="left" w:pos="567"/>
        </w:tabs>
        <w:suppressAutoHyphens/>
        <w:overflowPunct w:val="0"/>
        <w:spacing w:after="120"/>
        <w:ind w:left="567" w:hanging="567"/>
        <w:jc w:val="center"/>
        <w:rPr>
          <w:rFonts w:ascii="Times New Roman" w:eastAsia="SimSun" w:hAnsi="Times New Roman"/>
          <w:b/>
          <w:iCs/>
          <w:sz w:val="28"/>
          <w:szCs w:val="28"/>
          <w:lang w:val="uk-UA"/>
        </w:rPr>
      </w:pPr>
    </w:p>
    <w:tbl>
      <w:tblPr>
        <w:tblW w:w="0" w:type="auto"/>
        <w:tblInd w:w="11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4"/>
        <w:gridCol w:w="1449"/>
        <w:gridCol w:w="2521"/>
        <w:gridCol w:w="2977"/>
      </w:tblGrid>
      <w:tr w:rsidR="00FD0C03">
        <w:trPr>
          <w:trHeight w:val="490"/>
          <w:tblHeader/>
        </w:trPr>
        <w:tc>
          <w:tcPr>
            <w:tcW w:w="1274" w:type="dxa"/>
            <w:vMerge w:val="restart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en-US"/>
              </w:rPr>
              <w:t>bin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vertAlign w:val="subscript"/>
                <w:lang w:val="uk-UA"/>
              </w:rPr>
              <w:t>j</w:t>
            </w:r>
          </w:p>
        </w:tc>
        <w:tc>
          <w:tcPr>
            <w:tcW w:w="1449" w:type="dxa"/>
            <w:vMerge w:val="restart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T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 [°С]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Тепліші кліматичні умови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Холодніші кліматичні умови</w:t>
            </w:r>
          </w:p>
        </w:tc>
      </w:tr>
      <w:tr w:rsidR="00FD0C03">
        <w:trPr>
          <w:trHeight w:val="414"/>
          <w:tblHeader/>
        </w:trPr>
        <w:tc>
          <w:tcPr>
            <w:tcW w:w="1274" w:type="dxa"/>
            <w:vMerge/>
            <w:tcBorders>
              <w:left w:val="single" w:sz="4" w:space="0" w:color="auto"/>
            </w:tcBorders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1449" w:type="dxa"/>
            <w:vMerge/>
            <w:vAlign w:val="center"/>
          </w:tcPr>
          <w:p w:rsidR="00FD0C03" w:rsidRDefault="00FD0C03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Н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 [год/рік]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Н</w:t>
            </w:r>
            <w:r>
              <w:rPr>
                <w:rFonts w:ascii="Times New Roman" w:eastAsia="SimSun" w:hAnsi="Times New Roman"/>
                <w:iCs/>
                <w:sz w:val="20"/>
                <w:szCs w:val="20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 xml:space="preserve"> [год/рік]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 – 8</w:t>
            </w:r>
          </w:p>
        </w:tc>
        <w:tc>
          <w:tcPr>
            <w:tcW w:w="1449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-30 -23</w:t>
            </w:r>
          </w:p>
        </w:tc>
        <w:tc>
          <w:tcPr>
            <w:tcW w:w="2521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9</w:t>
            </w:r>
          </w:p>
        </w:tc>
        <w:tc>
          <w:tcPr>
            <w:tcW w:w="1449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-22</w:t>
            </w:r>
          </w:p>
        </w:tc>
        <w:tc>
          <w:tcPr>
            <w:tcW w:w="2521" w:type="dxa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10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-21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6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11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-20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13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12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-19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17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13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-18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14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-17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26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15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-16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16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-15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41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17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-14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35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18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-13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52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19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-12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37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20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-11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41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21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-10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43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22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-9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54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23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-8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90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24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-7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125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25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-6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169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26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-5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68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195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27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-4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91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278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28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-3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89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306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lastRenderedPageBreak/>
              <w:t>29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-2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165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454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30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-1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173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385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31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240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490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32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280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533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33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320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380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34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357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228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35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356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261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36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303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279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37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6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330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229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38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326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269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39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348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233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40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9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335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230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41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10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315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243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42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11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215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191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43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12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169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146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44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13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151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150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45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14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105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97</w:t>
            </w:r>
          </w:p>
        </w:tc>
      </w:tr>
      <w:tr w:rsidR="00FD0C03">
        <w:trPr>
          <w:trHeight w:val="340"/>
        </w:trPr>
        <w:tc>
          <w:tcPr>
            <w:tcW w:w="1274" w:type="dxa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46</w:t>
            </w:r>
          </w:p>
        </w:tc>
        <w:tc>
          <w:tcPr>
            <w:tcW w:w="1449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15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74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61</w:t>
            </w:r>
          </w:p>
        </w:tc>
      </w:tr>
      <w:tr w:rsidR="00FD0C03">
        <w:trPr>
          <w:trHeight w:val="340"/>
        </w:trPr>
        <w:tc>
          <w:tcPr>
            <w:tcW w:w="2723" w:type="dxa"/>
            <w:gridSpan w:val="2"/>
            <w:tcBorders>
              <w:lef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Усього годин:</w:t>
            </w:r>
          </w:p>
        </w:tc>
        <w:tc>
          <w:tcPr>
            <w:tcW w:w="2521" w:type="dxa"/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4910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FD0C03" w:rsidRDefault="00A12828">
            <w:pPr>
              <w:widowControl w:val="0"/>
              <w:tabs>
                <w:tab w:val="left" w:pos="567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iCs/>
                <w:sz w:val="20"/>
                <w:szCs w:val="20"/>
                <w:lang w:val="uk-UA"/>
              </w:rPr>
              <w:t>6446</w:t>
            </w:r>
          </w:p>
        </w:tc>
      </w:tr>
    </w:tbl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  <w:sectPr w:rsidR="00FD0C03">
          <w:headerReference w:type="default" r:id="rId7"/>
          <w:headerReference w:type="first" r:id="rId8"/>
          <w:pgSz w:w="11906" w:h="16838"/>
          <w:pgMar w:top="1135" w:right="849" w:bottom="1418" w:left="1701" w:header="709" w:footer="709" w:gutter="0"/>
          <w:cols w:space="708"/>
          <w:titlePg/>
          <w:docGrid w:linePitch="360"/>
        </w:sectPr>
      </w:pPr>
    </w:p>
    <w:p w:rsidR="00FD0C03" w:rsidRDefault="00A12828">
      <w:pPr>
        <w:widowControl w:val="0"/>
        <w:tabs>
          <w:tab w:val="left" w:pos="550"/>
          <w:tab w:val="left" w:pos="993"/>
        </w:tabs>
        <w:suppressAutoHyphens/>
        <w:overflowPunct w:val="0"/>
        <w:jc w:val="right"/>
        <w:rPr>
          <w:rFonts w:ascii="Times New Roman" w:eastAsia="SimSun" w:hAnsi="Times New Roman"/>
          <w:sz w:val="28"/>
          <w:szCs w:val="28"/>
          <w:lang w:val="en-US"/>
        </w:rPr>
      </w:pPr>
      <w:r>
        <w:rPr>
          <w:rFonts w:ascii="Times New Roman" w:eastAsia="SimSun" w:hAnsi="Times New Roman"/>
          <w:sz w:val="28"/>
          <w:szCs w:val="28"/>
          <w:lang w:val="uk-UA"/>
        </w:rPr>
        <w:lastRenderedPageBreak/>
        <w:t>Таблиця 5</w:t>
      </w:r>
    </w:p>
    <w:p w:rsidR="00FD0C03" w:rsidRDefault="00A12828">
      <w:pPr>
        <w:widowControl w:val="0"/>
        <w:tabs>
          <w:tab w:val="left" w:pos="550"/>
          <w:tab w:val="left" w:pos="993"/>
        </w:tabs>
        <w:suppressAutoHyphens/>
        <w:overflowPunct w:val="0"/>
        <w:jc w:val="center"/>
        <w:rPr>
          <w:rFonts w:ascii="Times New Roman" w:eastAsia="SimSun" w:hAnsi="Times New Roman"/>
          <w:b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sz w:val="28"/>
          <w:szCs w:val="28"/>
          <w:lang w:val="uk-UA"/>
        </w:rPr>
        <w:t>Середня денна температура [°С]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1"/>
        <w:gridCol w:w="1098"/>
        <w:gridCol w:w="1100"/>
        <w:gridCol w:w="1126"/>
        <w:gridCol w:w="1111"/>
        <w:gridCol w:w="1117"/>
        <w:gridCol w:w="1118"/>
        <w:gridCol w:w="1108"/>
        <w:gridCol w:w="1120"/>
        <w:gridCol w:w="1131"/>
        <w:gridCol w:w="1125"/>
        <w:gridCol w:w="1136"/>
        <w:gridCol w:w="1119"/>
      </w:tblGrid>
      <w:tr w:rsidR="00FD0C03">
        <w:tc>
          <w:tcPr>
            <w:tcW w:w="1153" w:type="dxa"/>
          </w:tcPr>
          <w:p w:rsidR="00FD0C03" w:rsidRDefault="00FD0C03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Грудень</w:t>
            </w:r>
          </w:p>
        </w:tc>
      </w:tr>
      <w:tr w:rsidR="00FD0C03">
        <w:tc>
          <w:tcPr>
            <w:tcW w:w="1153" w:type="dxa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Тепліші кліматичні умови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+2,8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+2,6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+7,4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+12,2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+16,3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+19,8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+21,0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+22,0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+17,0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+11,9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+5,6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+3,2</w:t>
            </w:r>
          </w:p>
        </w:tc>
      </w:tr>
    </w:tbl>
    <w:p w:rsidR="00FD0C03" w:rsidRDefault="00FD0C03">
      <w:pPr>
        <w:widowControl w:val="0"/>
        <w:tabs>
          <w:tab w:val="left" w:pos="550"/>
          <w:tab w:val="left" w:pos="993"/>
        </w:tabs>
        <w:suppressAutoHyphens/>
        <w:overflowPunct w:val="0"/>
        <w:jc w:val="both"/>
        <w:rPr>
          <w:rFonts w:ascii="Cambria" w:eastAsia="SimSun" w:hAnsi="Cambria" w:cs="Calibri"/>
          <w:sz w:val="17"/>
          <w:szCs w:val="17"/>
          <w:lang w:val="uk-UA"/>
        </w:rPr>
      </w:pPr>
    </w:p>
    <w:p w:rsidR="00FD0C03" w:rsidRDefault="00FD0C03">
      <w:pPr>
        <w:widowControl w:val="0"/>
        <w:tabs>
          <w:tab w:val="left" w:pos="550"/>
          <w:tab w:val="left" w:pos="993"/>
        </w:tabs>
        <w:suppressAutoHyphens/>
        <w:overflowPunct w:val="0"/>
        <w:jc w:val="right"/>
        <w:rPr>
          <w:rFonts w:ascii="Times New Roman" w:eastAsia="SimSun" w:hAnsi="Times New Roman"/>
          <w:sz w:val="28"/>
          <w:szCs w:val="28"/>
          <w:lang w:val="uk-UA"/>
        </w:rPr>
      </w:pPr>
    </w:p>
    <w:p w:rsidR="00FD0C03" w:rsidRDefault="00A12828">
      <w:pPr>
        <w:widowControl w:val="0"/>
        <w:tabs>
          <w:tab w:val="left" w:pos="550"/>
          <w:tab w:val="left" w:pos="993"/>
        </w:tabs>
        <w:suppressAutoHyphens/>
        <w:overflowPunct w:val="0"/>
        <w:jc w:val="right"/>
        <w:rPr>
          <w:rFonts w:ascii="Times New Roman" w:eastAsia="SimSun" w:hAnsi="Times New Roman"/>
          <w:sz w:val="28"/>
          <w:szCs w:val="28"/>
          <w:lang w:val="en-US"/>
        </w:rPr>
      </w:pPr>
      <w:r>
        <w:rPr>
          <w:rFonts w:ascii="Times New Roman" w:eastAsia="SimSun" w:hAnsi="Times New Roman"/>
          <w:sz w:val="28"/>
          <w:szCs w:val="28"/>
          <w:lang w:val="uk-UA"/>
        </w:rPr>
        <w:t>Таблиця 6</w:t>
      </w:r>
    </w:p>
    <w:p w:rsidR="00FD0C03" w:rsidRDefault="00A12828">
      <w:pPr>
        <w:widowControl w:val="0"/>
        <w:tabs>
          <w:tab w:val="left" w:pos="550"/>
          <w:tab w:val="left" w:pos="993"/>
        </w:tabs>
        <w:suppressAutoHyphens/>
        <w:overflowPunct w:val="0"/>
        <w:jc w:val="center"/>
        <w:rPr>
          <w:rFonts w:ascii="Times New Roman" w:eastAsia="SimSun" w:hAnsi="Times New Roman"/>
          <w:b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sz w:val="28"/>
          <w:szCs w:val="28"/>
          <w:lang w:val="uk-UA"/>
        </w:rPr>
        <w:t>Середнє сумарне сонячне випромінювання [Вт/м</w:t>
      </w:r>
      <w:r>
        <w:rPr>
          <w:rFonts w:ascii="Times New Roman" w:eastAsia="SimSun" w:hAnsi="Times New Roman"/>
          <w:b/>
          <w:sz w:val="28"/>
          <w:szCs w:val="28"/>
          <w:vertAlign w:val="superscript"/>
          <w:lang w:val="uk-UA"/>
        </w:rPr>
        <w:t>2</w:t>
      </w:r>
      <w:r>
        <w:rPr>
          <w:rFonts w:ascii="Times New Roman" w:eastAsia="SimSun" w:hAnsi="Times New Roman"/>
          <w:b/>
          <w:sz w:val="28"/>
          <w:szCs w:val="28"/>
          <w:lang w:val="uk-UA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1"/>
        <w:gridCol w:w="1098"/>
        <w:gridCol w:w="1100"/>
        <w:gridCol w:w="1126"/>
        <w:gridCol w:w="1111"/>
        <w:gridCol w:w="1117"/>
        <w:gridCol w:w="1118"/>
        <w:gridCol w:w="1108"/>
        <w:gridCol w:w="1120"/>
        <w:gridCol w:w="1131"/>
        <w:gridCol w:w="1125"/>
        <w:gridCol w:w="1136"/>
        <w:gridCol w:w="1119"/>
      </w:tblGrid>
      <w:tr w:rsidR="00FD0C03">
        <w:tc>
          <w:tcPr>
            <w:tcW w:w="1153" w:type="dxa"/>
          </w:tcPr>
          <w:p w:rsidR="00FD0C03" w:rsidRDefault="00FD0C03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Грудень</w:t>
            </w:r>
          </w:p>
        </w:tc>
      </w:tr>
      <w:tr w:rsidR="00FD0C03">
        <w:tc>
          <w:tcPr>
            <w:tcW w:w="1153" w:type="dxa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Тепліші кліматичні умови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1153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149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192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221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222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232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217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176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154" w:type="dxa"/>
            <w:vAlign w:val="center"/>
          </w:tcPr>
          <w:p w:rsidR="00FD0C03" w:rsidRDefault="00A12828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val="uk-UA"/>
              </w:rPr>
              <w:t>56</w:t>
            </w:r>
          </w:p>
        </w:tc>
      </w:tr>
    </w:tbl>
    <w:p w:rsidR="00FD0C03" w:rsidRDefault="00FD0C03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  <w:sectPr w:rsidR="00FD0C0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D0C03" w:rsidRDefault="00FD0C03">
      <w:pPr>
        <w:tabs>
          <w:tab w:val="left" w:pos="567"/>
        </w:tabs>
        <w:spacing w:after="0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A12828">
      <w:pPr>
        <w:tabs>
          <w:tab w:val="left" w:pos="567"/>
        </w:tabs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Таблиця 7</w:t>
      </w:r>
    </w:p>
    <w:p w:rsidR="00FD0C03" w:rsidRDefault="00A12828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Профілі навантаження нагрівання води для комбінованих обігрівачів</w:t>
      </w:r>
    </w:p>
    <w:tbl>
      <w:tblPr>
        <w:tblW w:w="10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974"/>
        <w:gridCol w:w="708"/>
        <w:gridCol w:w="709"/>
        <w:gridCol w:w="972"/>
        <w:gridCol w:w="682"/>
        <w:gridCol w:w="735"/>
        <w:gridCol w:w="916"/>
        <w:gridCol w:w="617"/>
        <w:gridCol w:w="567"/>
        <w:gridCol w:w="944"/>
        <w:gridCol w:w="567"/>
        <w:gridCol w:w="567"/>
        <w:gridCol w:w="567"/>
      </w:tblGrid>
      <w:tr w:rsidR="00FD0C03">
        <w:trPr>
          <w:trHeight w:val="255"/>
          <w:jc w:val="center"/>
        </w:trPr>
        <w:tc>
          <w:tcPr>
            <w:tcW w:w="817" w:type="dxa"/>
            <w:vMerge w:val="restart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Час</w:t>
            </w:r>
          </w:p>
        </w:tc>
        <w:tc>
          <w:tcPr>
            <w:tcW w:w="2391" w:type="dxa"/>
            <w:gridSpan w:val="3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3XS</w:t>
            </w:r>
          </w:p>
        </w:tc>
        <w:tc>
          <w:tcPr>
            <w:tcW w:w="2389" w:type="dxa"/>
            <w:gridSpan w:val="3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XXS</w:t>
            </w:r>
          </w:p>
        </w:tc>
        <w:tc>
          <w:tcPr>
            <w:tcW w:w="2100" w:type="dxa"/>
            <w:gridSpan w:val="3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XS</w:t>
            </w:r>
          </w:p>
        </w:tc>
        <w:tc>
          <w:tcPr>
            <w:tcW w:w="2645" w:type="dxa"/>
            <w:gridSpan w:val="4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S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  <w:vMerge/>
            <w:vAlign w:val="center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708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Tm</w:t>
            </w:r>
            <w:proofErr w:type="spellEnd"/>
          </w:p>
        </w:tc>
        <w:tc>
          <w:tcPr>
            <w:tcW w:w="972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682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735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Tm</w:t>
            </w:r>
            <w:proofErr w:type="spellEnd"/>
          </w:p>
        </w:tc>
        <w:tc>
          <w:tcPr>
            <w:tcW w:w="916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617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567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Tm</w:t>
            </w:r>
            <w:proofErr w:type="spellEnd"/>
          </w:p>
        </w:tc>
        <w:tc>
          <w:tcPr>
            <w:tcW w:w="944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567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567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m</w:t>
            </w:r>
            <w:proofErr w:type="spellEnd"/>
          </w:p>
        </w:tc>
        <w:tc>
          <w:tcPr>
            <w:tcW w:w="567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р</w:t>
            </w:r>
            <w:proofErr w:type="spellEnd"/>
          </w:p>
        </w:tc>
      </w:tr>
      <w:tr w:rsidR="00FD0C03">
        <w:trPr>
          <w:trHeight w:val="255"/>
          <w:jc w:val="center"/>
        </w:trPr>
        <w:tc>
          <w:tcPr>
            <w:tcW w:w="817" w:type="dxa"/>
            <w:vMerge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916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6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07:15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07:26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0,525</w:t>
            </w:r>
          </w:p>
        </w:tc>
        <w:tc>
          <w:tcPr>
            <w:tcW w:w="6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08:01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08:15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08:25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0,525</w:t>
            </w:r>
          </w:p>
        </w:tc>
        <w:tc>
          <w:tcPr>
            <w:tcW w:w="6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0,315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18:15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16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1,05</w:t>
            </w:r>
          </w:p>
        </w:tc>
        <w:tc>
          <w:tcPr>
            <w:tcW w:w="6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0,42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20:46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21:15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82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0,525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21:35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0,015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7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0,105</w:t>
            </w:r>
          </w:p>
        </w:tc>
        <w:tc>
          <w:tcPr>
            <w:tcW w:w="68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16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4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Cs/>
                      <w:sz w:val="20"/>
                      <w:szCs w:val="20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  <w:lang w:val="uk-UA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  <w:lang w:val="uk-UA"/>
                    </w:rPr>
                    <m:t>ref</m:t>
                  </m:r>
                </m:sub>
              </m:sSub>
            </m:oMath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391" w:type="dxa"/>
            <w:gridSpan w:val="3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0,345</w:t>
            </w:r>
          </w:p>
        </w:tc>
        <w:tc>
          <w:tcPr>
            <w:tcW w:w="2389" w:type="dxa"/>
            <w:gridSpan w:val="3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2,100</w:t>
            </w:r>
          </w:p>
        </w:tc>
        <w:tc>
          <w:tcPr>
            <w:tcW w:w="2100" w:type="dxa"/>
            <w:gridSpan w:val="3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2,100</w:t>
            </w:r>
          </w:p>
        </w:tc>
        <w:tc>
          <w:tcPr>
            <w:tcW w:w="2645" w:type="dxa"/>
            <w:gridSpan w:val="4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2,100</w:t>
            </w:r>
          </w:p>
        </w:tc>
      </w:tr>
    </w:tbl>
    <w:p w:rsidR="00FD0C03" w:rsidRDefault="00FD0C03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D0C03" w:rsidRDefault="00FD0C03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D0C03" w:rsidRDefault="00FD0C03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D0C03" w:rsidRDefault="00A12828">
      <w:pPr>
        <w:tabs>
          <w:tab w:val="left" w:pos="567"/>
        </w:tabs>
        <w:spacing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Продовження таблиці 7</w:t>
      </w:r>
    </w:p>
    <w:p w:rsidR="00FD0C03" w:rsidRDefault="00A12828">
      <w:pPr>
        <w:tabs>
          <w:tab w:val="left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Профілі навантаження нагрівання води для комбінованих обігрівачів</w:t>
      </w:r>
    </w:p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974"/>
        <w:gridCol w:w="708"/>
        <w:gridCol w:w="709"/>
        <w:gridCol w:w="709"/>
        <w:gridCol w:w="974"/>
        <w:gridCol w:w="709"/>
        <w:gridCol w:w="709"/>
        <w:gridCol w:w="709"/>
        <w:gridCol w:w="974"/>
        <w:gridCol w:w="709"/>
        <w:gridCol w:w="709"/>
        <w:gridCol w:w="708"/>
      </w:tblGrid>
      <w:tr w:rsidR="00FD0C03">
        <w:trPr>
          <w:trHeight w:val="255"/>
          <w:jc w:val="center"/>
        </w:trPr>
        <w:tc>
          <w:tcPr>
            <w:tcW w:w="817" w:type="dxa"/>
            <w:vMerge w:val="restart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Час</w:t>
            </w:r>
          </w:p>
        </w:tc>
        <w:tc>
          <w:tcPr>
            <w:tcW w:w="3100" w:type="dxa"/>
            <w:gridSpan w:val="4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M</w:t>
            </w:r>
          </w:p>
        </w:tc>
        <w:tc>
          <w:tcPr>
            <w:tcW w:w="3101" w:type="dxa"/>
            <w:gridSpan w:val="4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L</w:t>
            </w:r>
          </w:p>
        </w:tc>
        <w:tc>
          <w:tcPr>
            <w:tcW w:w="3100" w:type="dxa"/>
            <w:gridSpan w:val="4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XL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  <w:vMerge/>
            <w:vAlign w:val="center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708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m</w:t>
            </w:r>
            <w:proofErr w:type="spellEnd"/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р</w:t>
            </w:r>
            <w:proofErr w:type="spellEnd"/>
          </w:p>
        </w:tc>
        <w:tc>
          <w:tcPr>
            <w:tcW w:w="974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m</w:t>
            </w:r>
            <w:proofErr w:type="spellEnd"/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р</w:t>
            </w:r>
            <w:proofErr w:type="spellEnd"/>
          </w:p>
        </w:tc>
        <w:tc>
          <w:tcPr>
            <w:tcW w:w="974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70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m</w:t>
            </w:r>
            <w:proofErr w:type="spellEnd"/>
          </w:p>
        </w:tc>
        <w:tc>
          <w:tcPr>
            <w:tcW w:w="708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р</w:t>
            </w:r>
            <w:proofErr w:type="spellEnd"/>
          </w:p>
        </w:tc>
      </w:tr>
      <w:tr w:rsidR="00FD0C03">
        <w:trPr>
          <w:trHeight w:val="255"/>
          <w:jc w:val="center"/>
        </w:trPr>
        <w:tc>
          <w:tcPr>
            <w:tcW w:w="817" w:type="dxa"/>
            <w:vMerge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1,4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1,4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07:15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1,82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07:26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4,42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08:01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3,605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08:15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08:25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12:45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0,315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0,315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18:15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19:00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19:30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20:46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4,42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21:00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3,605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21:15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21:30</w:t>
            </w: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1,4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4,42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08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21:35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21:45</w:t>
            </w: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74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  <w:jc w:val="center"/>
        </w:trPr>
        <w:tc>
          <w:tcPr>
            <w:tcW w:w="817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uk-U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uk-UA"/>
                      </w:rPr>
                      <m:t>ref</m:t>
                    </m:r>
                  </m:sub>
                </m:sSub>
              </m:oMath>
            </m:oMathPara>
          </w:p>
        </w:tc>
        <w:tc>
          <w:tcPr>
            <w:tcW w:w="3100" w:type="dxa"/>
            <w:gridSpan w:val="4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5,845</w:t>
            </w:r>
          </w:p>
        </w:tc>
        <w:tc>
          <w:tcPr>
            <w:tcW w:w="3101" w:type="dxa"/>
            <w:gridSpan w:val="4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11,655</w:t>
            </w:r>
          </w:p>
        </w:tc>
        <w:tc>
          <w:tcPr>
            <w:tcW w:w="3100" w:type="dxa"/>
            <w:gridSpan w:val="4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19,07</w:t>
            </w:r>
          </w:p>
        </w:tc>
      </w:tr>
    </w:tbl>
    <w:p w:rsidR="00FD0C03" w:rsidRDefault="00FD0C03">
      <w:pPr>
        <w:tabs>
          <w:tab w:val="left" w:pos="567"/>
        </w:tabs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FD0C03">
      <w:pPr>
        <w:tabs>
          <w:tab w:val="left" w:pos="567"/>
        </w:tabs>
        <w:spacing w:after="0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D0C03" w:rsidRDefault="00A12828">
      <w:pPr>
        <w:tabs>
          <w:tab w:val="left" w:pos="567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Продовження таблиці 7</w:t>
      </w:r>
    </w:p>
    <w:p w:rsidR="00FD0C03" w:rsidRDefault="00A12828">
      <w:pPr>
        <w:tabs>
          <w:tab w:val="left" w:pos="567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Профілі навантаження нагрівання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води для комбінованих обігрівачів</w:t>
      </w:r>
    </w:p>
    <w:tbl>
      <w:tblPr>
        <w:tblpPr w:leftFromText="180" w:rightFromText="180" w:vertAnchor="text" w:horzAnchor="margin" w:tblpX="324" w:tblpY="218"/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2"/>
        <w:gridCol w:w="1843"/>
        <w:gridCol w:w="1843"/>
        <w:gridCol w:w="1701"/>
        <w:gridCol w:w="1559"/>
      </w:tblGrid>
      <w:tr w:rsidR="00FD0C03">
        <w:trPr>
          <w:trHeight w:val="255"/>
        </w:trPr>
        <w:tc>
          <w:tcPr>
            <w:tcW w:w="2052" w:type="dxa"/>
            <w:vMerge w:val="restart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Час</w:t>
            </w:r>
          </w:p>
        </w:tc>
        <w:tc>
          <w:tcPr>
            <w:tcW w:w="6946" w:type="dxa"/>
            <w:gridSpan w:val="4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XXL</w:t>
            </w:r>
          </w:p>
        </w:tc>
      </w:tr>
      <w:tr w:rsidR="00FD0C03">
        <w:trPr>
          <w:trHeight w:val="255"/>
        </w:trPr>
        <w:tc>
          <w:tcPr>
            <w:tcW w:w="2052" w:type="dxa"/>
            <w:vMerge/>
            <w:vAlign w:val="center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Qtap</w:t>
            </w:r>
            <w:proofErr w:type="spellEnd"/>
          </w:p>
        </w:tc>
        <w:tc>
          <w:tcPr>
            <w:tcW w:w="1843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f</w:t>
            </w:r>
          </w:p>
        </w:tc>
        <w:tc>
          <w:tcPr>
            <w:tcW w:w="1701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m</w:t>
            </w:r>
            <w:proofErr w:type="spellEnd"/>
          </w:p>
        </w:tc>
        <w:tc>
          <w:tcPr>
            <w:tcW w:w="1559" w:type="dxa"/>
            <w:vAlign w:val="center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uk-UA" w:eastAsia="ru-RU"/>
              </w:rPr>
              <w:t>р</w:t>
            </w:r>
            <w:proofErr w:type="spellEnd"/>
          </w:p>
        </w:tc>
      </w:tr>
      <w:tr w:rsidR="00FD0C03">
        <w:trPr>
          <w:trHeight w:val="255"/>
        </w:trPr>
        <w:tc>
          <w:tcPr>
            <w:tcW w:w="2052" w:type="dxa"/>
            <w:vMerge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кВт/год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л/хв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uk-UA" w:eastAsia="ru-RU"/>
              </w:rPr>
              <w:t>°С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07:05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07:15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1,82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07:26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07:30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07:45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6,24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08:01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08:05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08:15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08:25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08:45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09:30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11:45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12:00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12:30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12:45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18:15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-42" w:right="-88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19:00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19:30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20:00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0,735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20:45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20:46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6,24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21:00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21:15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0,105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21:30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6,24</w:t>
            </w:r>
          </w:p>
        </w:tc>
        <w:tc>
          <w:tcPr>
            <w:tcW w:w="1843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701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559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21:35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255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21:45</w:t>
            </w: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</w:tcPr>
          <w:p w:rsidR="00FD0C03" w:rsidRDefault="00FD0C0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D0C03">
        <w:trPr>
          <w:trHeight w:val="391"/>
        </w:trPr>
        <w:tc>
          <w:tcPr>
            <w:tcW w:w="2052" w:type="dxa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Cs/>
                        <w:sz w:val="20"/>
                        <w:szCs w:val="20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uk-U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uk-UA"/>
                      </w:rPr>
                      <m:t>ref</m:t>
                    </m:r>
                  </m:sub>
                </m:sSub>
              </m:oMath>
            </m:oMathPara>
          </w:p>
        </w:tc>
        <w:tc>
          <w:tcPr>
            <w:tcW w:w="6946" w:type="dxa"/>
            <w:gridSpan w:val="4"/>
          </w:tcPr>
          <w:p w:rsidR="00FD0C03" w:rsidRDefault="00A12828">
            <w:pPr>
              <w:tabs>
                <w:tab w:val="left" w:pos="567"/>
              </w:tabs>
              <w:spacing w:after="0" w:line="240" w:lineRule="auto"/>
              <w:ind w:left="552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24,53</w:t>
            </w:r>
          </w:p>
        </w:tc>
      </w:tr>
    </w:tbl>
    <w:p w:rsidR="00FD0C03" w:rsidRDefault="00FD0C03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FD0C03">
      <w:headerReference w:type="firs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828" w:rsidRDefault="00A12828">
      <w:pPr>
        <w:spacing w:after="0" w:line="240" w:lineRule="auto"/>
      </w:pPr>
      <w:r>
        <w:separator/>
      </w:r>
    </w:p>
  </w:endnote>
  <w:endnote w:type="continuationSeparator" w:id="0">
    <w:p w:rsidR="00A12828" w:rsidRDefault="00A1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828" w:rsidRDefault="00A12828">
      <w:pPr>
        <w:spacing w:after="0" w:line="240" w:lineRule="auto"/>
      </w:pPr>
      <w:r>
        <w:separator/>
      </w:r>
    </w:p>
  </w:footnote>
  <w:footnote w:type="continuationSeparator" w:id="0">
    <w:p w:rsidR="00A12828" w:rsidRDefault="00A12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03" w:rsidRPr="00D4098A" w:rsidRDefault="00A12828">
    <w:pPr>
      <w:framePr w:h="354" w:hRule="exact" w:wrap="around" w:vAnchor="text" w:hAnchor="page" w:x="6563" w:y="-29"/>
      <w:jc w:val="center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 w:rsidR="00D4098A">
      <w:rPr>
        <w:rFonts w:ascii="Times New Roman" w:hAnsi="Times New Roman"/>
        <w:noProof/>
        <w:sz w:val="28"/>
        <w:szCs w:val="28"/>
      </w:rPr>
      <w:t>10</w:t>
    </w:r>
    <w:r>
      <w:rPr>
        <w:rFonts w:ascii="Times New Roman" w:hAnsi="Times New Roman"/>
        <w:sz w:val="28"/>
        <w:szCs w:val="28"/>
      </w:rPr>
      <w:fldChar w:fldCharType="end"/>
    </w:r>
    <w:r w:rsidR="00D4098A">
      <w:rPr>
        <w:rFonts w:ascii="Times New Roman" w:hAnsi="Times New Roman"/>
        <w:sz w:val="28"/>
        <w:szCs w:val="28"/>
        <w:lang w:val="uk-UA"/>
      </w:rPr>
      <w:t xml:space="preserve"> </w:t>
    </w:r>
  </w:p>
  <w:p w:rsidR="00D4098A" w:rsidRPr="00823266" w:rsidRDefault="00D4098A" w:rsidP="00D4098A">
    <w:pPr>
      <w:pStyle w:val="a6"/>
      <w:tabs>
        <w:tab w:val="clear" w:pos="4677"/>
      </w:tabs>
      <w:jc w:val="right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 xml:space="preserve">                                                                                              </w:t>
    </w:r>
    <w:r w:rsidRPr="00823266">
      <w:rPr>
        <w:rFonts w:ascii="Times New Roman" w:hAnsi="Times New Roman"/>
        <w:sz w:val="28"/>
        <w:szCs w:val="28"/>
        <w:lang w:val="uk-UA"/>
      </w:rPr>
      <w:t xml:space="preserve">Продовження додатка </w:t>
    </w:r>
    <w:r>
      <w:rPr>
        <w:rFonts w:ascii="Times New Roman" w:hAnsi="Times New Roman"/>
        <w:sz w:val="28"/>
        <w:szCs w:val="28"/>
        <w:lang w:val="uk-UA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03" w:rsidRDefault="00FD0C03">
    <w:pPr>
      <w:pStyle w:val="a6"/>
      <w:jc w:val="center"/>
      <w:rPr>
        <w:rFonts w:ascii="Times New Roman" w:hAnsi="Times New Roman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03" w:rsidRDefault="00FD0C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03"/>
    <w:rsid w:val="00A12828"/>
    <w:rsid w:val="00D4098A"/>
    <w:rsid w:val="00FD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77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customStyle="1" w:styleId="aa">
    <w:name w:val="Назва документа"/>
    <w:basedOn w:val="a"/>
    <w:next w:val="a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ab">
    <w:name w:val="Базовый"/>
    <w:uiPriority w:val="99"/>
    <w:pPr>
      <w:widowControl w:val="0"/>
      <w:suppressAutoHyphens/>
      <w:overflowPunct w:val="0"/>
      <w:spacing w:after="200" w:line="276" w:lineRule="auto"/>
    </w:pPr>
    <w:rPr>
      <w:rFonts w:ascii="EUAlbertina" w:eastAsia="SimSun" w:hAnsi="EUAlbertina" w:cs="Calibri"/>
      <w:color w:val="00000A"/>
      <w:sz w:val="24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889D-49B3-4F5C-BD9E-934E0C04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2076</Words>
  <Characters>11838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2020-04-23T12:11:00Z</dcterms:created>
  <dcterms:modified xsi:type="dcterms:W3CDTF">2020-05-15T14:23:00Z</dcterms:modified>
</cp:coreProperties>
</file>