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Додаток 8</w:t>
      </w:r>
    </w:p>
    <w:p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 Технічного регламенту</w:t>
      </w:r>
    </w:p>
    <w:p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енергетичного маркування</w:t>
      </w:r>
    </w:p>
    <w:p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обігрівачів приміщень, комбінованих</w:t>
      </w:r>
    </w:p>
    <w:p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обігрівачів, комплектів з обігрівача</w:t>
      </w:r>
    </w:p>
    <w:p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приміщень, регулятора температури і</w:t>
      </w:r>
    </w:p>
    <w:p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сонячної установки та комплектів</w:t>
      </w:r>
    </w:p>
    <w:p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комбінованого обігрівача,</w:t>
      </w:r>
    </w:p>
    <w:p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регулятора температури і</w:t>
      </w:r>
    </w:p>
    <w:p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сонячної установки </w:t>
      </w:r>
    </w:p>
    <w:p>
      <w:pPr>
        <w:spacing w:after="0" w:line="240" w:lineRule="auto"/>
        <w:ind w:left="482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( пункт 2 розділу </w:t>
      </w:r>
      <w:r>
        <w:rPr>
          <w:rFonts w:ascii="Times New Roman" w:hAnsi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Cs/>
          <w:sz w:val="28"/>
          <w:szCs w:val="28"/>
        </w:rPr>
        <w:t>)</w:t>
      </w:r>
    </w:p>
    <w:p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Процедура проведення перевірки відповідності фактичних технічних характеристик обігрівачів приміщень, комбінованих</w:t>
      </w:r>
    </w:p>
    <w:p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обігрівачів, комплектів з обігрівача приміщень, регулятора температури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br/>
        <w:t>і сонячної установки та комплектів з комбінованого обігрівача,</w:t>
      </w:r>
    </w:p>
    <w:p>
      <w:pPr>
        <w:spacing w:after="12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регулятора температури і сонячної установки</w:t>
      </w:r>
    </w:p>
    <w:p>
      <w:pPr>
        <w:autoSpaceDE w:val="0"/>
        <w:autoSpaceDN w:val="0"/>
        <w:spacing w:before="24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1. Перевірці підлягає один обігрівач приміщення, комбінований обігрівач, комплект з обігрівача приміщень, регулятора температури і сонячної установки та комплект з комбінованого обігрівача, регулятора температури і сонячної установки для кожної моделі.</w:t>
      </w:r>
    </w:p>
    <w:p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2. Модель обігрівача приміщення, комбінованого обігрівача, комплекту </w:t>
      </w:r>
      <w:r>
        <w:rPr>
          <w:rFonts w:ascii="Times New Roman" w:eastAsia="Times New Roman" w:hAnsi="Times New Roman"/>
          <w:sz w:val="28"/>
          <w:szCs w:val="28"/>
          <w:lang w:val="uk-UA"/>
        </w:rPr>
        <w:br/>
        <w:t>з обігрівача приміщень, регулятора температури і сонячної установки та комплекту з комбінованого обігрівача, регулятора температури і сонячної установки вважається такою, що відповідає вимогам Технічного регламенту</w:t>
      </w:r>
      <w:r>
        <w:rPr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енергетичного маркування обігрівачів приміщень, комбінованих обігрівачів, комплектів з обігрівача приміщень, регулятора температури і сонячної установки та комплектів з комбінованого обігрівача, регулятора температури і сонячної установки (далі – Технічний регламент), якщо:</w:t>
      </w:r>
    </w:p>
    <w:p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значення, наведені в технічній документації та (де це можливо) значення, що використовуються для обчислення цих значень, не є сприятливішими для постачальника, ніж результати відповідних вимірювань;</w:t>
      </w:r>
    </w:p>
    <w:p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значення, опубліковані на етикетці та на мікрофіші, не сприятливіший для постачальника, ніж заявлені значення, а вказаний клас енергоефективності не сприятливіший для постачальника, ніж клас, визначений заявленими значеннями;</w:t>
      </w:r>
    </w:p>
    <w:p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у разі перевірки органами державного ринкового нагляду обігрівача приміщення, комбінованого обігрівача, комплекту з обігрівача приміщень, регулятора температури і сонячної установки та комплекту з комбінованого обігрівача, регулятора температури і сонячної установки вказані значення (значення відповідних параметрів, виміряні під час перевірки, та значення, які обчислюються на основі цих вимірювань) відповідають допустимим похибкам, наведеним у цьому додатку.</w:t>
      </w:r>
    </w:p>
    <w:p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3. Якщо результатів, зазначених в абзаці другому або третьому пункту 2 цього додатка, не досягнуто, модель, а також інші моделі, які зазначені у технічній документації як еквівалентні, вважаються такими, що не відповідають вимогам Технічного регламенту.</w:t>
      </w:r>
    </w:p>
    <w:p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4. Якщо результату, зазначеного в абзаці четвертому пункту 2 цього додатка, не досягнуто, органи державного ринкового нагляду вибирають три додаткові обігрівачі приміщення, комбіновані обігрівачі, комплекти з обігрівача приміщень, регулятора температури і сонячної установки та комплекти з комбінованого обігрівача, регулятора температури і сонячної установки</w:t>
      </w:r>
      <w:r>
        <w:rPr>
          <w:rFonts w:ascii="Times New Roman" w:eastAsia="Times New Roman" w:hAnsi="Times New Roman"/>
          <w:spacing w:val="-2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тієї самої моделі для перевірки.</w:t>
      </w:r>
      <w:r>
        <w:rPr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Як альтернатива три додаткових водонагрівачі, баки-акумулятори та три комплекти з обігрівачів приміщення, комбінованих обігрівачів, комплекти з обігрівача приміщень, регулятора температури і сонячної установки та комплекти з комбінованого обігрівача, регулятора температури і сонячної установки можуть бути однієї моделі або іншими моделями, які зазначені в технічній документації як еквівалентні.</w:t>
      </w:r>
    </w:p>
    <w:p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5.</w:t>
      </w:r>
      <w:r>
        <w:rPr>
          <w:rFonts w:ascii="Times New Roman" w:eastAsia="Times New Roman" w:hAnsi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/>
          <w:sz w:val="28"/>
          <w:szCs w:val="28"/>
          <w:lang w:val="uk-UA"/>
        </w:rPr>
        <w:t>Модель вважається такою, що відповідає вимогам, якщо для цих трьох обігрівачів приміщень, комбінованих обігрівачів, комплектів з обігрівача приміщень, регулятора температури і сонячної установки та комплектів з комбінованого обігрівача, регулятора температури і сонячної установки середнє арифметичне значення відповідає допустимим похибкам, наведеним у цьому додатку.</w:t>
      </w:r>
    </w:p>
    <w:p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6.</w:t>
      </w:r>
      <w:r>
        <w:rPr>
          <w:rFonts w:ascii="Times New Roman" w:eastAsia="Times New Roman" w:hAnsi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/>
          <w:sz w:val="28"/>
          <w:szCs w:val="28"/>
          <w:lang w:val="uk-UA"/>
        </w:rPr>
        <w:t>Якщо результату, зазначеного у пункті 5, не досягнуто, модель обігрівача приміщення, комбінованого обігрівача, комплекту з обігрівача приміщень, регулятора температури і сонячної установки та комплекту з комбінованого обігрівача, регулятора температури і сонячної установки, а також інші моделі, які зазначені в технічній документації як еквівалентні, вважаються такими, що не відповідають вимогам Технічного регламенту.</w:t>
      </w:r>
    </w:p>
    <w:p>
      <w:pPr>
        <w:tabs>
          <w:tab w:val="left" w:pos="567"/>
        </w:tabs>
        <w:spacing w:before="240" w:after="24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Допустимі похибки*</w:t>
      </w:r>
    </w:p>
    <w:tbl>
      <w:tblPr>
        <w:tblW w:w="0" w:type="auto"/>
        <w:tblInd w:w="5" w:type="dxa"/>
        <w:tblBorders>
          <w:top w:val="single" w:sz="4" w:space="0" w:color="19161B"/>
          <w:left w:val="single" w:sz="4" w:space="0" w:color="19161B"/>
          <w:bottom w:val="single" w:sz="4" w:space="0" w:color="19161B"/>
          <w:right w:val="single" w:sz="4" w:space="0" w:color="19161B"/>
          <w:insideH w:val="single" w:sz="4" w:space="0" w:color="19161B"/>
          <w:insideV w:val="single" w:sz="4" w:space="0" w:color="19161B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815"/>
      </w:tblGrid>
      <w:tr>
        <w:trPr>
          <w:trHeight w:hRule="exact" w:val="667"/>
        </w:trPr>
        <w:tc>
          <w:tcPr>
            <w:tcW w:w="4536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Параметри, за якими проводиться перевірка</w:t>
            </w:r>
          </w:p>
        </w:tc>
        <w:tc>
          <w:tcPr>
            <w:tcW w:w="4815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val="uk-UA" w:eastAsia="ru-RU"/>
              </w:rPr>
              <w:t>Допустимі похибки</w:t>
            </w:r>
          </w:p>
        </w:tc>
      </w:tr>
      <w:tr>
        <w:trPr>
          <w:trHeight w:hRule="exact" w:val="781"/>
        </w:trPr>
        <w:tc>
          <w:tcPr>
            <w:tcW w:w="4536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Сезонна енергоефективність обігріву приміщення, </w:t>
            </w:r>
            <m:oMath>
              <m:sSub>
                <m:sSubPr>
                  <m:ctrlPr>
                    <w:rPr>
                      <w:rFonts w:ascii="Cambria Math" w:eastAsia="Palatino Linotype" w:hAnsi="Cambria Math"/>
                      <w:sz w:val="24"/>
                      <w:szCs w:val="24"/>
                      <w:lang w:val="uk-U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Palatino Linotype" w:hAnsi="Cambria Math"/>
                      <w:sz w:val="24"/>
                      <w:szCs w:val="24"/>
                      <w:lang w:val="uk-UA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Palatino Linotype" w:hAnsi="Cambria Math"/>
                      <w:sz w:val="24"/>
                      <w:szCs w:val="24"/>
                      <w:lang w:val="en-US"/>
                    </w:rPr>
                    <m:t>s</m:t>
                  </m:r>
                </m:sub>
              </m:sSub>
            </m:oMath>
          </w:p>
        </w:tc>
        <w:tc>
          <w:tcPr>
            <w:tcW w:w="4815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Не повинно бути нижче зазначеного значення більше ніж на 8 %</w:t>
            </w:r>
          </w:p>
        </w:tc>
      </w:tr>
      <w:tr>
        <w:trPr>
          <w:trHeight w:hRule="exact" w:val="706"/>
        </w:trPr>
        <w:tc>
          <w:tcPr>
            <w:tcW w:w="4536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Енергоефективність нагріву води, 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val="uk-U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uk-UA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uk-UA"/>
                    </w:rPr>
                    <m:t>wh</m:t>
                  </m:r>
                </m:sub>
              </m:sSub>
            </m:oMath>
          </w:p>
        </w:tc>
        <w:tc>
          <w:tcPr>
            <w:tcW w:w="4815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Не повинно перевищувати бути нижче зазначеного значення більше ніж на 8 %</w:t>
            </w:r>
          </w:p>
        </w:tc>
      </w:tr>
      <w:tr>
        <w:trPr>
          <w:trHeight w:hRule="exact" w:val="705"/>
        </w:trPr>
        <w:tc>
          <w:tcPr>
            <w:tcW w:w="4536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Рівень звукової потужності,</w:t>
            </w:r>
            <w:r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  <w:lang w:val="uk-UA" w:eastAsia="ru-RU"/>
              </w:rPr>
              <w:t xml:space="preserve"> L</w:t>
            </w:r>
            <w:r>
              <w:rPr>
                <w:rFonts w:ascii="Times New Roman" w:eastAsia="Times New Roman" w:hAnsi="Times New Roman"/>
                <w:iCs/>
                <w:spacing w:val="-1"/>
                <w:position w:val="-4"/>
                <w:sz w:val="24"/>
                <w:szCs w:val="24"/>
                <w:vertAlign w:val="subscript"/>
                <w:lang w:val="uk-UA" w:eastAsia="ru-RU"/>
              </w:rPr>
              <w:t>WA</w:t>
            </w:r>
          </w:p>
        </w:tc>
        <w:tc>
          <w:tcPr>
            <w:tcW w:w="4815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Не повинно перевищувати зазначеного значення більше ніж на 2 дБ</w:t>
            </w:r>
          </w:p>
        </w:tc>
      </w:tr>
      <w:tr>
        <w:trPr>
          <w:trHeight w:hRule="exact" w:val="715"/>
        </w:trPr>
        <w:tc>
          <w:tcPr>
            <w:tcW w:w="4536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Клас регулятора температури</w:t>
            </w:r>
          </w:p>
        </w:tc>
        <w:tc>
          <w:tcPr>
            <w:tcW w:w="4815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Клас регулятора температури відповідає зазначеному класу за одиницю</w:t>
            </w:r>
          </w:p>
        </w:tc>
      </w:tr>
      <w:tr>
        <w:trPr>
          <w:trHeight w:hRule="exact" w:val="711"/>
        </w:trPr>
        <w:tc>
          <w:tcPr>
            <w:tcW w:w="4536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Енергоефективність колектора, 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val="uk-U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uk-UA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uk-UA"/>
                    </w:rPr>
                    <m:t>col</m:t>
                  </m:r>
                </m:sub>
              </m:sSub>
            </m:oMath>
          </w:p>
        </w:tc>
        <w:tc>
          <w:tcPr>
            <w:tcW w:w="4815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Не повинно перевищувати бути нижче зазначеного значення більше ніж на 5%</w:t>
            </w:r>
          </w:p>
        </w:tc>
      </w:tr>
      <w:tr>
        <w:trPr>
          <w:trHeight w:hRule="exact" w:val="565"/>
        </w:trPr>
        <w:tc>
          <w:tcPr>
            <w:tcW w:w="4536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4"/>
                <w:szCs w:val="24"/>
                <w:lang w:val="uk-UA" w:eastAsia="ru-RU"/>
              </w:rPr>
              <w:lastRenderedPageBreak/>
              <w:t>Постійні теплові втрати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S</w:t>
            </w:r>
          </w:p>
        </w:tc>
        <w:tc>
          <w:tcPr>
            <w:tcW w:w="4815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Не повинно перевищувати зазначеного значення більше ніж на 5%</w:t>
            </w:r>
          </w:p>
        </w:tc>
      </w:tr>
      <w:tr>
        <w:trPr>
          <w:trHeight w:hRule="exact" w:val="838"/>
        </w:trPr>
        <w:tc>
          <w:tcPr>
            <w:tcW w:w="4536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Споживання електроенергії для власних потреб Q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uk-UA" w:eastAsia="ru-RU"/>
              </w:rPr>
              <w:t>aux</w:t>
            </w:r>
          </w:p>
        </w:tc>
        <w:tc>
          <w:tcPr>
            <w:tcW w:w="4815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Не повинно перевищувати зазначеного значення більше ніж на 5%</w:t>
            </w:r>
          </w:p>
        </w:tc>
      </w:tr>
    </w:tbl>
    <w:p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*Допустимі похибки, зазначені в цьому додатку, стосуються лише перевірки вимірюваних параметрів органами державного ринкового нагляду та не повинні використовуватися постачальником як допустимі похибки для встановлення значень у технічній документації. Значення та класи на етикетці або мікрофіші не є більш сприятливими для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постачальника, ніж значення, зазначені в технічній документації.</w:t>
      </w:r>
    </w:p>
    <w:sectPr>
      <w:headerReference w:type="default" r:id="rId7"/>
      <w:pgSz w:w="11906" w:h="16838"/>
      <w:pgMar w:top="709" w:right="851" w:bottom="993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framePr w:h="391" w:hRule="exact" w:wrap="around" w:vAnchor="text" w:hAnchor="page" w:x="6136" w:y="1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a6"/>
      <w:spacing w:after="0"/>
      <w:jc w:val="right"/>
      <w:rPr>
        <w:rFonts w:ascii="Times New Roman" w:hAnsi="Times New Roman"/>
        <w:sz w:val="28"/>
        <w:szCs w:val="28"/>
        <w:lang w:val="en-US"/>
      </w:rPr>
    </w:pPr>
    <w:r>
      <w:rPr>
        <w:rFonts w:ascii="Times New Roman" w:hAnsi="Times New Roman"/>
        <w:sz w:val="28"/>
        <w:szCs w:val="28"/>
        <w:lang w:val="uk-UA"/>
      </w:rPr>
      <w:t xml:space="preserve">Продовження додатка </w:t>
    </w:r>
    <w:r>
      <w:rPr>
        <w:rFonts w:ascii="Times New Roman" w:hAnsi="Times New Roman"/>
        <w:sz w:val="28"/>
        <w:szCs w:val="28"/>
        <w:lang w:val="en-US"/>
      </w:rPr>
      <w:t>8</w:t>
    </w:r>
  </w:p>
  <w:p>
    <w:pPr>
      <w:pStyle w:val="a6"/>
      <w:spacing w:after="0"/>
      <w:jc w:val="right"/>
      <w:rPr>
        <w:rFonts w:ascii="Times New Roman" w:hAnsi="Times New Roman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41C700-41BF-4EB1-801B-20E5EE50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4">
    <w:name w:val="Содержимое таблицы"/>
    <w:basedOn w:val="a"/>
    <w:uiPriority w:val="99"/>
    <w:pPr>
      <w:widowControl w:val="0"/>
      <w:suppressAutoHyphens/>
      <w:overflowPunct w:val="0"/>
    </w:pPr>
    <w:rPr>
      <w:rFonts w:ascii="EUAlbertina" w:eastAsia="SimSun" w:hAnsi="EUAlbertina" w:cs="Calibri"/>
      <w:color w:val="00000A"/>
      <w:sz w:val="24"/>
    </w:rPr>
  </w:style>
  <w:style w:type="paragraph" w:styleId="a5">
    <w:name w:val="List Paragraph"/>
    <w:basedOn w:val="a"/>
    <w:uiPriority w:val="1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Pr>
      <w:sz w:val="22"/>
      <w:szCs w:val="22"/>
      <w:lang w:eastAsia="en-US"/>
    </w:rPr>
  </w:style>
  <w:style w:type="paragraph" w:customStyle="1" w:styleId="aa">
    <w:name w:val="Назва документа"/>
    <w:basedOn w:val="a"/>
    <w:next w:val="a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val="uk-UA" w:eastAsia="ru-RU"/>
    </w:rPr>
  </w:style>
  <w:style w:type="paragraph" w:customStyle="1" w:styleId="ab">
    <w:name w:val="Базовый"/>
    <w:uiPriority w:val="99"/>
    <w:pPr>
      <w:widowControl w:val="0"/>
      <w:suppressAutoHyphens/>
      <w:overflowPunct w:val="0"/>
      <w:spacing w:after="200" w:line="276" w:lineRule="auto"/>
    </w:pPr>
    <w:rPr>
      <w:rFonts w:ascii="EUAlbertina" w:eastAsia="SimSun" w:hAnsi="EUAlbertina" w:cs="Calibri"/>
      <w:color w:val="00000A"/>
      <w:sz w:val="24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Courier New"/>
    </w:rPr>
  </w:style>
  <w:style w:type="character" w:styleId="a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33D7C-2CC1-4918-BA0E-B59C82150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3403</Words>
  <Characters>1941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Mahmurov</dc:creator>
  <cp:lastModifiedBy>Оксана Плахотнюк</cp:lastModifiedBy>
  <cp:revision>15</cp:revision>
  <cp:lastPrinted>2018-12-12T12:00:00Z</cp:lastPrinted>
  <dcterms:created xsi:type="dcterms:W3CDTF">2019-08-30T07:30:00Z</dcterms:created>
  <dcterms:modified xsi:type="dcterms:W3CDTF">2020-04-23T15:03:00Z</dcterms:modified>
</cp:coreProperties>
</file>