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53D97" w14:textId="77777777" w:rsidR="003132BA" w:rsidRPr="003132BA" w:rsidRDefault="003132BA" w:rsidP="003132BA">
      <w:pPr>
        <w:pStyle w:val="a3"/>
        <w:widowControl/>
        <w:spacing w:before="60" w:after="60" w:line="276" w:lineRule="auto"/>
        <w:ind w:left="6096"/>
        <w:jc w:val="center"/>
        <w:rPr>
          <w:iCs/>
          <w:spacing w:val="0"/>
          <w:kern w:val="0"/>
          <w:position w:val="0"/>
          <w:sz w:val="28"/>
          <w:szCs w:val="28"/>
          <w:lang w:val="uk-UA"/>
        </w:rPr>
      </w:pPr>
      <w:r w:rsidRPr="003132BA">
        <w:rPr>
          <w:iCs/>
          <w:spacing w:val="0"/>
          <w:kern w:val="0"/>
          <w:position w:val="0"/>
          <w:sz w:val="28"/>
          <w:szCs w:val="28"/>
          <w:lang w:val="uk-UA"/>
        </w:rPr>
        <w:t xml:space="preserve">Додаток </w:t>
      </w:r>
      <w:r w:rsidR="00F83DDE">
        <w:rPr>
          <w:iCs/>
          <w:spacing w:val="0"/>
          <w:kern w:val="0"/>
          <w:position w:val="0"/>
          <w:sz w:val="28"/>
          <w:szCs w:val="28"/>
          <w:lang w:val="uk-UA"/>
        </w:rPr>
        <w:t>5</w:t>
      </w:r>
    </w:p>
    <w:p w14:paraId="3DE86B46" w14:textId="77777777" w:rsidR="003132BA" w:rsidRPr="003132BA" w:rsidRDefault="003132BA" w:rsidP="003132BA">
      <w:pPr>
        <w:pStyle w:val="a3"/>
        <w:widowControl/>
        <w:spacing w:before="60" w:after="60" w:line="276" w:lineRule="auto"/>
        <w:ind w:left="6096"/>
        <w:jc w:val="center"/>
        <w:rPr>
          <w:iCs/>
          <w:spacing w:val="0"/>
          <w:kern w:val="0"/>
          <w:position w:val="0"/>
          <w:sz w:val="28"/>
          <w:szCs w:val="28"/>
          <w:lang w:val="uk-UA"/>
        </w:rPr>
      </w:pPr>
      <w:r w:rsidRPr="003132BA">
        <w:rPr>
          <w:iCs/>
          <w:spacing w:val="0"/>
          <w:kern w:val="0"/>
          <w:position w:val="0"/>
          <w:sz w:val="28"/>
          <w:szCs w:val="28"/>
          <w:lang w:val="uk-UA"/>
        </w:rPr>
        <w:t>до Технічного регламенту</w:t>
      </w:r>
    </w:p>
    <w:p w14:paraId="186836B9" w14:textId="77777777" w:rsidR="003132BA" w:rsidRPr="003132BA" w:rsidRDefault="003132BA" w:rsidP="003132BA">
      <w:pPr>
        <w:pStyle w:val="a3"/>
        <w:widowControl/>
        <w:spacing w:before="60" w:after="60" w:line="276" w:lineRule="auto"/>
        <w:jc w:val="center"/>
        <w:rPr>
          <w:b/>
          <w:spacing w:val="0"/>
          <w:kern w:val="0"/>
          <w:position w:val="0"/>
          <w:sz w:val="28"/>
          <w:szCs w:val="28"/>
          <w:lang w:val="uk-UA"/>
        </w:rPr>
      </w:pPr>
    </w:p>
    <w:p w14:paraId="710805F6" w14:textId="77777777" w:rsidR="00F83DDE" w:rsidRDefault="003132BA" w:rsidP="001E40F2">
      <w:pPr>
        <w:pStyle w:val="a3"/>
        <w:widowControl/>
        <w:spacing w:before="60" w:after="120" w:line="276" w:lineRule="auto"/>
        <w:jc w:val="center"/>
        <w:rPr>
          <w:b/>
          <w:spacing w:val="0"/>
          <w:kern w:val="0"/>
          <w:position w:val="0"/>
          <w:sz w:val="28"/>
          <w:szCs w:val="28"/>
          <w:lang w:val="uk-UA"/>
        </w:rPr>
      </w:pPr>
      <w:r w:rsidRPr="006C43A3">
        <w:rPr>
          <w:b/>
          <w:spacing w:val="0"/>
          <w:kern w:val="0"/>
          <w:position w:val="0"/>
          <w:sz w:val="28"/>
          <w:szCs w:val="28"/>
          <w:lang w:val="uk-UA"/>
        </w:rPr>
        <w:t>О</w:t>
      </w:r>
      <w:r w:rsidR="00F53B7A">
        <w:rPr>
          <w:b/>
          <w:spacing w:val="0"/>
          <w:kern w:val="0"/>
          <w:position w:val="0"/>
          <w:sz w:val="28"/>
          <w:szCs w:val="28"/>
          <w:lang w:val="uk-UA"/>
        </w:rPr>
        <w:t>рієнтовні еталонні показники</w:t>
      </w:r>
    </w:p>
    <w:p w14:paraId="5BD99564" w14:textId="77777777" w:rsidR="00023327" w:rsidRPr="00023327" w:rsidRDefault="00560643" w:rsidP="008E256B">
      <w:pPr>
        <w:pStyle w:val="a3"/>
        <w:widowControl/>
        <w:spacing w:before="60" w:after="60" w:line="276" w:lineRule="auto"/>
        <w:ind w:firstLine="567"/>
        <w:jc w:val="both"/>
        <w:rPr>
          <w:rFonts w:eastAsia="Palatino Linotype"/>
          <w:color w:val="000000"/>
          <w:sz w:val="28"/>
          <w:szCs w:val="28"/>
          <w:lang w:val="uk-UA" w:eastAsia="en-GB"/>
        </w:rPr>
      </w:pPr>
      <w:r>
        <w:rPr>
          <w:rFonts w:eastAsia="Palatino Linotype"/>
          <w:color w:val="000000"/>
          <w:sz w:val="28"/>
          <w:szCs w:val="28"/>
          <w:lang w:val="uk-UA" w:eastAsia="en-GB"/>
        </w:rPr>
        <w:t>Орієнтовні е</w:t>
      </w:r>
      <w:r w:rsidR="00F83DDE" w:rsidRPr="00F83DDE">
        <w:rPr>
          <w:rFonts w:eastAsia="Palatino Linotype"/>
          <w:color w:val="000000"/>
          <w:sz w:val="28"/>
          <w:szCs w:val="28"/>
          <w:lang w:val="uk-UA" w:eastAsia="en-GB"/>
        </w:rPr>
        <w:t>талонні показники для технологій, що існують станом на дату набрання чинності Технічного регламенту</w:t>
      </w:r>
      <w:r w:rsidR="001E40F2" w:rsidRPr="001E40F2">
        <w:rPr>
          <w:lang w:val="uk-UA"/>
        </w:rPr>
        <w:t xml:space="preserve"> </w:t>
      </w:r>
      <w:r w:rsidR="001E40F2" w:rsidRPr="001E40F2">
        <w:rPr>
          <w:rFonts w:eastAsia="Palatino Linotype"/>
          <w:color w:val="000000"/>
          <w:sz w:val="28"/>
          <w:szCs w:val="28"/>
          <w:lang w:val="uk-UA" w:eastAsia="en-GB"/>
        </w:rPr>
        <w:t xml:space="preserve">щодо вимог до </w:t>
      </w:r>
      <w:proofErr w:type="spellStart"/>
      <w:r w:rsidR="001E40F2" w:rsidRPr="001E40F2">
        <w:rPr>
          <w:rFonts w:eastAsia="Palatino Linotype"/>
          <w:color w:val="000000"/>
          <w:sz w:val="28"/>
          <w:szCs w:val="28"/>
          <w:lang w:val="uk-UA" w:eastAsia="en-GB"/>
        </w:rPr>
        <w:t>екодизайну</w:t>
      </w:r>
      <w:proofErr w:type="spellEnd"/>
      <w:r w:rsidR="001E40F2" w:rsidRPr="001E40F2">
        <w:rPr>
          <w:rFonts w:eastAsia="Palatino Linotype"/>
          <w:color w:val="000000"/>
          <w:sz w:val="28"/>
          <w:szCs w:val="28"/>
          <w:lang w:val="uk-UA" w:eastAsia="en-GB"/>
        </w:rPr>
        <w:t xml:space="preserve"> для </w:t>
      </w:r>
      <w:r w:rsidR="00E80176">
        <w:rPr>
          <w:rFonts w:eastAsia="Palatino Linotype"/>
          <w:color w:val="000000"/>
          <w:sz w:val="28"/>
          <w:szCs w:val="28"/>
          <w:lang w:val="uk-UA" w:eastAsia="en-GB"/>
        </w:rPr>
        <w:t xml:space="preserve">місцевих </w:t>
      </w:r>
      <w:r w:rsidR="001E40F2" w:rsidRPr="001E40F2">
        <w:rPr>
          <w:rFonts w:eastAsia="Palatino Linotype"/>
          <w:color w:val="000000"/>
          <w:sz w:val="28"/>
          <w:szCs w:val="28"/>
          <w:lang w:val="uk-UA" w:eastAsia="en-GB"/>
        </w:rPr>
        <w:t>обігрівачів</w:t>
      </w:r>
      <w:r w:rsidR="00F83DDE" w:rsidRPr="00F83DDE">
        <w:rPr>
          <w:rFonts w:eastAsia="Palatino Linotype"/>
          <w:color w:val="000000"/>
          <w:sz w:val="28"/>
          <w:szCs w:val="28"/>
          <w:lang w:val="uk-UA" w:eastAsia="en-GB"/>
        </w:rPr>
        <w:t>, що стосу</w:t>
      </w:r>
      <w:r w:rsidR="00F83DDE">
        <w:rPr>
          <w:rFonts w:eastAsia="Palatino Linotype"/>
          <w:color w:val="000000"/>
          <w:sz w:val="28"/>
          <w:szCs w:val="28"/>
          <w:lang w:val="uk-UA" w:eastAsia="en-GB"/>
        </w:rPr>
        <w:t>ю</w:t>
      </w:r>
      <w:r w:rsidR="00F83DDE" w:rsidRPr="00F83DDE">
        <w:rPr>
          <w:rFonts w:eastAsia="Palatino Linotype"/>
          <w:color w:val="000000"/>
          <w:sz w:val="28"/>
          <w:szCs w:val="28"/>
          <w:lang w:val="uk-UA" w:eastAsia="en-GB"/>
        </w:rPr>
        <w:t>ться</w:t>
      </w:r>
      <w:r w:rsidR="00F83DDE">
        <w:rPr>
          <w:rFonts w:eastAsia="Palatino Linotype"/>
          <w:color w:val="000000"/>
          <w:sz w:val="28"/>
          <w:szCs w:val="28"/>
          <w:lang w:val="uk-UA" w:eastAsia="en-GB"/>
        </w:rPr>
        <w:t xml:space="preserve"> сезонної енергоефективності обігріву приміщень</w:t>
      </w:r>
      <w:r w:rsidR="00F83DDE" w:rsidRPr="00F83DDE">
        <w:rPr>
          <w:rFonts w:eastAsia="Palatino Linotype"/>
          <w:color w:val="000000"/>
          <w:sz w:val="28"/>
          <w:szCs w:val="28"/>
          <w:lang w:val="uk-UA" w:eastAsia="en-GB"/>
        </w:rPr>
        <w:t xml:space="preserve"> та викидів оксиду азоту наведені нижче:</w:t>
      </w:r>
    </w:p>
    <w:p w14:paraId="4545143D" w14:textId="365C4C4E" w:rsidR="00F83DDE" w:rsidRPr="00E80176" w:rsidRDefault="00023327" w:rsidP="008E256B">
      <w:pPr>
        <w:pStyle w:val="a3"/>
        <w:widowControl/>
        <w:spacing w:line="276" w:lineRule="auto"/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>
        <w:rPr>
          <w:spacing w:val="0"/>
          <w:kern w:val="0"/>
          <w:position w:val="0"/>
          <w:sz w:val="28"/>
          <w:szCs w:val="28"/>
          <w:lang w:val="uk-UA"/>
        </w:rPr>
        <w:t xml:space="preserve">1. </w:t>
      </w:r>
      <w:r w:rsidR="00E80176" w:rsidRPr="00E80176">
        <w:rPr>
          <w:spacing w:val="0"/>
          <w:kern w:val="0"/>
          <w:position w:val="0"/>
          <w:sz w:val="28"/>
          <w:szCs w:val="28"/>
          <w:lang w:val="uk-UA"/>
        </w:rPr>
        <w:t>Конкретні еталонні показники сезонної енергоефективності обігріву приміщень для місцевих обігрівачів</w:t>
      </w:r>
      <w:r w:rsidR="00162927" w:rsidRPr="001843CE">
        <w:rPr>
          <w:spacing w:val="0"/>
          <w:kern w:val="0"/>
          <w:position w:val="0"/>
          <w:sz w:val="28"/>
          <w:szCs w:val="28"/>
          <w:lang w:val="uk-UA"/>
        </w:rPr>
        <w:t>:</w:t>
      </w:r>
    </w:p>
    <w:p w14:paraId="06264C1E" w14:textId="77777777" w:rsidR="00E80176" w:rsidRDefault="00E80176" w:rsidP="008E256B">
      <w:pPr>
        <w:pStyle w:val="a3"/>
        <w:widowControl/>
        <w:spacing w:line="276" w:lineRule="auto"/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>
        <w:rPr>
          <w:spacing w:val="0"/>
          <w:kern w:val="0"/>
          <w:position w:val="0"/>
          <w:sz w:val="28"/>
          <w:szCs w:val="28"/>
          <w:lang w:val="uk-UA"/>
        </w:rPr>
        <w:t xml:space="preserve">- еталонний показник сезонної енергоефективності обігріву приміщень </w:t>
      </w:r>
      <w:r w:rsidR="00B32702">
        <w:rPr>
          <w:spacing w:val="0"/>
          <w:kern w:val="0"/>
          <w:position w:val="0"/>
          <w:sz w:val="28"/>
          <w:szCs w:val="28"/>
          <w:lang w:val="uk-UA"/>
        </w:rPr>
        <w:t>місцевих обігрівачів з відкритою камерою згорання</w:t>
      </w:r>
      <w:r>
        <w:rPr>
          <w:spacing w:val="0"/>
          <w:kern w:val="0"/>
          <w:position w:val="0"/>
          <w:sz w:val="28"/>
          <w:szCs w:val="28"/>
          <w:lang w:val="uk-UA"/>
        </w:rPr>
        <w:t>, які використовують газоподібне або рідке паливо: 65%;</w:t>
      </w:r>
    </w:p>
    <w:p w14:paraId="0642DA37" w14:textId="77777777" w:rsidR="00E80176" w:rsidRDefault="00E80176" w:rsidP="008E256B">
      <w:pPr>
        <w:pStyle w:val="a3"/>
        <w:widowControl/>
        <w:spacing w:line="276" w:lineRule="auto"/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>
        <w:rPr>
          <w:spacing w:val="0"/>
          <w:kern w:val="0"/>
          <w:position w:val="0"/>
          <w:sz w:val="28"/>
          <w:szCs w:val="28"/>
          <w:lang w:val="uk-UA"/>
        </w:rPr>
        <w:t xml:space="preserve">- еталонний показник сезонної енергоефективності обігріву приміщень </w:t>
      </w:r>
      <w:r w:rsidR="00B32702">
        <w:rPr>
          <w:spacing w:val="0"/>
          <w:kern w:val="0"/>
          <w:position w:val="0"/>
          <w:sz w:val="28"/>
          <w:szCs w:val="28"/>
          <w:lang w:val="uk-UA"/>
        </w:rPr>
        <w:t>місцевих обігрівачів із</w:t>
      </w:r>
      <w:r>
        <w:rPr>
          <w:spacing w:val="0"/>
          <w:kern w:val="0"/>
          <w:position w:val="0"/>
          <w:sz w:val="28"/>
          <w:szCs w:val="28"/>
          <w:lang w:val="uk-UA"/>
        </w:rPr>
        <w:t xml:space="preserve"> закрит</w:t>
      </w:r>
      <w:r w:rsidR="00B32702">
        <w:rPr>
          <w:spacing w:val="0"/>
          <w:kern w:val="0"/>
          <w:position w:val="0"/>
          <w:sz w:val="28"/>
          <w:szCs w:val="28"/>
          <w:lang w:val="uk-UA"/>
        </w:rPr>
        <w:t>ою</w:t>
      </w:r>
      <w:r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B32702">
        <w:rPr>
          <w:spacing w:val="0"/>
          <w:kern w:val="0"/>
          <w:position w:val="0"/>
          <w:sz w:val="28"/>
          <w:szCs w:val="28"/>
          <w:lang w:val="uk-UA"/>
        </w:rPr>
        <w:t>камерою згорання</w:t>
      </w:r>
      <w:r>
        <w:rPr>
          <w:spacing w:val="0"/>
          <w:kern w:val="0"/>
          <w:position w:val="0"/>
          <w:sz w:val="28"/>
          <w:szCs w:val="28"/>
          <w:lang w:val="uk-UA"/>
        </w:rPr>
        <w:t>, які використовують газоподібне або рідке паливо: 88%;</w:t>
      </w:r>
    </w:p>
    <w:p w14:paraId="4DBA361D" w14:textId="77777777" w:rsidR="00E80176" w:rsidRDefault="00E80176" w:rsidP="008E256B">
      <w:pPr>
        <w:pStyle w:val="a3"/>
        <w:widowControl/>
        <w:spacing w:line="276" w:lineRule="auto"/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>
        <w:rPr>
          <w:spacing w:val="0"/>
          <w:kern w:val="0"/>
          <w:position w:val="0"/>
          <w:sz w:val="28"/>
          <w:szCs w:val="28"/>
          <w:lang w:val="uk-UA"/>
        </w:rPr>
        <w:t>- еталонний показник сезонної енергоефективності обігріву приміщень для електричних місцевих обігрівачів: більше 39%;</w:t>
      </w:r>
    </w:p>
    <w:p w14:paraId="7BBAD0F8" w14:textId="77777777" w:rsidR="00E80176" w:rsidRDefault="00E80176" w:rsidP="008E256B">
      <w:pPr>
        <w:pStyle w:val="a3"/>
        <w:widowControl/>
        <w:spacing w:line="276" w:lineRule="auto"/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>
        <w:rPr>
          <w:spacing w:val="0"/>
          <w:kern w:val="0"/>
          <w:position w:val="0"/>
          <w:sz w:val="28"/>
          <w:szCs w:val="28"/>
          <w:lang w:val="uk-UA"/>
        </w:rPr>
        <w:t xml:space="preserve">- еталонний показник сезонної енергоефективності обігріву приміщень для </w:t>
      </w:r>
      <w:r w:rsidR="00BE5B8D">
        <w:rPr>
          <w:spacing w:val="0"/>
          <w:kern w:val="0"/>
          <w:position w:val="0"/>
          <w:sz w:val="28"/>
          <w:szCs w:val="28"/>
          <w:lang w:val="uk-UA"/>
        </w:rPr>
        <w:t>світлов</w:t>
      </w:r>
      <w:r>
        <w:rPr>
          <w:spacing w:val="0"/>
          <w:kern w:val="0"/>
          <w:position w:val="0"/>
          <w:sz w:val="28"/>
          <w:szCs w:val="28"/>
          <w:lang w:val="uk-UA"/>
        </w:rPr>
        <w:t xml:space="preserve">их місцевих обігрівачів: </w:t>
      </w:r>
      <w:r w:rsidR="00BE5B8D">
        <w:rPr>
          <w:spacing w:val="0"/>
          <w:kern w:val="0"/>
          <w:position w:val="0"/>
          <w:sz w:val="28"/>
          <w:szCs w:val="28"/>
          <w:lang w:val="uk-UA"/>
        </w:rPr>
        <w:t>92</w:t>
      </w:r>
      <w:r>
        <w:rPr>
          <w:spacing w:val="0"/>
          <w:kern w:val="0"/>
          <w:position w:val="0"/>
          <w:sz w:val="28"/>
          <w:szCs w:val="28"/>
          <w:lang w:val="uk-UA"/>
        </w:rPr>
        <w:t>%;</w:t>
      </w:r>
    </w:p>
    <w:p w14:paraId="48EFC383" w14:textId="77777777" w:rsidR="00E80176" w:rsidRPr="00E80176" w:rsidRDefault="00BE5B8D" w:rsidP="008E256B">
      <w:pPr>
        <w:pStyle w:val="a3"/>
        <w:widowControl/>
        <w:spacing w:line="276" w:lineRule="auto"/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>
        <w:rPr>
          <w:spacing w:val="0"/>
          <w:kern w:val="0"/>
          <w:position w:val="0"/>
          <w:sz w:val="28"/>
          <w:szCs w:val="28"/>
          <w:lang w:val="uk-UA"/>
        </w:rPr>
        <w:t>- еталонний показник сезонної енергоефективності обігріву приміщень для трубчастих місцевих обігрівачів: 88%;</w:t>
      </w:r>
    </w:p>
    <w:p w14:paraId="312C5786" w14:textId="77777777" w:rsidR="00023327" w:rsidRDefault="00023327" w:rsidP="008E256B">
      <w:pPr>
        <w:pStyle w:val="a3"/>
        <w:widowControl/>
        <w:spacing w:before="60" w:after="60" w:line="276" w:lineRule="auto"/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>
        <w:rPr>
          <w:spacing w:val="0"/>
          <w:kern w:val="0"/>
          <w:position w:val="0"/>
          <w:sz w:val="28"/>
          <w:szCs w:val="28"/>
          <w:lang w:val="uk-UA"/>
        </w:rPr>
        <w:t xml:space="preserve">2. </w:t>
      </w:r>
      <w:r w:rsidR="006F0B40">
        <w:rPr>
          <w:spacing w:val="0"/>
          <w:kern w:val="0"/>
          <w:position w:val="0"/>
          <w:sz w:val="28"/>
          <w:szCs w:val="28"/>
          <w:lang w:val="uk-UA"/>
        </w:rPr>
        <w:t>Конкретні еталонні показники викидів оксидів азоту (</w:t>
      </w:r>
      <w:r w:rsidR="006F0B40" w:rsidRPr="00647FC6">
        <w:rPr>
          <w:i/>
          <w:spacing w:val="0"/>
          <w:kern w:val="0"/>
          <w:position w:val="0"/>
          <w:sz w:val="28"/>
          <w:szCs w:val="28"/>
        </w:rPr>
        <w:t>NO</w:t>
      </w:r>
      <w:r w:rsidR="006F0B40" w:rsidRPr="00647FC6">
        <w:rPr>
          <w:i/>
          <w:spacing w:val="0"/>
          <w:kern w:val="0"/>
          <w:position w:val="0"/>
          <w:sz w:val="28"/>
          <w:szCs w:val="28"/>
          <w:vertAlign w:val="subscript"/>
        </w:rPr>
        <w:t>x</w:t>
      </w:r>
      <w:r w:rsidR="006F0B40" w:rsidRPr="006F0B40">
        <w:rPr>
          <w:spacing w:val="0"/>
          <w:kern w:val="0"/>
          <w:position w:val="0"/>
          <w:sz w:val="28"/>
          <w:szCs w:val="28"/>
          <w:lang w:val="uk-UA"/>
        </w:rPr>
        <w:t xml:space="preserve">) </w:t>
      </w:r>
      <w:r w:rsidR="006F0B40">
        <w:rPr>
          <w:spacing w:val="0"/>
          <w:kern w:val="0"/>
          <w:position w:val="0"/>
          <w:sz w:val="28"/>
          <w:szCs w:val="28"/>
          <w:lang w:val="uk-UA"/>
        </w:rPr>
        <w:t xml:space="preserve">місцевими </w:t>
      </w:r>
      <w:r w:rsidRPr="00023327">
        <w:rPr>
          <w:spacing w:val="0"/>
          <w:kern w:val="0"/>
          <w:position w:val="0"/>
          <w:sz w:val="28"/>
          <w:szCs w:val="28"/>
          <w:lang w:val="uk-UA"/>
        </w:rPr>
        <w:t>обігрівач</w:t>
      </w:r>
      <w:r w:rsidR="006F0B40">
        <w:rPr>
          <w:spacing w:val="0"/>
          <w:kern w:val="0"/>
          <w:position w:val="0"/>
          <w:sz w:val="28"/>
          <w:szCs w:val="28"/>
          <w:lang w:val="uk-UA"/>
        </w:rPr>
        <w:t>ами</w:t>
      </w:r>
      <w:r w:rsidR="006F0B40" w:rsidRPr="006F0B40">
        <w:rPr>
          <w:spacing w:val="0"/>
          <w:kern w:val="0"/>
          <w:position w:val="0"/>
          <w:sz w:val="28"/>
          <w:szCs w:val="28"/>
          <w:lang w:val="uk-UA"/>
        </w:rPr>
        <w:t>:</w:t>
      </w:r>
    </w:p>
    <w:p w14:paraId="0D268ED8" w14:textId="77777777" w:rsidR="006F0B40" w:rsidRPr="008476AA" w:rsidRDefault="006F0B40" w:rsidP="008E256B">
      <w:pPr>
        <w:pStyle w:val="a3"/>
        <w:widowControl/>
        <w:spacing w:before="60" w:after="60" w:line="276" w:lineRule="auto"/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>
        <w:rPr>
          <w:spacing w:val="0"/>
          <w:kern w:val="0"/>
          <w:position w:val="0"/>
          <w:sz w:val="28"/>
          <w:szCs w:val="28"/>
          <w:lang w:val="uk-UA"/>
        </w:rPr>
        <w:t>- еталонний показник викидів оксидів азоту (</w:t>
      </w:r>
      <w:r w:rsidRPr="00647FC6">
        <w:rPr>
          <w:i/>
          <w:spacing w:val="0"/>
          <w:kern w:val="0"/>
          <w:position w:val="0"/>
          <w:sz w:val="28"/>
          <w:szCs w:val="28"/>
        </w:rPr>
        <w:t>NO</w:t>
      </w:r>
      <w:r w:rsidRPr="00647FC6">
        <w:rPr>
          <w:i/>
          <w:spacing w:val="0"/>
          <w:kern w:val="0"/>
          <w:position w:val="0"/>
          <w:sz w:val="28"/>
          <w:szCs w:val="28"/>
          <w:vertAlign w:val="subscript"/>
        </w:rPr>
        <w:t>x</w:t>
      </w:r>
      <w:r w:rsidRPr="006F0B40">
        <w:rPr>
          <w:spacing w:val="0"/>
          <w:kern w:val="0"/>
          <w:position w:val="0"/>
          <w:sz w:val="28"/>
          <w:szCs w:val="28"/>
          <w:lang w:val="uk-UA"/>
        </w:rPr>
        <w:t xml:space="preserve">) </w:t>
      </w:r>
      <w:r>
        <w:rPr>
          <w:spacing w:val="0"/>
          <w:kern w:val="0"/>
          <w:position w:val="0"/>
          <w:sz w:val="28"/>
          <w:szCs w:val="28"/>
          <w:lang w:val="uk-UA"/>
        </w:rPr>
        <w:t xml:space="preserve">місцевими </w:t>
      </w:r>
      <w:r w:rsidRPr="00023327">
        <w:rPr>
          <w:spacing w:val="0"/>
          <w:kern w:val="0"/>
          <w:position w:val="0"/>
          <w:sz w:val="28"/>
          <w:szCs w:val="28"/>
          <w:lang w:val="uk-UA"/>
        </w:rPr>
        <w:t>обігрівач</w:t>
      </w:r>
      <w:r>
        <w:rPr>
          <w:spacing w:val="0"/>
          <w:kern w:val="0"/>
          <w:position w:val="0"/>
          <w:sz w:val="28"/>
          <w:szCs w:val="28"/>
          <w:lang w:val="uk-UA"/>
        </w:rPr>
        <w:t>ами, які використовують газоподібне або рідке паливо</w:t>
      </w:r>
      <w:r w:rsidR="00191590">
        <w:rPr>
          <w:spacing w:val="0"/>
          <w:kern w:val="0"/>
          <w:position w:val="0"/>
          <w:sz w:val="28"/>
          <w:szCs w:val="28"/>
          <w:lang w:val="uk-UA"/>
        </w:rPr>
        <w:t>:</w:t>
      </w:r>
      <w:r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191590">
        <w:rPr>
          <w:spacing w:val="0"/>
          <w:kern w:val="0"/>
          <w:position w:val="0"/>
          <w:sz w:val="28"/>
          <w:szCs w:val="28"/>
          <w:lang w:val="uk-UA"/>
        </w:rPr>
        <w:t>50 </w:t>
      </w:r>
      <w:r w:rsidR="00191590" w:rsidRPr="00023327">
        <w:rPr>
          <w:spacing w:val="0"/>
          <w:kern w:val="0"/>
          <w:position w:val="0"/>
          <w:sz w:val="28"/>
          <w:szCs w:val="28"/>
          <w:lang w:val="uk-UA"/>
        </w:rPr>
        <w:t>мг/</w:t>
      </w:r>
      <w:proofErr w:type="spellStart"/>
      <w:r w:rsidR="00191590" w:rsidRPr="00023327">
        <w:rPr>
          <w:spacing w:val="0"/>
          <w:kern w:val="0"/>
          <w:position w:val="0"/>
          <w:sz w:val="28"/>
          <w:szCs w:val="28"/>
          <w:lang w:val="uk-UA"/>
        </w:rPr>
        <w:t>кВт·год</w:t>
      </w:r>
      <w:proofErr w:type="spellEnd"/>
      <w:r w:rsidR="00191590">
        <w:rPr>
          <w:spacing w:val="0"/>
          <w:kern w:val="0"/>
          <w:position w:val="0"/>
          <w:sz w:val="28"/>
          <w:szCs w:val="28"/>
          <w:lang w:val="uk-UA"/>
        </w:rPr>
        <w:t xml:space="preserve"> на основі вищої теплотворної здатності (</w:t>
      </w:r>
      <w:r w:rsidR="00191590" w:rsidRPr="00647FC6">
        <w:rPr>
          <w:i/>
          <w:spacing w:val="0"/>
          <w:kern w:val="0"/>
          <w:position w:val="0"/>
          <w:sz w:val="28"/>
          <w:szCs w:val="28"/>
        </w:rPr>
        <w:t>GCV</w:t>
      </w:r>
      <w:r w:rsidR="00191590" w:rsidRPr="00191590">
        <w:rPr>
          <w:spacing w:val="0"/>
          <w:kern w:val="0"/>
          <w:position w:val="0"/>
          <w:sz w:val="28"/>
          <w:szCs w:val="28"/>
          <w:lang w:val="uk-UA"/>
        </w:rPr>
        <w:t>)</w:t>
      </w:r>
      <w:r w:rsidR="008476AA">
        <w:rPr>
          <w:spacing w:val="0"/>
          <w:kern w:val="0"/>
          <w:position w:val="0"/>
          <w:sz w:val="28"/>
          <w:szCs w:val="28"/>
          <w:lang w:val="uk-UA"/>
        </w:rPr>
        <w:t>;</w:t>
      </w:r>
    </w:p>
    <w:p w14:paraId="1B429BCF" w14:textId="77777777" w:rsidR="008476AA" w:rsidRDefault="008476AA" w:rsidP="008E256B">
      <w:pPr>
        <w:pStyle w:val="a3"/>
        <w:widowControl/>
        <w:spacing w:before="60" w:after="60" w:line="276" w:lineRule="auto"/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>
        <w:rPr>
          <w:spacing w:val="0"/>
          <w:kern w:val="0"/>
          <w:position w:val="0"/>
          <w:sz w:val="28"/>
          <w:szCs w:val="28"/>
          <w:lang w:val="uk-UA"/>
        </w:rPr>
        <w:t>- еталонний показник викидів оксидів азоту (</w:t>
      </w:r>
      <w:r w:rsidRPr="00647FC6">
        <w:rPr>
          <w:i/>
          <w:spacing w:val="0"/>
          <w:kern w:val="0"/>
          <w:position w:val="0"/>
          <w:sz w:val="28"/>
          <w:szCs w:val="28"/>
        </w:rPr>
        <w:t>NO</w:t>
      </w:r>
      <w:r w:rsidRPr="00647FC6">
        <w:rPr>
          <w:i/>
          <w:spacing w:val="0"/>
          <w:kern w:val="0"/>
          <w:position w:val="0"/>
          <w:sz w:val="28"/>
          <w:szCs w:val="28"/>
          <w:vertAlign w:val="subscript"/>
        </w:rPr>
        <w:t>x</w:t>
      </w:r>
      <w:r w:rsidRPr="006F0B40">
        <w:rPr>
          <w:spacing w:val="0"/>
          <w:kern w:val="0"/>
          <w:position w:val="0"/>
          <w:sz w:val="28"/>
          <w:szCs w:val="28"/>
          <w:lang w:val="uk-UA"/>
        </w:rPr>
        <w:t xml:space="preserve">) </w:t>
      </w:r>
      <w:r>
        <w:rPr>
          <w:spacing w:val="0"/>
          <w:kern w:val="0"/>
          <w:position w:val="0"/>
          <w:sz w:val="28"/>
          <w:szCs w:val="28"/>
          <w:lang w:val="uk-UA"/>
        </w:rPr>
        <w:t xml:space="preserve">світловими та трубчастими місцевими </w:t>
      </w:r>
      <w:r w:rsidRPr="00023327">
        <w:rPr>
          <w:spacing w:val="0"/>
          <w:kern w:val="0"/>
          <w:position w:val="0"/>
          <w:sz w:val="28"/>
          <w:szCs w:val="28"/>
          <w:lang w:val="uk-UA"/>
        </w:rPr>
        <w:t>обігрівач</w:t>
      </w:r>
      <w:r>
        <w:rPr>
          <w:spacing w:val="0"/>
          <w:kern w:val="0"/>
          <w:position w:val="0"/>
          <w:sz w:val="28"/>
          <w:szCs w:val="28"/>
          <w:lang w:val="uk-UA"/>
        </w:rPr>
        <w:t xml:space="preserve">ами: 50 </w:t>
      </w:r>
      <w:r w:rsidRPr="00023327">
        <w:rPr>
          <w:spacing w:val="0"/>
          <w:kern w:val="0"/>
          <w:position w:val="0"/>
          <w:sz w:val="28"/>
          <w:szCs w:val="28"/>
          <w:lang w:val="uk-UA"/>
        </w:rPr>
        <w:t>мг/</w:t>
      </w:r>
      <w:proofErr w:type="spellStart"/>
      <w:r w:rsidRPr="00023327">
        <w:rPr>
          <w:spacing w:val="0"/>
          <w:kern w:val="0"/>
          <w:position w:val="0"/>
          <w:sz w:val="28"/>
          <w:szCs w:val="28"/>
          <w:lang w:val="uk-UA"/>
        </w:rPr>
        <w:t>кВт·год</w:t>
      </w:r>
      <w:proofErr w:type="spellEnd"/>
      <w:r>
        <w:rPr>
          <w:spacing w:val="0"/>
          <w:kern w:val="0"/>
          <w:position w:val="0"/>
          <w:sz w:val="28"/>
          <w:szCs w:val="28"/>
          <w:lang w:val="uk-UA"/>
        </w:rPr>
        <w:t xml:space="preserve"> на основі вищої теплотворної здатності (</w:t>
      </w:r>
      <w:r w:rsidRPr="00647FC6">
        <w:rPr>
          <w:i/>
          <w:spacing w:val="0"/>
          <w:kern w:val="0"/>
          <w:position w:val="0"/>
          <w:sz w:val="28"/>
          <w:szCs w:val="28"/>
        </w:rPr>
        <w:t>GCV</w:t>
      </w:r>
      <w:r w:rsidRPr="00191590">
        <w:rPr>
          <w:spacing w:val="0"/>
          <w:kern w:val="0"/>
          <w:position w:val="0"/>
          <w:sz w:val="28"/>
          <w:szCs w:val="28"/>
          <w:lang w:val="uk-UA"/>
        </w:rPr>
        <w:t>)</w:t>
      </w:r>
      <w:r>
        <w:rPr>
          <w:spacing w:val="0"/>
          <w:kern w:val="0"/>
          <w:position w:val="0"/>
          <w:sz w:val="28"/>
          <w:szCs w:val="28"/>
          <w:lang w:val="uk-UA"/>
        </w:rPr>
        <w:t>.</w:t>
      </w:r>
    </w:p>
    <w:p w14:paraId="65601589" w14:textId="2F6B1382" w:rsidR="008476AA" w:rsidRDefault="008476AA" w:rsidP="008E256B">
      <w:pPr>
        <w:pStyle w:val="a3"/>
        <w:widowControl/>
        <w:spacing w:before="60" w:after="60" w:line="276" w:lineRule="auto"/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C74450">
        <w:rPr>
          <w:spacing w:val="0"/>
          <w:kern w:val="0"/>
          <w:position w:val="0"/>
          <w:sz w:val="28"/>
          <w:szCs w:val="28"/>
          <w:lang w:val="uk-UA"/>
        </w:rPr>
        <w:t>Еталонні показники, зазначені у пунктах 1 і 2</w:t>
      </w:r>
      <w:r w:rsidR="002E22BA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="002E22BA" w:rsidRPr="001843CE">
        <w:rPr>
          <w:spacing w:val="0"/>
          <w:kern w:val="0"/>
          <w:position w:val="0"/>
          <w:sz w:val="28"/>
          <w:szCs w:val="28"/>
          <w:lang w:val="uk-UA"/>
        </w:rPr>
        <w:t>цього додатка</w:t>
      </w:r>
      <w:r w:rsidRPr="00C74450">
        <w:rPr>
          <w:spacing w:val="0"/>
          <w:kern w:val="0"/>
          <w:position w:val="0"/>
          <w:sz w:val="28"/>
          <w:szCs w:val="28"/>
          <w:lang w:val="uk-UA"/>
        </w:rPr>
        <w:t xml:space="preserve">, не </w:t>
      </w:r>
      <w:proofErr w:type="spellStart"/>
      <w:r w:rsidRPr="00C74450">
        <w:rPr>
          <w:spacing w:val="0"/>
          <w:kern w:val="0"/>
          <w:position w:val="0"/>
          <w:sz w:val="28"/>
          <w:szCs w:val="28"/>
          <w:lang w:val="uk-UA"/>
        </w:rPr>
        <w:t>обов</w:t>
      </w:r>
      <w:proofErr w:type="spellEnd"/>
      <w:r w:rsidRPr="00C74450">
        <w:rPr>
          <w:spacing w:val="0"/>
          <w:kern w:val="0"/>
          <w:position w:val="0"/>
          <w:sz w:val="28"/>
          <w:szCs w:val="28"/>
          <w:lang w:val="ru-RU"/>
        </w:rPr>
        <w:t>’</w:t>
      </w:r>
      <w:proofErr w:type="spellStart"/>
      <w:r w:rsidR="00C74450" w:rsidRPr="00C74450">
        <w:rPr>
          <w:spacing w:val="0"/>
          <w:kern w:val="0"/>
          <w:position w:val="0"/>
          <w:sz w:val="28"/>
          <w:szCs w:val="28"/>
          <w:lang w:val="uk-UA"/>
        </w:rPr>
        <w:t>язково</w:t>
      </w:r>
      <w:proofErr w:type="spellEnd"/>
      <w:r w:rsidR="00C74450" w:rsidRPr="00C74450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proofErr w:type="spellStart"/>
      <w:r w:rsidR="00C74450" w:rsidRPr="00C74450">
        <w:rPr>
          <w:spacing w:val="0"/>
          <w:kern w:val="0"/>
          <w:position w:val="0"/>
          <w:sz w:val="28"/>
          <w:szCs w:val="28"/>
          <w:lang w:val="uk-UA"/>
        </w:rPr>
        <w:t>означатимуть</w:t>
      </w:r>
      <w:proofErr w:type="spellEnd"/>
      <w:r w:rsidRPr="00C74450">
        <w:rPr>
          <w:spacing w:val="0"/>
          <w:kern w:val="0"/>
          <w:position w:val="0"/>
          <w:sz w:val="28"/>
          <w:szCs w:val="28"/>
          <w:lang w:val="uk-UA"/>
        </w:rPr>
        <w:t xml:space="preserve">, що </w:t>
      </w:r>
      <w:r w:rsidR="00C74450" w:rsidRPr="00C74450">
        <w:rPr>
          <w:spacing w:val="0"/>
          <w:kern w:val="0"/>
          <w:position w:val="0"/>
          <w:sz w:val="28"/>
          <w:szCs w:val="28"/>
          <w:lang w:val="uk-UA"/>
        </w:rPr>
        <w:t>комбінація цих значень</w:t>
      </w:r>
      <w:r w:rsidRPr="00C74450">
        <w:rPr>
          <w:spacing w:val="0"/>
          <w:kern w:val="0"/>
          <w:position w:val="0"/>
          <w:sz w:val="28"/>
          <w:szCs w:val="28"/>
          <w:lang w:val="uk-UA"/>
        </w:rPr>
        <w:t xml:space="preserve"> досяжн</w:t>
      </w:r>
      <w:r w:rsidR="00C74450" w:rsidRPr="00C74450">
        <w:rPr>
          <w:spacing w:val="0"/>
          <w:kern w:val="0"/>
          <w:position w:val="0"/>
          <w:sz w:val="28"/>
          <w:szCs w:val="28"/>
          <w:lang w:val="uk-UA"/>
        </w:rPr>
        <w:t>а</w:t>
      </w:r>
      <w:r w:rsidRPr="00C74450">
        <w:rPr>
          <w:spacing w:val="0"/>
          <w:kern w:val="0"/>
          <w:position w:val="0"/>
          <w:sz w:val="28"/>
          <w:szCs w:val="28"/>
          <w:lang w:val="uk-UA"/>
        </w:rPr>
        <w:t xml:space="preserve"> для </w:t>
      </w:r>
      <w:r w:rsidR="00C74450" w:rsidRPr="00C74450">
        <w:rPr>
          <w:spacing w:val="0"/>
          <w:kern w:val="0"/>
          <w:position w:val="0"/>
          <w:sz w:val="28"/>
          <w:szCs w:val="28"/>
          <w:lang w:val="uk-UA"/>
        </w:rPr>
        <w:t xml:space="preserve">одного </w:t>
      </w:r>
      <w:r w:rsidRPr="00C74450">
        <w:rPr>
          <w:spacing w:val="0"/>
          <w:kern w:val="0"/>
          <w:position w:val="0"/>
          <w:sz w:val="28"/>
          <w:szCs w:val="28"/>
          <w:lang w:val="uk-UA"/>
        </w:rPr>
        <w:t>місцевого обігрівача.</w:t>
      </w:r>
      <w:r>
        <w:rPr>
          <w:spacing w:val="0"/>
          <w:kern w:val="0"/>
          <w:position w:val="0"/>
          <w:sz w:val="28"/>
          <w:szCs w:val="28"/>
          <w:lang w:val="uk-UA"/>
        </w:rPr>
        <w:t xml:space="preserve">  </w:t>
      </w:r>
    </w:p>
    <w:p w14:paraId="32271198" w14:textId="77777777" w:rsidR="00C74450" w:rsidRDefault="00C74450" w:rsidP="008476AA">
      <w:pPr>
        <w:ind w:firstLine="567"/>
        <w:jc w:val="center"/>
        <w:rPr>
          <w:sz w:val="28"/>
          <w:szCs w:val="28"/>
          <w:lang w:val="uk-UA"/>
        </w:rPr>
      </w:pPr>
    </w:p>
    <w:p w14:paraId="1FDAD27B" w14:textId="77777777" w:rsidR="004B77CE" w:rsidRPr="008476AA" w:rsidRDefault="007B5EE2" w:rsidP="008476AA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</w:t>
      </w:r>
      <w:r w:rsidR="002E394C">
        <w:rPr>
          <w:sz w:val="28"/>
          <w:szCs w:val="28"/>
          <w:lang w:val="uk-UA"/>
        </w:rPr>
        <w:softHyphen/>
      </w:r>
      <w:r w:rsidR="002E394C">
        <w:rPr>
          <w:sz w:val="28"/>
          <w:szCs w:val="28"/>
          <w:lang w:val="uk-UA"/>
        </w:rPr>
        <w:softHyphen/>
      </w:r>
      <w:r w:rsidR="002E394C">
        <w:rPr>
          <w:sz w:val="28"/>
          <w:szCs w:val="28"/>
          <w:lang w:val="uk-UA"/>
        </w:rPr>
        <w:softHyphen/>
        <w:t>____</w:t>
      </w:r>
    </w:p>
    <w:sectPr w:rsidR="004B77CE" w:rsidRPr="008476AA" w:rsidSect="00303AF6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0F72B" w14:textId="77777777" w:rsidR="00C06036" w:rsidRDefault="00C06036" w:rsidP="00957C66">
      <w:r>
        <w:separator/>
      </w:r>
    </w:p>
  </w:endnote>
  <w:endnote w:type="continuationSeparator" w:id="0">
    <w:p w14:paraId="3A6C9EE8" w14:textId="77777777" w:rsidR="00C06036" w:rsidRDefault="00C06036" w:rsidP="00957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27D7F" w14:textId="77777777" w:rsidR="00C06036" w:rsidRDefault="00C06036" w:rsidP="00957C66">
      <w:r>
        <w:separator/>
      </w:r>
    </w:p>
  </w:footnote>
  <w:footnote w:type="continuationSeparator" w:id="0">
    <w:p w14:paraId="58AF5D4D" w14:textId="77777777" w:rsidR="00C06036" w:rsidRDefault="00C06036" w:rsidP="00957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530639"/>
      <w:docPartObj>
        <w:docPartGallery w:val="Page Numbers (Top of Page)"/>
        <w:docPartUnique/>
      </w:docPartObj>
    </w:sdtPr>
    <w:sdtEndPr/>
    <w:sdtContent>
      <w:p w14:paraId="26DDD9EC" w14:textId="77777777" w:rsidR="00F97C0F" w:rsidRDefault="00F1551D" w:rsidP="00F97C0F">
        <w:pPr>
          <w:pStyle w:val="a4"/>
          <w:jc w:val="right"/>
        </w:pPr>
        <w:r>
          <w:fldChar w:fldCharType="begin"/>
        </w:r>
        <w:r w:rsidR="00F97C0F">
          <w:instrText>PAGE   \* MERGEFORMAT</w:instrText>
        </w:r>
        <w:r>
          <w:fldChar w:fldCharType="separate"/>
        </w:r>
        <w:r w:rsidR="00EA6098">
          <w:rPr>
            <w:noProof/>
          </w:rPr>
          <w:t>2</w:t>
        </w:r>
        <w:r>
          <w:fldChar w:fldCharType="end"/>
        </w:r>
        <w:r w:rsidR="00F97C0F">
          <w:rPr>
            <w:lang w:val="uk-UA"/>
          </w:rPr>
          <w:t xml:space="preserve">                                                      Продовження додатку 4</w:t>
        </w:r>
      </w:p>
    </w:sdtContent>
  </w:sdt>
  <w:p w14:paraId="27FDF93E" w14:textId="77777777" w:rsidR="00957C66" w:rsidRPr="00957C66" w:rsidRDefault="00957C66" w:rsidP="00957C66">
    <w:pPr>
      <w:pStyle w:val="a4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EC66F78"/>
    <w:lvl w:ilvl="0">
      <w:numFmt w:val="bullet"/>
      <w:lvlText w:val="*"/>
      <w:lvlJc w:val="left"/>
    </w:lvl>
  </w:abstractNum>
  <w:abstractNum w:abstractNumId="1" w15:restartNumberingAfterBreak="0">
    <w:nsid w:val="07AA258F"/>
    <w:multiLevelType w:val="hybridMultilevel"/>
    <w:tmpl w:val="2F08C8A2"/>
    <w:lvl w:ilvl="0" w:tplc="B2CCD8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4E7834"/>
    <w:multiLevelType w:val="hybridMultilevel"/>
    <w:tmpl w:val="8C16A4E8"/>
    <w:lvl w:ilvl="0" w:tplc="FFB2D3CC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72E53DC"/>
    <w:multiLevelType w:val="hybridMultilevel"/>
    <w:tmpl w:val="360CC996"/>
    <w:lvl w:ilvl="0" w:tplc="9508011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1EC54FD"/>
    <w:multiLevelType w:val="hybridMultilevel"/>
    <w:tmpl w:val="0888B922"/>
    <w:lvl w:ilvl="0" w:tplc="427A94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D327A0A"/>
    <w:multiLevelType w:val="hybridMultilevel"/>
    <w:tmpl w:val="DF8C8010"/>
    <w:lvl w:ilvl="0" w:tplc="9572DF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5579B1"/>
    <w:multiLevelType w:val="hybridMultilevel"/>
    <w:tmpl w:val="175EBABE"/>
    <w:lvl w:ilvl="0" w:tplc="CB30A2DA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7DD932C4"/>
    <w:multiLevelType w:val="hybridMultilevel"/>
    <w:tmpl w:val="54D269D2"/>
    <w:lvl w:ilvl="0" w:tplc="28B4FC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Book Antiqua" w:hAnsi="Book Antiqua" w:hint="default"/>
        </w:rPr>
      </w:lvl>
    </w:lvlOverride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5A12"/>
    <w:rsid w:val="00023327"/>
    <w:rsid w:val="00060628"/>
    <w:rsid w:val="00066CA1"/>
    <w:rsid w:val="00100FE2"/>
    <w:rsid w:val="00122315"/>
    <w:rsid w:val="00162927"/>
    <w:rsid w:val="001843CE"/>
    <w:rsid w:val="00191590"/>
    <w:rsid w:val="001D568F"/>
    <w:rsid w:val="001E40F2"/>
    <w:rsid w:val="001F4874"/>
    <w:rsid w:val="0020542B"/>
    <w:rsid w:val="00234592"/>
    <w:rsid w:val="00236514"/>
    <w:rsid w:val="002A089D"/>
    <w:rsid w:val="002A45E6"/>
    <w:rsid w:val="002C0E3B"/>
    <w:rsid w:val="002C7E0F"/>
    <w:rsid w:val="002E22BA"/>
    <w:rsid w:val="002E394C"/>
    <w:rsid w:val="00302967"/>
    <w:rsid w:val="00302F87"/>
    <w:rsid w:val="00303AF6"/>
    <w:rsid w:val="003132BA"/>
    <w:rsid w:val="0033667F"/>
    <w:rsid w:val="00351407"/>
    <w:rsid w:val="0037705E"/>
    <w:rsid w:val="003A0BE1"/>
    <w:rsid w:val="00441A4F"/>
    <w:rsid w:val="00484653"/>
    <w:rsid w:val="00485A12"/>
    <w:rsid w:val="004B4333"/>
    <w:rsid w:val="004B77CE"/>
    <w:rsid w:val="00505D46"/>
    <w:rsid w:val="00507909"/>
    <w:rsid w:val="005543F6"/>
    <w:rsid w:val="00560643"/>
    <w:rsid w:val="00574731"/>
    <w:rsid w:val="005E0AC2"/>
    <w:rsid w:val="00647FC6"/>
    <w:rsid w:val="00671D56"/>
    <w:rsid w:val="006C43A3"/>
    <w:rsid w:val="006D4488"/>
    <w:rsid w:val="006E55E6"/>
    <w:rsid w:val="006F0B40"/>
    <w:rsid w:val="007735FE"/>
    <w:rsid w:val="007B5EE2"/>
    <w:rsid w:val="007C40C5"/>
    <w:rsid w:val="00842A5F"/>
    <w:rsid w:val="008476AA"/>
    <w:rsid w:val="008C2432"/>
    <w:rsid w:val="008D6750"/>
    <w:rsid w:val="008E256B"/>
    <w:rsid w:val="0092468B"/>
    <w:rsid w:val="0093502A"/>
    <w:rsid w:val="00957C66"/>
    <w:rsid w:val="00996D9B"/>
    <w:rsid w:val="009C64CD"/>
    <w:rsid w:val="00A256B0"/>
    <w:rsid w:val="00A31B1A"/>
    <w:rsid w:val="00B32702"/>
    <w:rsid w:val="00B574F5"/>
    <w:rsid w:val="00BB1BD0"/>
    <w:rsid w:val="00BE5B8D"/>
    <w:rsid w:val="00C06036"/>
    <w:rsid w:val="00C74450"/>
    <w:rsid w:val="00D234DA"/>
    <w:rsid w:val="00D523F4"/>
    <w:rsid w:val="00D81AAE"/>
    <w:rsid w:val="00DA3831"/>
    <w:rsid w:val="00DB7CF0"/>
    <w:rsid w:val="00DF25BA"/>
    <w:rsid w:val="00E434C1"/>
    <w:rsid w:val="00E67B24"/>
    <w:rsid w:val="00E80176"/>
    <w:rsid w:val="00EA6098"/>
    <w:rsid w:val="00EE38F6"/>
    <w:rsid w:val="00F1551D"/>
    <w:rsid w:val="00F42085"/>
    <w:rsid w:val="00F468FA"/>
    <w:rsid w:val="00F53B7A"/>
    <w:rsid w:val="00F83DDE"/>
    <w:rsid w:val="00F97C0F"/>
    <w:rsid w:val="00FB2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2AA81"/>
  <w15:docId w15:val="{99C5F115-5D26-4ABF-9B53-CA01F58A9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2B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3"/>
    <w:rsid w:val="003132BA"/>
    <w:pPr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character" w:customStyle="1" w:styleId="FontStyle35">
    <w:name w:val="Font Style35"/>
    <w:rsid w:val="003132BA"/>
    <w:rPr>
      <w:rFonts w:ascii="Book Antiqua" w:hAnsi="Book Antiqua" w:cs="Book Antiqua"/>
      <w:color w:val="000000"/>
      <w:sz w:val="12"/>
      <w:szCs w:val="12"/>
    </w:rPr>
  </w:style>
  <w:style w:type="paragraph" w:customStyle="1" w:styleId="a3">
    <w:name w:val="Стиль"/>
    <w:uiPriority w:val="99"/>
    <w:rsid w:val="003132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/>
    </w:rPr>
  </w:style>
  <w:style w:type="paragraph" w:customStyle="1" w:styleId="Style13">
    <w:name w:val="Style13"/>
    <w:basedOn w:val="a"/>
    <w:rsid w:val="00441A4F"/>
    <w:pPr>
      <w:widowControl w:val="0"/>
      <w:adjustRightInd w:val="0"/>
    </w:pPr>
    <w:rPr>
      <w:rFonts w:ascii="Book Antiqua" w:hAnsi="Book Antiqua"/>
      <w:sz w:val="24"/>
      <w:szCs w:val="24"/>
      <w:lang w:eastAsia="ru-RU"/>
    </w:rPr>
  </w:style>
  <w:style w:type="character" w:customStyle="1" w:styleId="FontStyle34">
    <w:name w:val="Font Style34"/>
    <w:basedOn w:val="a0"/>
    <w:rsid w:val="00441A4F"/>
    <w:rPr>
      <w:rFonts w:ascii="Book Antiqua" w:hAnsi="Book Antiqua" w:cs="Book Antiqua"/>
      <w:b/>
      <w:bCs/>
      <w:color w:val="000000"/>
      <w:sz w:val="12"/>
      <w:szCs w:val="12"/>
    </w:rPr>
  </w:style>
  <w:style w:type="paragraph" w:styleId="a4">
    <w:name w:val="header"/>
    <w:basedOn w:val="a"/>
    <w:link w:val="a5"/>
    <w:uiPriority w:val="99"/>
    <w:unhideWhenUsed/>
    <w:rsid w:val="00957C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57C66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57C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57C66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Hyperlink"/>
    <w:basedOn w:val="a0"/>
    <w:uiPriority w:val="99"/>
    <w:semiHidden/>
    <w:unhideWhenUsed/>
    <w:rsid w:val="00F97C0F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C40C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40C5"/>
    <w:rPr>
      <w:rFonts w:ascii="Tahoma" w:eastAsia="Times New Roman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07909"/>
    <w:pPr>
      <w:ind w:left="720"/>
      <w:contextualSpacing/>
    </w:pPr>
  </w:style>
  <w:style w:type="table" w:styleId="ac">
    <w:name w:val="Table Grid"/>
    <w:basedOn w:val="a1"/>
    <w:uiPriority w:val="59"/>
    <w:rsid w:val="00100FE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laceholder Text"/>
    <w:basedOn w:val="a0"/>
    <w:uiPriority w:val="99"/>
    <w:semiHidden/>
    <w:rsid w:val="007B5EE2"/>
    <w:rPr>
      <w:color w:val="808080"/>
    </w:rPr>
  </w:style>
  <w:style w:type="table" w:customStyle="1" w:styleId="1">
    <w:name w:val="Сетка таблицы1"/>
    <w:basedOn w:val="a1"/>
    <w:next w:val="ac"/>
    <w:uiPriority w:val="59"/>
    <w:rsid w:val="0002332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7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Uzer</cp:lastModifiedBy>
  <cp:revision>12</cp:revision>
  <cp:lastPrinted>2021-04-16T07:14:00Z</cp:lastPrinted>
  <dcterms:created xsi:type="dcterms:W3CDTF">2019-11-29T10:13:00Z</dcterms:created>
  <dcterms:modified xsi:type="dcterms:W3CDTF">2021-04-27T19:00:00Z</dcterms:modified>
</cp:coreProperties>
</file>