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09985" w14:textId="77777777" w:rsidR="005F6306" w:rsidRPr="009A3568" w:rsidRDefault="00EB5140" w:rsidP="005F6306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Додаток </w:t>
      </w:r>
      <w:r w:rsidR="00F507FE">
        <w:rPr>
          <w:rFonts w:ascii="Times New Roman" w:hAnsi="Times New Roman"/>
          <w:sz w:val="28"/>
          <w:szCs w:val="28"/>
          <w:lang w:eastAsia="ru-RU"/>
        </w:rPr>
        <w:t>4</w:t>
      </w:r>
    </w:p>
    <w:p w14:paraId="5BAE79CF" w14:textId="77777777" w:rsidR="005F6306" w:rsidRPr="009A3568" w:rsidRDefault="005F6306" w:rsidP="005F6306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A3568">
        <w:rPr>
          <w:rFonts w:ascii="Times New Roman" w:hAnsi="Times New Roman"/>
          <w:sz w:val="28"/>
          <w:szCs w:val="28"/>
          <w:lang w:eastAsia="ru-RU"/>
        </w:rPr>
        <w:t>до Технічного регламенту</w:t>
      </w:r>
    </w:p>
    <w:p w14:paraId="4F83E9C4" w14:textId="77777777" w:rsidR="005F6306" w:rsidRPr="009A3568" w:rsidRDefault="005F6306" w:rsidP="005F6306">
      <w:pPr>
        <w:pStyle w:val="a3"/>
        <w:tabs>
          <w:tab w:val="left" w:pos="851"/>
        </w:tabs>
        <w:spacing w:befor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ABEFCE" w14:textId="77777777" w:rsidR="009A3568" w:rsidRPr="009A3568" w:rsidRDefault="009A3568" w:rsidP="009A3568">
      <w:pPr>
        <w:spacing w:before="60" w:after="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3568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711B86">
        <w:rPr>
          <w:rFonts w:ascii="Times New Roman" w:hAnsi="Times New Roman" w:cs="Times New Roman"/>
          <w:b/>
          <w:sz w:val="28"/>
          <w:szCs w:val="28"/>
          <w:lang w:val="uk-UA"/>
        </w:rPr>
        <w:t>имоги</w:t>
      </w:r>
    </w:p>
    <w:p w14:paraId="691B5F04" w14:textId="77777777" w:rsidR="00BC6AE2" w:rsidRPr="009A3568" w:rsidRDefault="009A3568" w:rsidP="002A6F0D">
      <w:pPr>
        <w:spacing w:before="60" w:after="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35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перевірки під час здійснення </w:t>
      </w:r>
      <w:r w:rsidR="006A3E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державного </w:t>
      </w:r>
      <w:r w:rsidRPr="009A35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ринкового нагляду </w:t>
      </w:r>
    </w:p>
    <w:p w14:paraId="5A190A99" w14:textId="77777777" w:rsidR="00C22CF3" w:rsidRPr="003D50D6" w:rsidRDefault="00C22CF3" w:rsidP="003D50D6">
      <w:pPr>
        <w:pStyle w:val="ab"/>
        <w:spacing w:after="12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9A3568" w:rsidRPr="007426C2">
        <w:rPr>
          <w:rFonts w:ascii="Times New Roman" w:hAnsi="Times New Roman" w:cs="Times New Roman"/>
          <w:sz w:val="28"/>
          <w:szCs w:val="28"/>
          <w:lang w:val="uk-UA"/>
        </w:rPr>
        <w:t>Допустимі похибки, зазначені в цьому додатку, стосуються лише перевірки вимірюваних параметрів органами державного ринкового нагляду та не повинні використовуватися виробником або імпортером як допустимі похибки для встановлення значень у технічній документації або при інтерпретації цих значень для досягнення відповідності або покращення значень продуктивності</w:t>
      </w:r>
      <w:r w:rsidR="009A3568" w:rsidRPr="007426C2">
        <w:rPr>
          <w:rFonts w:ascii="Times New Roman" w:hAnsi="Times New Roman" w:cs="Times New Roman"/>
          <w:sz w:val="28"/>
          <w:szCs w:val="28"/>
        </w:rPr>
        <w:t>.</w:t>
      </w:r>
    </w:p>
    <w:p w14:paraId="0DB869E0" w14:textId="77777777" w:rsidR="009A3568" w:rsidRPr="007426C2" w:rsidRDefault="003D50D6" w:rsidP="003D50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9A3568" w:rsidRPr="007426C2">
        <w:rPr>
          <w:rFonts w:ascii="Times New Roman" w:hAnsi="Times New Roman" w:cs="Times New Roman"/>
          <w:sz w:val="28"/>
          <w:szCs w:val="28"/>
          <w:lang w:val="uk-UA"/>
        </w:rPr>
        <w:t>При проведенні перевірки відповідності</w:t>
      </w:r>
      <w:r w:rsidR="00897AD9">
        <w:rPr>
          <w:rFonts w:ascii="Times New Roman" w:hAnsi="Times New Roman" w:cs="Times New Roman"/>
          <w:sz w:val="28"/>
          <w:szCs w:val="28"/>
          <w:lang w:val="uk-UA"/>
        </w:rPr>
        <w:t xml:space="preserve"> місцевих</w:t>
      </w:r>
      <w:r w:rsidR="009A3568" w:rsidRPr="007426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6778" w:rsidRPr="00C5677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обігрівачів </w:t>
      </w:r>
      <w:r w:rsidR="009A3568" w:rsidRPr="007426C2">
        <w:rPr>
          <w:rFonts w:ascii="Times New Roman" w:hAnsi="Times New Roman" w:cs="Times New Roman"/>
          <w:sz w:val="28"/>
          <w:szCs w:val="28"/>
          <w:lang w:val="uk-UA"/>
        </w:rPr>
        <w:t>вимогам Технічного регламенту</w:t>
      </w:r>
      <w:r w:rsidR="00CE3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606" w:rsidRPr="00CE3606">
        <w:rPr>
          <w:rFonts w:ascii="Times New Roman" w:hAnsi="Times New Roman" w:cs="Times New Roman"/>
          <w:sz w:val="28"/>
          <w:szCs w:val="28"/>
          <w:lang w:val="uk-UA"/>
        </w:rPr>
        <w:t xml:space="preserve">щодо вимог до </w:t>
      </w:r>
      <w:proofErr w:type="spellStart"/>
      <w:r w:rsidR="00CE3606" w:rsidRPr="00CE3606">
        <w:rPr>
          <w:rFonts w:ascii="Times New Roman" w:hAnsi="Times New Roman" w:cs="Times New Roman"/>
          <w:sz w:val="28"/>
          <w:szCs w:val="28"/>
          <w:lang w:val="uk-UA"/>
        </w:rPr>
        <w:t>екодизайну</w:t>
      </w:r>
      <w:proofErr w:type="spellEnd"/>
      <w:r w:rsidR="00CE3606" w:rsidRPr="00CE3606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897AD9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="00CE3606" w:rsidRPr="00CE3606">
        <w:rPr>
          <w:rFonts w:ascii="Times New Roman" w:hAnsi="Times New Roman" w:cs="Times New Roman"/>
          <w:sz w:val="28"/>
          <w:szCs w:val="28"/>
          <w:lang w:val="uk-UA"/>
        </w:rPr>
        <w:t xml:space="preserve">обігрівачів </w:t>
      </w:r>
      <w:r w:rsidR="00CE3606">
        <w:rPr>
          <w:rFonts w:ascii="Times New Roman" w:hAnsi="Times New Roman" w:cs="Times New Roman"/>
          <w:sz w:val="28"/>
          <w:szCs w:val="28"/>
          <w:lang w:val="uk-UA"/>
        </w:rPr>
        <w:t>(далі – Технічний регламент)</w:t>
      </w:r>
      <w:r w:rsidR="009A3568" w:rsidRPr="007426C2">
        <w:rPr>
          <w:rFonts w:ascii="Times New Roman" w:hAnsi="Times New Roman" w:cs="Times New Roman"/>
          <w:sz w:val="28"/>
          <w:szCs w:val="28"/>
          <w:lang w:val="uk-UA"/>
        </w:rPr>
        <w:t>, органи де</w:t>
      </w:r>
      <w:r w:rsidR="00BC05FC">
        <w:rPr>
          <w:rFonts w:ascii="Times New Roman" w:hAnsi="Times New Roman" w:cs="Times New Roman"/>
          <w:sz w:val="28"/>
          <w:szCs w:val="28"/>
          <w:lang w:val="uk-UA"/>
        </w:rPr>
        <w:t>ржавного ринкового нагляду повинні</w:t>
      </w:r>
      <w:r w:rsidR="009A3568" w:rsidRPr="007426C2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застосовувати наступну процедуру:</w:t>
      </w:r>
    </w:p>
    <w:p w14:paraId="76C26521" w14:textId="77777777" w:rsidR="009A3568" w:rsidRPr="00D07CB1" w:rsidRDefault="00BC05FC" w:rsidP="003D50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п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>еревірці підлягає од</w:t>
      </w:r>
      <w:r w:rsidR="00EB5140" w:rsidRPr="00D07CB1">
        <w:rPr>
          <w:rFonts w:ascii="Times New Roman" w:hAnsi="Times New Roman" w:cs="Times New Roman"/>
          <w:sz w:val="28"/>
          <w:szCs w:val="28"/>
          <w:lang w:val="uk-UA"/>
        </w:rPr>
        <w:t>ин</w:t>
      </w:r>
      <w:r w:rsidR="00FD12F4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7CB1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обігрівач 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>для кожної моделі.</w:t>
      </w:r>
    </w:p>
    <w:p w14:paraId="1AAE8A04" w14:textId="54898B72" w:rsidR="009A3568" w:rsidRPr="00D07CB1" w:rsidRDefault="003D50D6" w:rsidP="003D50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</w:t>
      </w:r>
      <w:r w:rsidR="00BC05F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одель </w:t>
      </w:r>
      <w:r w:rsidR="00D07CB1" w:rsidRPr="00D07CB1">
        <w:rPr>
          <w:rFonts w:ascii="Times New Roman" w:hAnsi="Times New Roman" w:cs="Times New Roman"/>
          <w:spacing w:val="-2"/>
          <w:sz w:val="28"/>
          <w:szCs w:val="28"/>
          <w:lang w:val="uk-UA"/>
        </w:rPr>
        <w:t>обігрівача</w:t>
      </w:r>
      <w:r w:rsidR="00EB5140" w:rsidRPr="00D07CB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>вважаться такою, що відповідає вимогам</w:t>
      </w:r>
      <w:r w:rsidR="00BC05FC">
        <w:rPr>
          <w:rFonts w:ascii="Times New Roman" w:hAnsi="Times New Roman" w:cs="Times New Roman"/>
          <w:sz w:val="28"/>
          <w:szCs w:val="28"/>
          <w:lang w:val="uk-UA"/>
        </w:rPr>
        <w:t xml:space="preserve"> наведеним </w:t>
      </w:r>
      <w:r w:rsidR="00BC05FC" w:rsidRPr="001F3FA5">
        <w:rPr>
          <w:rFonts w:ascii="Times New Roman" w:hAnsi="Times New Roman" w:cs="Times New Roman"/>
          <w:sz w:val="28"/>
          <w:szCs w:val="28"/>
          <w:lang w:val="uk-UA"/>
        </w:rPr>
        <w:t>у додатку 2</w:t>
      </w:r>
      <w:r w:rsidR="004734AE">
        <w:rPr>
          <w:rFonts w:ascii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9A3568" w:rsidRPr="001F3FA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 якщо:</w:t>
      </w:r>
    </w:p>
    <w:p w14:paraId="34F18C01" w14:textId="77777777" w:rsidR="009A3568" w:rsidRPr="00D07CB1" w:rsidRDefault="005771BE" w:rsidP="003D50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заявлені </w:t>
      </w:r>
      <w:r w:rsidR="00816AF8" w:rsidRPr="00D07CB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>начення,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відповідають вимогам, наведеним </w:t>
      </w:r>
      <w:r w:rsidRPr="001F3FA5">
        <w:rPr>
          <w:rFonts w:ascii="Times New Roman" w:hAnsi="Times New Roman" w:cs="Times New Roman"/>
          <w:sz w:val="28"/>
          <w:szCs w:val="28"/>
          <w:lang w:val="uk-UA"/>
        </w:rPr>
        <w:t>у додатку 2</w:t>
      </w:r>
      <w:r w:rsidRPr="00577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в технічній документації та, </w:t>
      </w:r>
      <w:r w:rsidR="001F3FA5">
        <w:rPr>
          <w:rFonts w:ascii="Times New Roman" w:hAnsi="Times New Roman" w:cs="Times New Roman"/>
          <w:sz w:val="28"/>
          <w:szCs w:val="28"/>
          <w:lang w:val="uk-UA"/>
        </w:rPr>
        <w:t>у відповідних випадках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, значення, </w:t>
      </w:r>
      <w:r w:rsidR="00D61D67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використовуються для розрахунку цих значень, не є </w:t>
      </w:r>
      <w:r w:rsidR="00831E94">
        <w:rPr>
          <w:rFonts w:ascii="Times New Roman" w:hAnsi="Times New Roman" w:cs="Times New Roman"/>
          <w:sz w:val="28"/>
          <w:szCs w:val="28"/>
          <w:lang w:val="uk-UA"/>
        </w:rPr>
        <w:t>сприятливішими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 для виробника або імпортера, ніж результати відповідних вимірю</w:t>
      </w:r>
      <w:r>
        <w:rPr>
          <w:rFonts w:ascii="Times New Roman" w:hAnsi="Times New Roman" w:cs="Times New Roman"/>
          <w:sz w:val="28"/>
          <w:szCs w:val="28"/>
          <w:lang w:val="uk-UA"/>
        </w:rPr>
        <w:t>вань</w:t>
      </w:r>
      <w:r w:rsidR="00897A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AD9" w:rsidRPr="001020D5">
        <w:rPr>
          <w:rFonts w:ascii="Times New Roman" w:hAnsi="Times New Roman" w:cs="Times New Roman"/>
          <w:sz w:val="28"/>
          <w:szCs w:val="28"/>
          <w:lang w:val="uk-UA"/>
        </w:rPr>
        <w:t xml:space="preserve">проведених </w:t>
      </w:r>
      <w:r w:rsidR="00D61D67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897AD9">
        <w:rPr>
          <w:lang w:val="uk-UA"/>
        </w:rPr>
        <w:t xml:space="preserve"> </w:t>
      </w:r>
      <w:r w:rsidR="00897AD9" w:rsidRPr="001F3FA5">
        <w:rPr>
          <w:rFonts w:ascii="Times New Roman" w:hAnsi="Times New Roman" w:cs="Times New Roman"/>
          <w:sz w:val="28"/>
          <w:szCs w:val="28"/>
          <w:lang w:val="uk-UA"/>
        </w:rPr>
        <w:t>пункту 7 додатка 3</w:t>
      </w:r>
      <w:r w:rsidRPr="001F3FA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194BFF5" w14:textId="77777777" w:rsidR="009A3568" w:rsidRPr="00D07CB1" w:rsidRDefault="00816AF8" w:rsidP="003D50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CB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аявлені значення відповідають </w:t>
      </w:r>
      <w:r w:rsidR="00CE3606">
        <w:rPr>
          <w:rFonts w:ascii="Times New Roman" w:hAnsi="Times New Roman" w:cs="Times New Roman"/>
          <w:sz w:val="28"/>
          <w:szCs w:val="28"/>
          <w:lang w:val="uk-UA"/>
        </w:rPr>
        <w:t xml:space="preserve">вимогам, встановленим </w:t>
      </w:r>
      <w:r w:rsidR="00897AD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>Технічному регламенті, а інформація про пр</w:t>
      </w:r>
      <w:r w:rsidR="001F3FA5">
        <w:rPr>
          <w:rFonts w:ascii="Times New Roman" w:hAnsi="Times New Roman" w:cs="Times New Roman"/>
          <w:sz w:val="28"/>
          <w:szCs w:val="28"/>
          <w:lang w:val="uk-UA"/>
        </w:rPr>
        <w:t>илад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>, надана виробником або імпортером, не містить значень, які є сприятлив</w:t>
      </w:r>
      <w:r w:rsidR="007670CD">
        <w:rPr>
          <w:rFonts w:ascii="Times New Roman" w:hAnsi="Times New Roman" w:cs="Times New Roman"/>
          <w:sz w:val="28"/>
          <w:szCs w:val="28"/>
          <w:lang w:val="uk-UA"/>
        </w:rPr>
        <w:t>ішими</w:t>
      </w:r>
      <w:r w:rsidR="009A3568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 для виробника або імпортера, н</w:t>
      </w:r>
      <w:r w:rsidR="001337C8" w:rsidRPr="00D07CB1">
        <w:rPr>
          <w:rFonts w:ascii="Times New Roman" w:hAnsi="Times New Roman" w:cs="Times New Roman"/>
          <w:sz w:val="28"/>
          <w:szCs w:val="28"/>
          <w:lang w:val="uk-UA"/>
        </w:rPr>
        <w:t xml:space="preserve">іж вказані значення; </w:t>
      </w:r>
    </w:p>
    <w:p w14:paraId="3294D952" w14:textId="77777777" w:rsidR="00C22CF3" w:rsidRPr="00CC352A" w:rsidRDefault="00816AF8" w:rsidP="003D50D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52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>оли органи державного ринкового нагляду перевіряють</w:t>
      </w:r>
      <w:r w:rsidR="00897AD9">
        <w:rPr>
          <w:rFonts w:ascii="Times New Roman" w:hAnsi="Times New Roman" w:cs="Times New Roman"/>
          <w:sz w:val="28"/>
          <w:szCs w:val="28"/>
          <w:lang w:val="uk-UA"/>
        </w:rPr>
        <w:t xml:space="preserve"> місцевий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7CB1" w:rsidRPr="00CC352A">
        <w:rPr>
          <w:rFonts w:ascii="Times New Roman" w:hAnsi="Times New Roman" w:cs="Times New Roman"/>
          <w:spacing w:val="-2"/>
          <w:sz w:val="28"/>
          <w:szCs w:val="28"/>
          <w:lang w:val="uk-UA"/>
        </w:rPr>
        <w:t>обігрівач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>, вказані значення (значення відповідних параметрів, виміряні при перевірці, та значення, що розраховуються з цих вимірювань), повинні відповідати до</w:t>
      </w:r>
      <w:r w:rsidR="00E75326" w:rsidRPr="00CC352A">
        <w:rPr>
          <w:rFonts w:ascii="Times New Roman" w:hAnsi="Times New Roman" w:cs="Times New Roman"/>
          <w:sz w:val="28"/>
          <w:szCs w:val="28"/>
          <w:lang w:val="uk-UA"/>
        </w:rPr>
        <w:t>пустимим похибкам, наведеним у т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аблиці </w:t>
      </w:r>
      <w:r w:rsidR="00033EB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75326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</w:t>
      </w:r>
      <w:r w:rsidR="00CC52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61E4ED" w14:textId="77777777" w:rsidR="009A3568" w:rsidRDefault="00FE4F46" w:rsidP="003D50D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Якщо ре</w:t>
      </w:r>
      <w:r w:rsidR="00816AF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зультати, зазначені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абзацах </w:t>
      </w:r>
      <w:r w:rsidR="00261F09">
        <w:rPr>
          <w:rFonts w:ascii="Times New Roman" w:hAnsi="Times New Roman" w:cs="Times New Roman"/>
          <w:sz w:val="28"/>
          <w:szCs w:val="28"/>
          <w:lang w:val="uk-UA"/>
        </w:rPr>
        <w:t>другому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261F09">
        <w:rPr>
          <w:rFonts w:ascii="Times New Roman" w:hAnsi="Times New Roman" w:cs="Times New Roman"/>
          <w:sz w:val="28"/>
          <w:szCs w:val="28"/>
          <w:lang w:val="uk-UA"/>
        </w:rPr>
        <w:t>третьому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0CD">
        <w:rPr>
          <w:rFonts w:ascii="Times New Roman" w:hAnsi="Times New Roman" w:cs="Times New Roman"/>
          <w:sz w:val="28"/>
          <w:szCs w:val="28"/>
          <w:lang w:val="uk-UA"/>
        </w:rPr>
        <w:t>підпункту 2</w:t>
      </w:r>
      <w:r w:rsidR="009617A6">
        <w:rPr>
          <w:rFonts w:ascii="Times New Roman" w:hAnsi="Times New Roman" w:cs="Times New Roman"/>
          <w:sz w:val="28"/>
          <w:szCs w:val="28"/>
          <w:lang w:val="uk-UA"/>
        </w:rPr>
        <w:t xml:space="preserve"> пункту 2</w:t>
      </w:r>
      <w:r w:rsidR="007670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цього додатк</w:t>
      </w:r>
      <w:r w:rsidR="00CC52F3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не досягнуті, модель </w:t>
      </w:r>
      <w:r w:rsidR="00033EBB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</w:t>
      </w:r>
      <w:r w:rsidR="00CC352A" w:rsidRPr="00CC352A">
        <w:rPr>
          <w:rFonts w:ascii="Times New Roman" w:hAnsi="Times New Roman" w:cs="Times New Roman"/>
          <w:sz w:val="28"/>
          <w:szCs w:val="28"/>
          <w:lang w:val="uk-UA"/>
        </w:rPr>
        <w:t>обігрівача</w:t>
      </w:r>
      <w:r w:rsidR="00BC05FC">
        <w:rPr>
          <w:rFonts w:ascii="Times New Roman" w:hAnsi="Times New Roman" w:cs="Times New Roman"/>
          <w:sz w:val="28"/>
          <w:szCs w:val="28"/>
          <w:lang w:val="uk-UA"/>
        </w:rPr>
        <w:t xml:space="preserve"> та всі еквівалентні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05FC">
        <w:rPr>
          <w:rFonts w:ascii="Times New Roman" w:hAnsi="Times New Roman" w:cs="Times New Roman"/>
          <w:sz w:val="28"/>
          <w:szCs w:val="28"/>
          <w:lang w:val="uk-UA"/>
        </w:rPr>
        <w:t xml:space="preserve">моделі </w:t>
      </w:r>
      <w:r w:rsidR="00033EBB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="00CC352A" w:rsidRPr="00CC352A">
        <w:rPr>
          <w:rFonts w:ascii="Times New Roman" w:hAnsi="Times New Roman" w:cs="Times New Roman"/>
          <w:sz w:val="28"/>
          <w:szCs w:val="28"/>
          <w:lang w:val="uk-UA"/>
        </w:rPr>
        <w:t>обігрівачі</w:t>
      </w:r>
      <w:r w:rsidR="00DB32D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949D9" w:rsidRPr="00CC352A">
        <w:rPr>
          <w:rFonts w:ascii="Times New Roman" w:hAnsi="Times New Roman" w:cs="Times New Roman"/>
          <w:sz w:val="28"/>
          <w:szCs w:val="28"/>
          <w:lang w:val="uk-UA"/>
        </w:rPr>
        <w:t>, які зазначені у технічній документації виробника чи імпортера</w:t>
      </w:r>
      <w:r w:rsidR="0083598B" w:rsidRPr="00CC352A">
        <w:rPr>
          <w:rFonts w:ascii="Times New Roman" w:hAnsi="Times New Roman" w:cs="Times New Roman"/>
          <w:sz w:val="28"/>
          <w:szCs w:val="28"/>
          <w:lang w:val="uk-UA"/>
        </w:rPr>
        <w:t>, вважаються такими, що не відповідають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вимогам Технічного регламенту.</w:t>
      </w:r>
    </w:p>
    <w:p w14:paraId="2D980C2D" w14:textId="77777777" w:rsidR="00C22CF3" w:rsidRPr="00CC352A" w:rsidRDefault="00FE4F46" w:rsidP="003D50D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Якщо результат</w:t>
      </w:r>
      <w:r w:rsidR="00033EBB">
        <w:rPr>
          <w:rFonts w:ascii="Times New Roman" w:hAnsi="Times New Roman" w:cs="Times New Roman"/>
          <w:sz w:val="28"/>
          <w:szCs w:val="28"/>
          <w:lang w:val="uk-UA"/>
        </w:rPr>
        <w:t>у, зазначеного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абзаці </w:t>
      </w:r>
      <w:r w:rsidR="00261F09">
        <w:rPr>
          <w:rFonts w:ascii="Times New Roman" w:hAnsi="Times New Roman" w:cs="Times New Roman"/>
          <w:sz w:val="28"/>
          <w:szCs w:val="28"/>
          <w:lang w:val="uk-UA"/>
        </w:rPr>
        <w:t>четвертому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7A6">
        <w:rPr>
          <w:rFonts w:ascii="Times New Roman" w:hAnsi="Times New Roman" w:cs="Times New Roman"/>
          <w:sz w:val="28"/>
          <w:szCs w:val="28"/>
          <w:lang w:val="uk-UA"/>
        </w:rPr>
        <w:t>підпункту 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617A6" w:rsidRPr="009617A6">
        <w:rPr>
          <w:rFonts w:ascii="Times New Roman" w:hAnsi="Times New Roman" w:cs="Times New Roman"/>
          <w:sz w:val="28"/>
          <w:szCs w:val="28"/>
        </w:rPr>
        <w:t xml:space="preserve"> </w:t>
      </w:r>
      <w:r w:rsidR="009617A6">
        <w:rPr>
          <w:rFonts w:ascii="Times New Roman" w:hAnsi="Times New Roman" w:cs="Times New Roman"/>
          <w:sz w:val="28"/>
          <w:szCs w:val="28"/>
          <w:lang w:val="uk-UA"/>
        </w:rPr>
        <w:t>пункту 2 цього додатк</w:t>
      </w:r>
      <w:r w:rsidR="00CC52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не досягнуто, органи державного ринкового нагляду 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вибирають три додаткові </w:t>
      </w:r>
      <w:r w:rsidR="00033EBB">
        <w:rPr>
          <w:rFonts w:ascii="Times New Roman" w:hAnsi="Times New Roman" w:cs="Times New Roman"/>
          <w:sz w:val="28"/>
          <w:szCs w:val="28"/>
          <w:lang w:val="uk-UA"/>
        </w:rPr>
        <w:t xml:space="preserve">місцеві </w:t>
      </w:r>
      <w:r w:rsidR="00CC352A" w:rsidRPr="00CC352A">
        <w:rPr>
          <w:rFonts w:ascii="Times New Roman" w:hAnsi="Times New Roman" w:cs="Times New Roman"/>
          <w:sz w:val="28"/>
          <w:szCs w:val="28"/>
          <w:lang w:val="uk-UA"/>
        </w:rPr>
        <w:t>обігрівачі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тієї самої моделі для перевірки. Або, як альтернативу, обирають три </w:t>
      </w:r>
      <w:r w:rsidR="00033EBB">
        <w:rPr>
          <w:rFonts w:ascii="Times New Roman" w:hAnsi="Times New Roman" w:cs="Times New Roman"/>
          <w:sz w:val="28"/>
          <w:szCs w:val="28"/>
          <w:lang w:val="uk-UA"/>
        </w:rPr>
        <w:t>місцеві</w:t>
      </w:r>
      <w:r w:rsidR="00033EBB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352A" w:rsidRPr="00CC352A">
        <w:rPr>
          <w:rFonts w:ascii="Times New Roman" w:hAnsi="Times New Roman" w:cs="Times New Roman"/>
          <w:sz w:val="28"/>
          <w:szCs w:val="28"/>
          <w:lang w:val="uk-UA"/>
        </w:rPr>
        <w:t>обігрівачі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>, що є еквівалентними</w:t>
      </w:r>
      <w:r w:rsidR="00DB32D9">
        <w:rPr>
          <w:rFonts w:ascii="Times New Roman" w:hAnsi="Times New Roman" w:cs="Times New Roman"/>
          <w:sz w:val="28"/>
          <w:szCs w:val="28"/>
          <w:lang w:val="uk-UA"/>
        </w:rPr>
        <w:t xml:space="preserve"> моделями</w:t>
      </w:r>
      <w:r w:rsidR="00E949D9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32D9">
        <w:rPr>
          <w:rFonts w:ascii="Times New Roman" w:hAnsi="Times New Roman" w:cs="Times New Roman"/>
          <w:sz w:val="28"/>
          <w:szCs w:val="28"/>
          <w:lang w:val="uk-UA"/>
        </w:rPr>
        <w:t>обігрівачів</w:t>
      </w:r>
      <w:r w:rsidR="00E949D9" w:rsidRPr="00CC352A">
        <w:rPr>
          <w:rFonts w:ascii="Times New Roman" w:hAnsi="Times New Roman" w:cs="Times New Roman"/>
          <w:sz w:val="28"/>
          <w:szCs w:val="28"/>
          <w:lang w:val="uk-UA"/>
        </w:rPr>
        <w:t>, які зазначені у технічній документації виробника чи імпортера.</w:t>
      </w:r>
    </w:p>
    <w:p w14:paraId="3D17D70A" w14:textId="77777777" w:rsidR="00C22CF3" w:rsidRPr="00CC352A" w:rsidRDefault="00FE4F46" w:rsidP="003D50D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Модель вважається такою, що відповідає вимогам, якщо для цих трьох </w:t>
      </w:r>
      <w:r w:rsidR="009C7E14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="00CC352A" w:rsidRPr="00CC352A">
        <w:rPr>
          <w:rFonts w:ascii="Times New Roman" w:hAnsi="Times New Roman" w:cs="Times New Roman"/>
          <w:sz w:val="28"/>
          <w:szCs w:val="28"/>
          <w:lang w:val="uk-UA"/>
        </w:rPr>
        <w:t>обігрівачів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середнє арифметичне значення, відповідає допустимим похибкам, наведеним у </w:t>
      </w:r>
      <w:r w:rsidR="00816AF8" w:rsidRPr="00CC352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>аблиці</w:t>
      </w:r>
      <w:r w:rsidR="000947C4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20D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75326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</w:t>
      </w:r>
      <w:r w:rsidR="001020D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A1796B" w14:textId="217125E9" w:rsidR="009A3568" w:rsidRPr="00CC352A" w:rsidRDefault="00FE4F46" w:rsidP="003D50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Якщо результ</w:t>
      </w:r>
      <w:r w:rsidR="001337C8" w:rsidRPr="00CC352A">
        <w:rPr>
          <w:rFonts w:ascii="Times New Roman" w:hAnsi="Times New Roman" w:cs="Times New Roman"/>
          <w:sz w:val="28"/>
          <w:szCs w:val="28"/>
          <w:lang w:val="uk-UA"/>
        </w:rPr>
        <w:t>ату</w:t>
      </w:r>
      <w:r w:rsidR="00DB32D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зазначено</w:t>
      </w:r>
      <w:r w:rsidR="001337C8" w:rsidRPr="00CC352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у пункті 5</w:t>
      </w:r>
      <w:r w:rsidR="002752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2C2" w:rsidRPr="004734AE">
        <w:rPr>
          <w:rFonts w:ascii="Times New Roman" w:hAnsi="Times New Roman" w:cs="Times New Roman"/>
          <w:sz w:val="28"/>
          <w:szCs w:val="28"/>
          <w:lang w:val="uk-UA"/>
        </w:rPr>
        <w:t>цього додатка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не досягнуто, модель </w:t>
      </w:r>
      <w:r w:rsidR="00CC352A" w:rsidRPr="00CC352A">
        <w:rPr>
          <w:rFonts w:ascii="Times New Roman" w:hAnsi="Times New Roman" w:cs="Times New Roman"/>
          <w:sz w:val="28"/>
          <w:szCs w:val="28"/>
          <w:lang w:val="uk-UA"/>
        </w:rPr>
        <w:t>обігрівача</w:t>
      </w:r>
      <w:r w:rsidR="00E949D9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та всі еквіваленті</w:t>
      </w:r>
      <w:r w:rsidR="00DB32D9">
        <w:rPr>
          <w:rFonts w:ascii="Times New Roman" w:hAnsi="Times New Roman" w:cs="Times New Roman"/>
          <w:sz w:val="28"/>
          <w:szCs w:val="28"/>
          <w:lang w:val="uk-UA"/>
        </w:rPr>
        <w:t xml:space="preserve"> моделі</w:t>
      </w:r>
      <w:r w:rsidR="00E949D9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352A" w:rsidRPr="00CC352A">
        <w:rPr>
          <w:rFonts w:ascii="Times New Roman" w:hAnsi="Times New Roman" w:cs="Times New Roman"/>
          <w:sz w:val="28"/>
          <w:szCs w:val="28"/>
          <w:lang w:val="uk-UA"/>
        </w:rPr>
        <w:t>обігрівачі</w:t>
      </w:r>
      <w:r w:rsidR="00DB32D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949D9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, які зазначені у технічній документації виробника чи імпортера, </w:t>
      </w:r>
      <w:r w:rsidR="0083598B" w:rsidRPr="00CC352A">
        <w:rPr>
          <w:rFonts w:ascii="Times New Roman" w:hAnsi="Times New Roman" w:cs="Times New Roman"/>
          <w:sz w:val="28"/>
          <w:szCs w:val="28"/>
          <w:lang w:val="uk-UA"/>
        </w:rPr>
        <w:t>вважаю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>ться так</w:t>
      </w:r>
      <w:r w:rsidR="0083598B" w:rsidRPr="00CC352A">
        <w:rPr>
          <w:rFonts w:ascii="Times New Roman" w:hAnsi="Times New Roman" w:cs="Times New Roman"/>
          <w:sz w:val="28"/>
          <w:szCs w:val="28"/>
          <w:lang w:val="uk-UA"/>
        </w:rPr>
        <w:t>ими, що не відповідають</w:t>
      </w:r>
      <w:r w:rsidR="009A3568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вимогам Технічного регламенту.</w:t>
      </w:r>
    </w:p>
    <w:p w14:paraId="0BBBCF19" w14:textId="3020ECE1" w:rsidR="009A3568" w:rsidRPr="00F507FE" w:rsidRDefault="009A3568" w:rsidP="003D50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Органи державного ринкового нагляду використовують </w:t>
      </w:r>
      <w:r w:rsidR="009C7E14" w:rsidRPr="001020D5">
        <w:rPr>
          <w:rFonts w:ascii="Times New Roman" w:hAnsi="Times New Roman" w:cs="Times New Roman"/>
          <w:sz w:val="28"/>
          <w:szCs w:val="28"/>
          <w:lang w:val="uk-UA"/>
        </w:rPr>
        <w:t>вимірювання та розрахунки</w:t>
      </w:r>
      <w:r w:rsidRPr="001020D5">
        <w:rPr>
          <w:rFonts w:ascii="Times New Roman" w:hAnsi="Times New Roman" w:cs="Times New Roman"/>
          <w:sz w:val="28"/>
          <w:szCs w:val="28"/>
          <w:lang w:val="uk-UA"/>
        </w:rPr>
        <w:t xml:space="preserve">, наведені </w:t>
      </w:r>
      <w:r w:rsidR="002752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020D5">
        <w:rPr>
          <w:rFonts w:ascii="Times New Roman" w:hAnsi="Times New Roman" w:cs="Times New Roman"/>
          <w:sz w:val="28"/>
          <w:szCs w:val="28"/>
          <w:lang w:val="uk-UA"/>
        </w:rPr>
        <w:t xml:space="preserve"> додатк</w:t>
      </w:r>
      <w:r w:rsidR="005F48A5" w:rsidRPr="001020D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020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47C4" w:rsidRPr="001020D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947C4" w:rsidRPr="00F50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2F3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020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37C8" w:rsidRPr="00F507FE">
        <w:rPr>
          <w:rFonts w:ascii="Times New Roman" w:hAnsi="Times New Roman" w:cs="Times New Roman"/>
          <w:sz w:val="28"/>
          <w:szCs w:val="28"/>
          <w:lang w:val="uk-UA"/>
        </w:rPr>
        <w:t>Технічного регламенту</w:t>
      </w:r>
      <w:r w:rsidRPr="00F507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F04A1A9" w14:textId="77777777" w:rsidR="009A3568" w:rsidRPr="00CC352A" w:rsidRDefault="009A3568" w:rsidP="003D50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352A">
        <w:rPr>
          <w:rFonts w:ascii="Times New Roman" w:hAnsi="Times New Roman" w:cs="Times New Roman"/>
          <w:sz w:val="28"/>
          <w:szCs w:val="28"/>
          <w:lang w:val="uk-UA"/>
        </w:rPr>
        <w:t>Органи державного ринкового нагляду застосовують лише допустимі похибки, наведені в таблиці нижче, і використовують процедуру, описану в пунктах 1-</w:t>
      </w:r>
      <w:r w:rsidR="00A00EE9" w:rsidRPr="00CC352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</w:t>
      </w:r>
      <w:r w:rsidR="0033545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. Не застосовуються інші похибки, наприклад ті, що встановлені в </w:t>
      </w:r>
      <w:r w:rsidR="00A00EE9"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національних стандартах, що є ідентичними </w:t>
      </w:r>
      <w:r w:rsidRPr="00CC352A">
        <w:rPr>
          <w:rFonts w:ascii="Times New Roman" w:hAnsi="Times New Roman" w:cs="Times New Roman"/>
          <w:sz w:val="28"/>
          <w:szCs w:val="28"/>
          <w:lang w:val="uk-UA"/>
        </w:rPr>
        <w:t>гармонізовани</w:t>
      </w:r>
      <w:r w:rsidR="00A00EE9" w:rsidRPr="00CC352A">
        <w:rPr>
          <w:rFonts w:ascii="Times New Roman" w:hAnsi="Times New Roman" w:cs="Times New Roman"/>
          <w:sz w:val="28"/>
          <w:szCs w:val="28"/>
          <w:lang w:val="uk-UA"/>
        </w:rPr>
        <w:t>м європейським стандартам</w:t>
      </w:r>
      <w:r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або будь-яким іншим метод</w:t>
      </w:r>
      <w:r w:rsidR="00A00EE9" w:rsidRPr="00CC352A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CC352A">
        <w:rPr>
          <w:rFonts w:ascii="Times New Roman" w:hAnsi="Times New Roman" w:cs="Times New Roman"/>
          <w:sz w:val="28"/>
          <w:szCs w:val="28"/>
          <w:lang w:val="uk-UA"/>
        </w:rPr>
        <w:t xml:space="preserve"> вимірювання.</w:t>
      </w:r>
    </w:p>
    <w:p w14:paraId="2FBAB759" w14:textId="77777777" w:rsidR="009A3568" w:rsidRPr="00E2725B" w:rsidRDefault="009A3568" w:rsidP="00D57B51">
      <w:pPr>
        <w:spacing w:after="0"/>
        <w:ind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2725B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 w:rsidR="009C7E14">
        <w:rPr>
          <w:rFonts w:ascii="Times New Roman" w:hAnsi="Times New Roman" w:cs="Times New Roman"/>
          <w:sz w:val="28"/>
          <w:szCs w:val="28"/>
          <w:lang w:val="uk-UA"/>
        </w:rPr>
        <w:t>9</w:t>
      </w:r>
    </w:p>
    <w:p w14:paraId="29189AD7" w14:textId="77777777" w:rsidR="009A3568" w:rsidRPr="00E2725B" w:rsidRDefault="009A3568" w:rsidP="003D50D6">
      <w:pPr>
        <w:spacing w:after="0"/>
        <w:ind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725B">
        <w:rPr>
          <w:rFonts w:ascii="Times New Roman" w:hAnsi="Times New Roman" w:cs="Times New Roman"/>
          <w:b/>
          <w:sz w:val="28"/>
          <w:szCs w:val="28"/>
          <w:lang w:val="uk-UA"/>
        </w:rPr>
        <w:t>Допустимі похибки</w:t>
      </w:r>
      <w:r w:rsidR="006D1126" w:rsidRPr="00E272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TableNormal"/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4"/>
        <w:gridCol w:w="4074"/>
      </w:tblGrid>
      <w:tr w:rsidR="00E949D9" w:rsidRPr="008A47D1" w14:paraId="3FAAA742" w14:textId="77777777" w:rsidTr="003D50D6">
        <w:trPr>
          <w:trHeight w:hRule="exact" w:val="350"/>
        </w:trPr>
        <w:tc>
          <w:tcPr>
            <w:tcW w:w="5534" w:type="dxa"/>
            <w:shd w:val="clear" w:color="auto" w:fill="auto"/>
          </w:tcPr>
          <w:p w14:paraId="2FF8E4DA" w14:textId="77777777" w:rsidR="00E949D9" w:rsidRPr="00E2725B" w:rsidRDefault="00E949D9" w:rsidP="005278C2">
            <w:pPr>
              <w:pStyle w:val="a3"/>
              <w:tabs>
                <w:tab w:val="left" w:pos="851"/>
              </w:tabs>
              <w:spacing w:before="0"/>
              <w:ind w:firstLine="14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72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Параметри</w:t>
            </w:r>
          </w:p>
        </w:tc>
        <w:tc>
          <w:tcPr>
            <w:tcW w:w="4074" w:type="dxa"/>
            <w:shd w:val="clear" w:color="auto" w:fill="auto"/>
          </w:tcPr>
          <w:p w14:paraId="7A704241" w14:textId="77777777" w:rsidR="00E949D9" w:rsidRPr="00E2725B" w:rsidRDefault="00E949D9" w:rsidP="005278C2">
            <w:pPr>
              <w:pStyle w:val="a3"/>
              <w:tabs>
                <w:tab w:val="left" w:pos="851"/>
              </w:tabs>
              <w:spacing w:before="0"/>
              <w:ind w:firstLine="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72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Допустимі похибки</w:t>
            </w:r>
          </w:p>
        </w:tc>
      </w:tr>
      <w:tr w:rsidR="00E949D9" w:rsidRPr="008A47D1" w14:paraId="450CB1A7" w14:textId="77777777" w:rsidTr="00C97266">
        <w:trPr>
          <w:trHeight w:hRule="exact" w:val="1120"/>
        </w:trPr>
        <w:tc>
          <w:tcPr>
            <w:tcW w:w="5534" w:type="dxa"/>
          </w:tcPr>
          <w:p w14:paraId="10DF5B55" w14:textId="77777777" w:rsidR="00E949D9" w:rsidRPr="008A47D1" w:rsidRDefault="00335458" w:rsidP="006E2132">
            <w:pPr>
              <w:pStyle w:val="a3"/>
              <w:tabs>
                <w:tab w:val="left" w:pos="851"/>
              </w:tabs>
              <w:spacing w:before="0"/>
              <w:ind w:left="147" w:right="131" w:firstLine="0"/>
              <w:rPr>
                <w:rFonts w:ascii="Times New Roman" w:hAnsi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Сезонна енергоефективність</w:t>
            </w:r>
            <w:r w:rsidR="00E27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2725B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обігріву приміщень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s</m:t>
                  </m:r>
                </m:sub>
              </m:sSub>
            </m:oMath>
            <w:r w:rsidR="00034C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34C58" w:rsidRPr="00034C58">
              <w:rPr>
                <w:rFonts w:ascii="Times New Roman" w:hAnsi="Times New Roman"/>
                <w:sz w:val="24"/>
                <w:szCs w:val="24"/>
                <w:lang w:eastAsia="ru-RU"/>
              </w:rPr>
              <w:t>для електричних місцевих обігрівачів</w:t>
            </w:r>
            <w:r w:rsidR="006E21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74" w:type="dxa"/>
          </w:tcPr>
          <w:p w14:paraId="63BF82E0" w14:textId="77777777" w:rsidR="00E949D9" w:rsidRPr="008A47D1" w:rsidRDefault="00BA0A86" w:rsidP="00034C58">
            <w:pPr>
              <w:pStyle w:val="a3"/>
              <w:tabs>
                <w:tab w:val="left" w:pos="851"/>
              </w:tabs>
              <w:spacing w:before="0"/>
              <w:ind w:left="142" w:firstLine="0"/>
              <w:jc w:val="left"/>
              <w:rPr>
                <w:rFonts w:ascii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>Визначене з</w:t>
            </w:r>
            <w:r w:rsidR="00E949D9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>начення</w:t>
            </w:r>
            <w:r w:rsidR="00E949D9" w:rsidRPr="00E2725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949D9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повинно </w:t>
            </w:r>
            <w:r w:rsidR="00E2725B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бути нижчим </w:t>
            </w:r>
            <w:r w:rsidR="00F507F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</w:t>
            </w:r>
            <w:r w:rsidR="00E949D9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заявлен</w:t>
            </w:r>
            <w:r w:rsidR="00216FC2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E949D9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16FC2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>значення</w:t>
            </w:r>
            <w:r w:rsidR="00E24557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34C58">
              <w:rPr>
                <w:rFonts w:ascii="Times New Roman" w:hAnsi="Times New Roman"/>
                <w:sz w:val="24"/>
                <w:szCs w:val="24"/>
                <w:lang w:eastAsia="ru-RU"/>
              </w:rPr>
              <w:t>при номінальній тепловій потужності екземпляра</w:t>
            </w:r>
          </w:p>
        </w:tc>
      </w:tr>
      <w:tr w:rsidR="00E949D9" w:rsidRPr="008A47D1" w14:paraId="74506F55" w14:textId="77777777" w:rsidTr="00C97266">
        <w:trPr>
          <w:trHeight w:hRule="exact" w:val="982"/>
        </w:trPr>
        <w:tc>
          <w:tcPr>
            <w:tcW w:w="5534" w:type="dxa"/>
          </w:tcPr>
          <w:p w14:paraId="13082B30" w14:textId="77777777" w:rsidR="00E949D9" w:rsidRPr="005F48A5" w:rsidRDefault="00335458" w:rsidP="00216FC2">
            <w:pPr>
              <w:pStyle w:val="a3"/>
              <w:tabs>
                <w:tab w:val="left" w:pos="851"/>
              </w:tabs>
              <w:spacing w:before="0"/>
              <w:ind w:left="147" w:firstLine="0"/>
              <w:jc w:val="left"/>
              <w:rPr>
                <w:rFonts w:ascii="Times New Roman" w:hAnsi="Times New Roman"/>
                <w:sz w:val="24"/>
                <w:szCs w:val="24"/>
                <w:highlight w:val="lightGray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Сезонна енергоефективність</w:t>
            </w:r>
            <w:r w:rsidR="00034C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34C58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обігріву приміщень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s</m:t>
                  </m:r>
                </m:sub>
              </m:sSub>
            </m:oMath>
            <w:r w:rsidR="00034C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E2132">
              <w:rPr>
                <w:rFonts w:ascii="Times New Roman" w:hAnsi="Times New Roman"/>
                <w:sz w:val="24"/>
                <w:szCs w:val="24"/>
                <w:lang w:eastAsia="ru-RU"/>
              </w:rPr>
              <w:t>для побутов</w:t>
            </w:r>
            <w:r w:rsidR="00034C58" w:rsidRPr="00034C58">
              <w:rPr>
                <w:rFonts w:ascii="Times New Roman" w:hAnsi="Times New Roman"/>
                <w:sz w:val="24"/>
                <w:szCs w:val="24"/>
                <w:lang w:eastAsia="ru-RU"/>
              </w:rPr>
              <w:t>их місцевих обігрівачів</w:t>
            </w:r>
            <w:r w:rsidR="006E21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2132" w:rsidRPr="006E2132">
              <w:rPr>
                <w:rFonts w:ascii="Times New Roman" w:hAnsi="Times New Roman"/>
                <w:sz w:val="24"/>
                <w:szCs w:val="24"/>
                <w:lang w:eastAsia="ru-RU"/>
              </w:rPr>
              <w:t>на рідкому та газоподібному</w:t>
            </w:r>
            <w:r w:rsidR="006E2132" w:rsidRPr="000D48FA">
              <w:t xml:space="preserve"> </w:t>
            </w:r>
            <w:r w:rsidR="006E2132" w:rsidRPr="006E2132">
              <w:rPr>
                <w:rFonts w:ascii="Times New Roman" w:hAnsi="Times New Roman"/>
                <w:sz w:val="24"/>
                <w:szCs w:val="24"/>
                <w:lang w:eastAsia="ru-RU"/>
              </w:rPr>
              <w:t>паливі</w:t>
            </w:r>
          </w:p>
        </w:tc>
        <w:tc>
          <w:tcPr>
            <w:tcW w:w="4074" w:type="dxa"/>
          </w:tcPr>
          <w:p w14:paraId="3B6D89E8" w14:textId="77777777" w:rsidR="00E949D9" w:rsidRPr="005F48A5" w:rsidRDefault="00216FC2" w:rsidP="005F48A5">
            <w:pPr>
              <w:pStyle w:val="a3"/>
              <w:tabs>
                <w:tab w:val="left" w:pos="851"/>
              </w:tabs>
              <w:spacing w:before="0"/>
              <w:ind w:left="142" w:firstLine="0"/>
              <w:jc w:val="left"/>
              <w:rPr>
                <w:highlight w:val="lightGray"/>
                <w:lang w:val="ru-RU"/>
              </w:rPr>
            </w:pPr>
            <w:r w:rsidRPr="005F4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Визначене значення не повинно </w:t>
            </w:r>
            <w:r w:rsidR="005F48A5" w:rsidRPr="005F48A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бути </w:t>
            </w:r>
            <w:proofErr w:type="spellStart"/>
            <w:r w:rsidR="005F48A5" w:rsidRPr="005F48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нижчим</w:t>
            </w:r>
            <w:proofErr w:type="spellEnd"/>
            <w:r w:rsidR="005F48A5" w:rsidRPr="005F48A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за </w:t>
            </w:r>
            <w:r w:rsidRPr="005F4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заявлене значення більше ніж на </w:t>
            </w:r>
            <w:r w:rsidR="005F48A5" w:rsidRPr="005F48A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8%</w:t>
            </w:r>
          </w:p>
        </w:tc>
      </w:tr>
      <w:tr w:rsidR="00E949D9" w:rsidRPr="008A47D1" w14:paraId="29565421" w14:textId="77777777" w:rsidTr="003D50D6">
        <w:trPr>
          <w:trHeight w:hRule="exact" w:val="989"/>
        </w:trPr>
        <w:tc>
          <w:tcPr>
            <w:tcW w:w="5534" w:type="dxa"/>
          </w:tcPr>
          <w:p w14:paraId="4CCBF8DA" w14:textId="77777777" w:rsidR="00E949D9" w:rsidRPr="008A47D1" w:rsidRDefault="00335458" w:rsidP="006E2132">
            <w:pPr>
              <w:pStyle w:val="a3"/>
              <w:tabs>
                <w:tab w:val="left" w:pos="851"/>
              </w:tabs>
              <w:spacing w:before="0"/>
              <w:ind w:left="147" w:firstLine="0"/>
              <w:jc w:val="left"/>
              <w:rPr>
                <w:rFonts w:asciiTheme="minorHAnsi" w:hAnsiTheme="minorHAnsi"/>
                <w:sz w:val="24"/>
                <w:szCs w:val="24"/>
                <w:highlight w:val="lightGray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Сезонна енергоефективність</w:t>
            </w:r>
            <w:r w:rsidR="006E21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2132" w:rsidRPr="00E27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обігріву приміщень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s</m:t>
                  </m:r>
                </m:sub>
              </m:sSub>
            </m:oMath>
            <w:r w:rsidR="006E2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E21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</w:t>
            </w:r>
            <w:r w:rsidR="006E2132" w:rsidRPr="006E21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світлових і трубчастих </w:t>
            </w:r>
            <w:r w:rsidR="006E2132">
              <w:rPr>
                <w:rFonts w:ascii="Times New Roman" w:hAnsi="Times New Roman"/>
                <w:sz w:val="24"/>
                <w:szCs w:val="24"/>
                <w:lang w:eastAsia="ru-RU"/>
              </w:rPr>
              <w:t>місцев</w:t>
            </w:r>
            <w:r w:rsidR="006E2132" w:rsidRPr="006E2132">
              <w:rPr>
                <w:rFonts w:ascii="Times New Roman" w:hAnsi="Times New Roman"/>
                <w:sz w:val="24"/>
                <w:szCs w:val="24"/>
                <w:lang w:eastAsia="ru-RU"/>
              </w:rPr>
              <w:t>их</w:t>
            </w:r>
            <w:r w:rsidR="006E2132" w:rsidRPr="000D48FA">
              <w:t xml:space="preserve"> </w:t>
            </w:r>
            <w:r w:rsidR="006E2132" w:rsidRPr="006E21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обігрівачів </w:t>
            </w:r>
            <w:r w:rsidR="006E2132" w:rsidRPr="003D50D6">
              <w:rPr>
                <w:rFonts w:ascii="Times New Roman" w:hAnsi="Times New Roman"/>
                <w:sz w:val="24"/>
                <w:szCs w:val="24"/>
                <w:lang w:eastAsia="ru-RU"/>
              </w:rPr>
              <w:t>приміщень</w:t>
            </w:r>
          </w:p>
        </w:tc>
        <w:tc>
          <w:tcPr>
            <w:tcW w:w="4074" w:type="dxa"/>
          </w:tcPr>
          <w:p w14:paraId="4816AF77" w14:textId="77777777" w:rsidR="00BC6AE2" w:rsidRPr="006E2132" w:rsidRDefault="00216FC2" w:rsidP="006E2132">
            <w:pPr>
              <w:ind w:left="142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ru-RU"/>
              </w:rPr>
            </w:pPr>
            <w:r w:rsidRPr="005F4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Визначене значення не </w:t>
            </w:r>
            <w:r w:rsidR="00C97266" w:rsidRPr="005F4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повинно</w:t>
            </w:r>
            <w:r w:rsidR="00C97266" w:rsidRPr="006E2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E2132" w:rsidRPr="006E2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бути нижчим за заявл</w:t>
            </w:r>
            <w:r w:rsidR="006E2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 значення більше ніж на 10 %</w:t>
            </w:r>
          </w:p>
        </w:tc>
      </w:tr>
      <w:tr w:rsidR="00E949D9" w:rsidRPr="008A47D1" w14:paraId="702816F7" w14:textId="77777777" w:rsidTr="00C97266">
        <w:trPr>
          <w:trHeight w:hRule="exact" w:val="996"/>
        </w:trPr>
        <w:tc>
          <w:tcPr>
            <w:tcW w:w="5534" w:type="dxa"/>
          </w:tcPr>
          <w:p w14:paraId="6FE63F0A" w14:textId="77777777" w:rsidR="00E949D9" w:rsidRPr="005F48A5" w:rsidRDefault="005F48A5" w:rsidP="00335458">
            <w:pPr>
              <w:pStyle w:val="a3"/>
              <w:tabs>
                <w:tab w:val="left" w:pos="851"/>
              </w:tabs>
              <w:spacing w:before="0"/>
              <w:ind w:left="147"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8A5">
              <w:rPr>
                <w:rFonts w:ascii="Times New Roman" w:hAnsi="Times New Roman"/>
                <w:sz w:val="24"/>
                <w:szCs w:val="24"/>
              </w:rPr>
              <w:t>Викиди оксиду азоту</w:t>
            </w:r>
            <w:r w:rsidR="006E2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132" w:rsidRPr="00034C58">
              <w:rPr>
                <w:rFonts w:ascii="Times New Roman" w:hAnsi="Times New Roman"/>
                <w:sz w:val="24"/>
                <w:szCs w:val="24"/>
                <w:lang w:eastAsia="ru-RU"/>
              </w:rPr>
              <w:t>місцевих обігрівачів</w:t>
            </w:r>
            <w:r w:rsidR="006E21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2132" w:rsidRPr="006E2132">
              <w:rPr>
                <w:rFonts w:ascii="Times New Roman" w:hAnsi="Times New Roman"/>
                <w:sz w:val="24"/>
                <w:szCs w:val="24"/>
                <w:lang w:eastAsia="ru-RU"/>
              </w:rPr>
              <w:t>на рідкому та газоподібному</w:t>
            </w:r>
            <w:r w:rsidR="006E2132" w:rsidRPr="000D48FA">
              <w:t xml:space="preserve"> </w:t>
            </w:r>
            <w:r w:rsidR="006E2132" w:rsidRPr="006E2132">
              <w:rPr>
                <w:rFonts w:ascii="Times New Roman" w:hAnsi="Times New Roman"/>
                <w:sz w:val="24"/>
                <w:szCs w:val="24"/>
                <w:lang w:eastAsia="ru-RU"/>
              </w:rPr>
              <w:t>паливі</w:t>
            </w:r>
            <w:r w:rsidR="006E21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r w:rsidR="006E2132" w:rsidRPr="006E21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світлових і трубчастих </w:t>
            </w:r>
            <w:r w:rsidR="006E2132">
              <w:rPr>
                <w:rFonts w:ascii="Times New Roman" w:hAnsi="Times New Roman"/>
                <w:sz w:val="24"/>
                <w:szCs w:val="24"/>
                <w:lang w:eastAsia="ru-RU"/>
              </w:rPr>
              <w:t>місцев</w:t>
            </w:r>
            <w:r w:rsidR="006E2132" w:rsidRPr="006E2132">
              <w:rPr>
                <w:rFonts w:ascii="Times New Roman" w:hAnsi="Times New Roman"/>
                <w:sz w:val="24"/>
                <w:szCs w:val="24"/>
                <w:lang w:eastAsia="ru-RU"/>
              </w:rPr>
              <w:t>их</w:t>
            </w:r>
            <w:r w:rsidR="006E2132" w:rsidRPr="000D48FA">
              <w:t xml:space="preserve"> </w:t>
            </w:r>
            <w:r w:rsidR="006E2132" w:rsidRPr="006E2132">
              <w:rPr>
                <w:rFonts w:ascii="Times New Roman" w:hAnsi="Times New Roman"/>
                <w:sz w:val="24"/>
                <w:szCs w:val="24"/>
                <w:lang w:eastAsia="ru-RU"/>
              </w:rPr>
              <w:t>обігрівачів</w:t>
            </w:r>
          </w:p>
        </w:tc>
        <w:tc>
          <w:tcPr>
            <w:tcW w:w="4074" w:type="dxa"/>
          </w:tcPr>
          <w:p w14:paraId="6F0D66A7" w14:textId="77777777" w:rsidR="00E949D9" w:rsidRPr="005F48A5" w:rsidRDefault="00216FC2" w:rsidP="00C97266">
            <w:pPr>
              <w:ind w:left="142" w:hanging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4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Визначене значення не повинно перевищувати заявлене значення більше ніж на </w:t>
            </w:r>
            <w:r w:rsidR="006E2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F48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0%</w:t>
            </w:r>
          </w:p>
        </w:tc>
      </w:tr>
    </w:tbl>
    <w:p w14:paraId="4D05FD23" w14:textId="77777777" w:rsidR="005F48A5" w:rsidRDefault="005F48A5" w:rsidP="003D50D6">
      <w:pPr>
        <w:tabs>
          <w:tab w:val="left" w:pos="54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9CD07D8" w14:textId="77777777" w:rsidR="001201A1" w:rsidRPr="00D169E9" w:rsidRDefault="00D169E9" w:rsidP="00D169E9">
      <w:pPr>
        <w:tabs>
          <w:tab w:val="left" w:pos="543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sectPr w:rsidR="001201A1" w:rsidRPr="00D169E9" w:rsidSect="00187D15">
      <w:headerReference w:type="default" r:id="rId8"/>
      <w:pgSz w:w="11906" w:h="16838"/>
      <w:pgMar w:top="709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98409" w14:textId="77777777" w:rsidR="00727384" w:rsidRDefault="00727384">
      <w:pPr>
        <w:spacing w:after="0" w:line="240" w:lineRule="auto"/>
      </w:pPr>
      <w:r>
        <w:separator/>
      </w:r>
    </w:p>
  </w:endnote>
  <w:endnote w:type="continuationSeparator" w:id="0">
    <w:p w14:paraId="7CE9A3FA" w14:textId="77777777" w:rsidR="00727384" w:rsidRDefault="00727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A64D" w14:textId="77777777" w:rsidR="00727384" w:rsidRDefault="00727384">
      <w:pPr>
        <w:spacing w:after="0" w:line="240" w:lineRule="auto"/>
      </w:pPr>
      <w:r>
        <w:separator/>
      </w:r>
    </w:p>
  </w:footnote>
  <w:footnote w:type="continuationSeparator" w:id="0">
    <w:p w14:paraId="577694D7" w14:textId="77777777" w:rsidR="00727384" w:rsidRDefault="00727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28511001"/>
    </w:sdtPr>
    <w:sdtEndPr>
      <w:rPr>
        <w:sz w:val="28"/>
        <w:szCs w:val="28"/>
      </w:rPr>
    </w:sdtEndPr>
    <w:sdtContent>
      <w:p w14:paraId="24C95E9B" w14:textId="77777777" w:rsidR="00DD4A83" w:rsidRPr="00D40B59" w:rsidRDefault="007B5AE3" w:rsidP="00D40B59">
        <w:pPr>
          <w:pStyle w:val="a4"/>
          <w:tabs>
            <w:tab w:val="left" w:pos="1890"/>
          </w:tabs>
          <w:jc w:val="right"/>
          <w:rPr>
            <w:rFonts w:ascii="Times New Roman" w:hAnsi="Times New Roman" w:cs="Times New Roman"/>
            <w:sz w:val="28"/>
            <w:szCs w:val="28"/>
          </w:rPr>
        </w:pPr>
        <w:r w:rsidRPr="00D40B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372B3" w:rsidRPr="00D40B5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40B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545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40B59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  <w:r w:rsidR="008372B3" w:rsidRPr="00D40B59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</w:t>
        </w:r>
        <w:r w:rsidR="00D40B59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</w:t>
        </w:r>
        <w:r w:rsidR="008372B3" w:rsidRPr="00D40B59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2B5863" w:rsidRPr="00D40B59">
          <w:rPr>
            <w:rFonts w:ascii="Times New Roman" w:hAnsi="Times New Roman" w:cs="Times New Roman"/>
            <w:sz w:val="28"/>
            <w:szCs w:val="28"/>
          </w:rPr>
          <w:t>П</w:t>
        </w:r>
        <w:proofErr w:type="spellStart"/>
        <w:r w:rsidR="002B5863" w:rsidRPr="00D40B59">
          <w:rPr>
            <w:rFonts w:ascii="Times New Roman" w:hAnsi="Times New Roman" w:cs="Times New Roman"/>
            <w:sz w:val="28"/>
            <w:szCs w:val="28"/>
            <w:lang w:val="uk-UA"/>
          </w:rPr>
          <w:t>родовження</w:t>
        </w:r>
        <w:proofErr w:type="spellEnd"/>
        <w:r w:rsidR="002B5863" w:rsidRPr="00D40B59">
          <w:rPr>
            <w:rFonts w:ascii="Times New Roman" w:hAnsi="Times New Roman" w:cs="Times New Roman"/>
            <w:sz w:val="28"/>
            <w:szCs w:val="28"/>
            <w:lang w:val="uk-UA"/>
          </w:rPr>
          <w:t xml:space="preserve"> додатк</w:t>
        </w:r>
        <w:r w:rsidR="00D40B59">
          <w:rPr>
            <w:rFonts w:ascii="Times New Roman" w:hAnsi="Times New Roman" w:cs="Times New Roman"/>
            <w:sz w:val="28"/>
            <w:szCs w:val="28"/>
            <w:lang w:val="uk-UA"/>
          </w:rPr>
          <w:t>а</w:t>
        </w:r>
        <w:r w:rsidR="008372B3" w:rsidRPr="00D40B59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9C3F10" w:rsidRPr="00D40B59">
          <w:rPr>
            <w:rFonts w:ascii="Times New Roman" w:hAnsi="Times New Roman" w:cs="Times New Roman"/>
            <w:sz w:val="28"/>
            <w:szCs w:val="28"/>
            <w:lang w:val="uk-UA"/>
          </w:rPr>
          <w:t>4</w:t>
        </w:r>
      </w:p>
    </w:sdtContent>
  </w:sdt>
  <w:p w14:paraId="5C3F387F" w14:textId="77777777" w:rsidR="00DD4A83" w:rsidRDefault="007273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75338"/>
    <w:multiLevelType w:val="hybridMultilevel"/>
    <w:tmpl w:val="BFCA34F6"/>
    <w:lvl w:ilvl="0" w:tplc="F446C1AE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" w15:restartNumberingAfterBreak="0">
    <w:nsid w:val="46F32EA9"/>
    <w:multiLevelType w:val="hybridMultilevel"/>
    <w:tmpl w:val="70028344"/>
    <w:lvl w:ilvl="0" w:tplc="6226D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01A1"/>
    <w:rsid w:val="00014169"/>
    <w:rsid w:val="00033EBB"/>
    <w:rsid w:val="00034C58"/>
    <w:rsid w:val="000947C4"/>
    <w:rsid w:val="001020D5"/>
    <w:rsid w:val="0011582B"/>
    <w:rsid w:val="001201A1"/>
    <w:rsid w:val="001337C8"/>
    <w:rsid w:val="00163D12"/>
    <w:rsid w:val="001642F8"/>
    <w:rsid w:val="001867AA"/>
    <w:rsid w:val="00187D15"/>
    <w:rsid w:val="001F125F"/>
    <w:rsid w:val="001F3FA5"/>
    <w:rsid w:val="00202CA4"/>
    <w:rsid w:val="00216FC2"/>
    <w:rsid w:val="00261F09"/>
    <w:rsid w:val="002752C2"/>
    <w:rsid w:val="002862A7"/>
    <w:rsid w:val="002873B4"/>
    <w:rsid w:val="002A6F0D"/>
    <w:rsid w:val="002B07EE"/>
    <w:rsid w:val="002B5863"/>
    <w:rsid w:val="002B60C5"/>
    <w:rsid w:val="002D2AD0"/>
    <w:rsid w:val="002E4A70"/>
    <w:rsid w:val="003166D3"/>
    <w:rsid w:val="00335458"/>
    <w:rsid w:val="003855F3"/>
    <w:rsid w:val="003D50D6"/>
    <w:rsid w:val="003E34E5"/>
    <w:rsid w:val="00430B81"/>
    <w:rsid w:val="0043752F"/>
    <w:rsid w:val="004734AE"/>
    <w:rsid w:val="0049102B"/>
    <w:rsid w:val="004C06C3"/>
    <w:rsid w:val="004C6FF6"/>
    <w:rsid w:val="005278C2"/>
    <w:rsid w:val="005771BE"/>
    <w:rsid w:val="005B1658"/>
    <w:rsid w:val="005F48A5"/>
    <w:rsid w:val="005F6306"/>
    <w:rsid w:val="00657621"/>
    <w:rsid w:val="00660DB5"/>
    <w:rsid w:val="006A3E23"/>
    <w:rsid w:val="006B208B"/>
    <w:rsid w:val="006B7866"/>
    <w:rsid w:val="006D1126"/>
    <w:rsid w:val="006E2132"/>
    <w:rsid w:val="006F57B4"/>
    <w:rsid w:val="00711B86"/>
    <w:rsid w:val="007220C4"/>
    <w:rsid w:val="00727384"/>
    <w:rsid w:val="007426C2"/>
    <w:rsid w:val="00757EA3"/>
    <w:rsid w:val="007670CD"/>
    <w:rsid w:val="00785E53"/>
    <w:rsid w:val="007B5AE3"/>
    <w:rsid w:val="007C64B0"/>
    <w:rsid w:val="008032F4"/>
    <w:rsid w:val="00816AF8"/>
    <w:rsid w:val="00831E94"/>
    <w:rsid w:val="0083598B"/>
    <w:rsid w:val="008372B3"/>
    <w:rsid w:val="008730A6"/>
    <w:rsid w:val="0089722C"/>
    <w:rsid w:val="00897AD9"/>
    <w:rsid w:val="008A47D1"/>
    <w:rsid w:val="008F7094"/>
    <w:rsid w:val="009617A6"/>
    <w:rsid w:val="00985170"/>
    <w:rsid w:val="009A3568"/>
    <w:rsid w:val="009C3F10"/>
    <w:rsid w:val="009C7E14"/>
    <w:rsid w:val="00A00EE9"/>
    <w:rsid w:val="00AD7657"/>
    <w:rsid w:val="00B242B6"/>
    <w:rsid w:val="00B94D53"/>
    <w:rsid w:val="00BA0A86"/>
    <w:rsid w:val="00BA2B96"/>
    <w:rsid w:val="00BC05FC"/>
    <w:rsid w:val="00BC6AE2"/>
    <w:rsid w:val="00C12CE7"/>
    <w:rsid w:val="00C22CF3"/>
    <w:rsid w:val="00C56778"/>
    <w:rsid w:val="00C8110C"/>
    <w:rsid w:val="00C97266"/>
    <w:rsid w:val="00CC352A"/>
    <w:rsid w:val="00CC4711"/>
    <w:rsid w:val="00CC52F3"/>
    <w:rsid w:val="00CD0FAD"/>
    <w:rsid w:val="00CE3606"/>
    <w:rsid w:val="00CE6937"/>
    <w:rsid w:val="00CF63C3"/>
    <w:rsid w:val="00D07CB1"/>
    <w:rsid w:val="00D169E9"/>
    <w:rsid w:val="00D250D3"/>
    <w:rsid w:val="00D365FE"/>
    <w:rsid w:val="00D40B59"/>
    <w:rsid w:val="00D57B51"/>
    <w:rsid w:val="00D61D67"/>
    <w:rsid w:val="00D7628A"/>
    <w:rsid w:val="00DB32D9"/>
    <w:rsid w:val="00DF4BF0"/>
    <w:rsid w:val="00E24557"/>
    <w:rsid w:val="00E2725B"/>
    <w:rsid w:val="00E64071"/>
    <w:rsid w:val="00E65419"/>
    <w:rsid w:val="00E75326"/>
    <w:rsid w:val="00E9233F"/>
    <w:rsid w:val="00E949D9"/>
    <w:rsid w:val="00EA2CF2"/>
    <w:rsid w:val="00EA33A8"/>
    <w:rsid w:val="00EB5140"/>
    <w:rsid w:val="00F22667"/>
    <w:rsid w:val="00F507FE"/>
    <w:rsid w:val="00F60D47"/>
    <w:rsid w:val="00F63ADA"/>
    <w:rsid w:val="00F67E3A"/>
    <w:rsid w:val="00F72FD6"/>
    <w:rsid w:val="00F97328"/>
    <w:rsid w:val="00FD12F4"/>
    <w:rsid w:val="00FD281F"/>
    <w:rsid w:val="00FE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59DF9"/>
  <w15:docId w15:val="{CE8EE353-0B04-4998-994F-CBF59E93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618D7-A547-4DDD-B979-19BBA43D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Uzer</cp:lastModifiedBy>
  <cp:revision>18</cp:revision>
  <cp:lastPrinted>2018-09-26T13:19:00Z</cp:lastPrinted>
  <dcterms:created xsi:type="dcterms:W3CDTF">2019-11-29T10:10:00Z</dcterms:created>
  <dcterms:modified xsi:type="dcterms:W3CDTF">2021-04-27T18:56:00Z</dcterms:modified>
</cp:coreProperties>
</file>