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05DE5" w14:textId="77777777" w:rsidR="00356F68" w:rsidRPr="008208CC" w:rsidRDefault="00356F68" w:rsidP="006A3BB7">
      <w:pPr>
        <w:spacing w:after="150"/>
        <w:jc w:val="right"/>
        <w:rPr>
          <w:iCs/>
          <w:sz w:val="28"/>
          <w:szCs w:val="24"/>
          <w:lang w:val="en-US"/>
        </w:rPr>
      </w:pPr>
      <w:bookmarkStart w:id="0" w:name="n8"/>
      <w:bookmarkStart w:id="1" w:name="n89"/>
      <w:bookmarkStart w:id="2" w:name="n84"/>
      <w:bookmarkStart w:id="3" w:name="_GoBack"/>
      <w:bookmarkEnd w:id="0"/>
      <w:bookmarkEnd w:id="1"/>
      <w:bookmarkEnd w:id="2"/>
      <w:bookmarkEnd w:id="3"/>
      <w:r w:rsidRPr="008208CC">
        <w:rPr>
          <w:iCs/>
          <w:sz w:val="28"/>
          <w:szCs w:val="24"/>
          <w:lang w:val="en-US"/>
        </w:rPr>
        <w:t>Draft</w:t>
      </w:r>
    </w:p>
    <w:p w14:paraId="0C3F0E69" w14:textId="77777777" w:rsidR="00356F68" w:rsidRPr="00356F68" w:rsidRDefault="00356F68" w:rsidP="00356F68">
      <w:pPr>
        <w:spacing w:after="150"/>
        <w:rPr>
          <w:sz w:val="28"/>
          <w:szCs w:val="24"/>
          <w:lang w:val="en-US"/>
        </w:rPr>
      </w:pPr>
    </w:p>
    <w:p w14:paraId="6A187B21" w14:textId="77777777" w:rsidR="00356F68" w:rsidRPr="00356F68" w:rsidRDefault="00356F68" w:rsidP="00356F68">
      <w:pPr>
        <w:spacing w:after="150"/>
        <w:rPr>
          <w:sz w:val="28"/>
          <w:szCs w:val="24"/>
          <w:lang w:val="en-US"/>
        </w:rPr>
      </w:pPr>
      <w:bookmarkStart w:id="4" w:name="n3"/>
      <w:bookmarkEnd w:id="4"/>
      <w:r w:rsidRPr="00356F68">
        <w:rPr>
          <w:noProof/>
          <w:sz w:val="28"/>
          <w:szCs w:val="24"/>
          <w:lang w:eastAsia="ru-RU"/>
        </w:rPr>
        <w:drawing>
          <wp:anchor distT="0" distB="0" distL="114935" distR="114935" simplePos="0" relativeHeight="251659264" behindDoc="0" locked="0" layoutInCell="1" allowOverlap="1" wp14:anchorId="062E5EBF" wp14:editId="3BF5702C">
            <wp:simplePos x="0" y="0"/>
            <wp:positionH relativeFrom="margin">
              <wp:align>center</wp:align>
            </wp:positionH>
            <wp:positionV relativeFrom="margin">
              <wp:posOffset>371475</wp:posOffset>
            </wp:positionV>
            <wp:extent cx="568960" cy="76136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60" cy="761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838888A" w14:textId="77777777" w:rsidR="00356F68" w:rsidRPr="00356F68" w:rsidRDefault="00356F68" w:rsidP="00356F68">
      <w:pPr>
        <w:spacing w:after="150"/>
        <w:rPr>
          <w:b/>
          <w:bCs/>
          <w:sz w:val="28"/>
          <w:szCs w:val="24"/>
          <w:lang w:val="en-US"/>
        </w:rPr>
      </w:pPr>
    </w:p>
    <w:p w14:paraId="3BDAF105" w14:textId="77777777" w:rsidR="00356F68" w:rsidRPr="00356F68" w:rsidRDefault="00356F68" w:rsidP="00356F68">
      <w:pPr>
        <w:spacing w:after="150"/>
        <w:rPr>
          <w:b/>
          <w:bCs/>
          <w:sz w:val="28"/>
          <w:szCs w:val="24"/>
          <w:lang w:val="en-US"/>
        </w:rPr>
      </w:pPr>
    </w:p>
    <w:p w14:paraId="595D3351" w14:textId="77777777" w:rsidR="00356F68" w:rsidRPr="00356F68" w:rsidRDefault="00356F68" w:rsidP="006A3BB7">
      <w:pPr>
        <w:spacing w:after="150"/>
        <w:jc w:val="center"/>
        <w:rPr>
          <w:b/>
          <w:sz w:val="28"/>
          <w:szCs w:val="24"/>
          <w:lang w:val="en-US"/>
        </w:rPr>
      </w:pPr>
      <w:r w:rsidRPr="00356F68">
        <w:rPr>
          <w:b/>
          <w:bCs/>
          <w:sz w:val="28"/>
          <w:szCs w:val="24"/>
          <w:lang w:val="en-US"/>
        </w:rPr>
        <w:t>CABINET OF MINISTERS OF UKRAINE</w:t>
      </w:r>
    </w:p>
    <w:p w14:paraId="3155D64E" w14:textId="77777777" w:rsidR="006A3BB7" w:rsidRPr="00356F68" w:rsidRDefault="006A3BB7" w:rsidP="008208CC">
      <w:pPr>
        <w:spacing w:after="150"/>
        <w:rPr>
          <w:b/>
          <w:bCs/>
          <w:sz w:val="28"/>
          <w:szCs w:val="24"/>
          <w:lang w:val="en-US"/>
        </w:rPr>
      </w:pPr>
    </w:p>
    <w:p w14:paraId="450B2F26" w14:textId="654E377D" w:rsidR="00356F68" w:rsidRDefault="00356F68" w:rsidP="006A3BB7">
      <w:pPr>
        <w:spacing w:after="150"/>
        <w:jc w:val="center"/>
        <w:rPr>
          <w:b/>
          <w:bCs/>
          <w:sz w:val="28"/>
          <w:szCs w:val="24"/>
          <w:lang w:val="en-US"/>
        </w:rPr>
      </w:pPr>
      <w:r w:rsidRPr="00356F68">
        <w:rPr>
          <w:b/>
          <w:bCs/>
          <w:sz w:val="28"/>
          <w:szCs w:val="24"/>
          <w:lang w:val="en-US"/>
        </w:rPr>
        <w:t>RESOLUTION</w:t>
      </w:r>
    </w:p>
    <w:p w14:paraId="04B3AEE6" w14:textId="77777777" w:rsidR="008208CC" w:rsidRPr="00356F68" w:rsidRDefault="008208CC" w:rsidP="006A3BB7">
      <w:pPr>
        <w:spacing w:after="150"/>
        <w:jc w:val="center"/>
        <w:rPr>
          <w:b/>
          <w:sz w:val="28"/>
          <w:szCs w:val="24"/>
          <w:lang w:val="en-US"/>
        </w:rPr>
      </w:pPr>
    </w:p>
    <w:p w14:paraId="591CA337" w14:textId="268F3C68" w:rsidR="00356F68" w:rsidRPr="008208CC" w:rsidRDefault="00356F68" w:rsidP="006A3BB7">
      <w:pPr>
        <w:spacing w:after="150"/>
        <w:jc w:val="center"/>
        <w:rPr>
          <w:sz w:val="28"/>
          <w:szCs w:val="24"/>
          <w:lang w:val="en-US"/>
        </w:rPr>
      </w:pPr>
      <w:r w:rsidRPr="008208CC">
        <w:rPr>
          <w:sz w:val="28"/>
          <w:szCs w:val="24"/>
          <w:lang w:val="en-US"/>
        </w:rPr>
        <w:t>of     ___ _________ 2019 No</w:t>
      </w:r>
      <w:r w:rsidR="008208CC">
        <w:rPr>
          <w:sz w:val="28"/>
          <w:szCs w:val="24"/>
        </w:rPr>
        <w:t>.</w:t>
      </w:r>
      <w:r w:rsidRPr="008208CC">
        <w:rPr>
          <w:sz w:val="28"/>
          <w:szCs w:val="24"/>
          <w:lang w:val="en-US"/>
        </w:rPr>
        <w:t xml:space="preserve"> ____</w:t>
      </w:r>
    </w:p>
    <w:p w14:paraId="3AAE49BA" w14:textId="77777777" w:rsidR="00356F68" w:rsidRPr="008208CC" w:rsidRDefault="00356F68" w:rsidP="006A3BB7">
      <w:pPr>
        <w:spacing w:after="150"/>
        <w:jc w:val="center"/>
        <w:rPr>
          <w:sz w:val="28"/>
          <w:szCs w:val="24"/>
          <w:lang w:val="en-US"/>
        </w:rPr>
      </w:pPr>
      <w:r w:rsidRPr="008208CC">
        <w:rPr>
          <w:sz w:val="28"/>
          <w:szCs w:val="24"/>
          <w:lang w:val="en-US"/>
        </w:rPr>
        <w:t>Kyiv</w:t>
      </w:r>
    </w:p>
    <w:p w14:paraId="4B4F28C1" w14:textId="77777777" w:rsidR="006A3BB7" w:rsidRPr="00356F68" w:rsidRDefault="006A3BB7" w:rsidP="006A3BB7">
      <w:pPr>
        <w:spacing w:after="150"/>
        <w:jc w:val="center"/>
        <w:rPr>
          <w:sz w:val="28"/>
          <w:szCs w:val="24"/>
          <w:lang w:val="en-US"/>
        </w:rPr>
      </w:pPr>
    </w:p>
    <w:p w14:paraId="17F987EB" w14:textId="7C496406" w:rsidR="00356F68" w:rsidRDefault="00356F68" w:rsidP="008208CC">
      <w:pPr>
        <w:spacing w:after="150"/>
        <w:jc w:val="center"/>
        <w:rPr>
          <w:b/>
          <w:bCs/>
          <w:sz w:val="28"/>
          <w:szCs w:val="24"/>
          <w:lang w:val="en-US"/>
        </w:rPr>
      </w:pPr>
      <w:r w:rsidRPr="00356F68">
        <w:rPr>
          <w:b/>
          <w:bCs/>
          <w:sz w:val="28"/>
          <w:szCs w:val="24"/>
          <w:lang w:val="en-US"/>
        </w:rPr>
        <w:t>To approve Concept of Green Bond Market Introduction in Ukraine and Affirm Action Plan of Its Implementation</w:t>
      </w:r>
    </w:p>
    <w:p w14:paraId="5ADFF10D" w14:textId="77777777" w:rsidR="006A3BB7" w:rsidRPr="00356F68" w:rsidRDefault="006A3BB7" w:rsidP="00356F68">
      <w:pPr>
        <w:spacing w:after="150"/>
        <w:rPr>
          <w:b/>
          <w:bCs/>
          <w:sz w:val="28"/>
          <w:szCs w:val="24"/>
          <w:lang w:val="en-US"/>
        </w:rPr>
      </w:pPr>
    </w:p>
    <w:p w14:paraId="5C2F5FC8"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1. Approve the </w:t>
      </w:r>
      <w:r w:rsidRPr="00356F68">
        <w:rPr>
          <w:bCs/>
          <w:sz w:val="28"/>
          <w:szCs w:val="24"/>
          <w:lang w:val="en-US"/>
        </w:rPr>
        <w:t>Concept of Green Bond Market Introduction in Ukraine</w:t>
      </w:r>
      <w:r w:rsidRPr="00356F68">
        <w:rPr>
          <w:sz w:val="28"/>
          <w:szCs w:val="24"/>
          <w:lang w:val="en-US"/>
        </w:rPr>
        <w:t xml:space="preserve"> annexed hereto.</w:t>
      </w:r>
    </w:p>
    <w:p w14:paraId="207A5041" w14:textId="77777777" w:rsidR="00356F68" w:rsidRPr="00356F68" w:rsidRDefault="00356F68" w:rsidP="008208CC">
      <w:pPr>
        <w:spacing w:after="150"/>
        <w:ind w:firstLine="708"/>
        <w:jc w:val="both"/>
        <w:rPr>
          <w:sz w:val="28"/>
          <w:szCs w:val="24"/>
          <w:lang w:val="en-US"/>
        </w:rPr>
      </w:pPr>
      <w:bookmarkStart w:id="5" w:name="n5"/>
      <w:bookmarkEnd w:id="5"/>
      <w:r w:rsidRPr="00356F68">
        <w:rPr>
          <w:sz w:val="28"/>
          <w:szCs w:val="24"/>
          <w:lang w:val="en-US"/>
        </w:rPr>
        <w:t xml:space="preserve">2. Approve the Action Plan of </w:t>
      </w:r>
      <w:r w:rsidRPr="00356F68">
        <w:rPr>
          <w:bCs/>
          <w:sz w:val="28"/>
          <w:szCs w:val="24"/>
          <w:lang w:val="en-US"/>
        </w:rPr>
        <w:t xml:space="preserve">Concept of Green Bond Market Introduction Implementation </w:t>
      </w:r>
      <w:r w:rsidRPr="00356F68">
        <w:rPr>
          <w:sz w:val="28"/>
          <w:szCs w:val="24"/>
          <w:lang w:val="en-US"/>
        </w:rPr>
        <w:t>(hereinafter, ‘the Action Plan’) annexed hereto.</w:t>
      </w:r>
    </w:p>
    <w:p w14:paraId="0F6583DD" w14:textId="77777777" w:rsidR="00356F68" w:rsidRPr="00356F68" w:rsidRDefault="00356F68" w:rsidP="008208CC">
      <w:pPr>
        <w:spacing w:after="150"/>
        <w:ind w:firstLine="708"/>
        <w:jc w:val="both"/>
        <w:rPr>
          <w:sz w:val="28"/>
          <w:szCs w:val="24"/>
          <w:lang w:val="en-US"/>
        </w:rPr>
      </w:pPr>
      <w:r w:rsidRPr="00356F68">
        <w:rPr>
          <w:sz w:val="28"/>
          <w:szCs w:val="24"/>
          <w:lang w:val="en-US"/>
        </w:rPr>
        <w:t>3. Ministries, other central bodies of the Executive, the Council of Ministers of the Autonomous Republic of Crimea, Oblast, Kyiv and Sevastopol City State Administrations shall ensure execution of the Action Plan.</w:t>
      </w:r>
    </w:p>
    <w:p w14:paraId="44807C3E" w14:textId="77777777" w:rsidR="00356F68" w:rsidRPr="00356F68" w:rsidRDefault="00356F68" w:rsidP="008208CC">
      <w:pPr>
        <w:spacing w:after="150"/>
        <w:ind w:firstLine="708"/>
        <w:jc w:val="both"/>
        <w:rPr>
          <w:sz w:val="28"/>
          <w:szCs w:val="24"/>
          <w:lang w:val="en-US"/>
        </w:rPr>
      </w:pPr>
      <w:r w:rsidRPr="00356F68">
        <w:rPr>
          <w:sz w:val="28"/>
          <w:szCs w:val="24"/>
          <w:lang w:val="en-US"/>
        </w:rPr>
        <w:t>4. The National Commission for Securities and Securities Market, the National Bank and bodies of local self-government shall provide necessary support throughout Action Plan implementation.</w:t>
      </w:r>
    </w:p>
    <w:p w14:paraId="102B30E4" w14:textId="77777777" w:rsidR="00356F68" w:rsidRPr="00356F68" w:rsidRDefault="00356F68" w:rsidP="00356F68">
      <w:pPr>
        <w:spacing w:after="150"/>
        <w:rPr>
          <w:sz w:val="28"/>
          <w:szCs w:val="24"/>
          <w:lang w:val="en-GB"/>
        </w:rPr>
      </w:pPr>
    </w:p>
    <w:tbl>
      <w:tblPr>
        <w:tblW w:w="5000" w:type="pct"/>
        <w:tblCellMar>
          <w:left w:w="0" w:type="dxa"/>
          <w:right w:w="0" w:type="dxa"/>
        </w:tblCellMar>
        <w:tblLook w:val="04A0" w:firstRow="1" w:lastRow="0" w:firstColumn="1" w:lastColumn="0" w:noHBand="0" w:noVBand="1"/>
      </w:tblPr>
      <w:tblGrid>
        <w:gridCol w:w="2891"/>
        <w:gridCol w:w="6747"/>
      </w:tblGrid>
      <w:tr w:rsidR="00356F68" w:rsidRPr="00356F68" w14:paraId="348B06D6" w14:textId="77777777" w:rsidTr="009545AD">
        <w:tc>
          <w:tcPr>
            <w:tcW w:w="1500" w:type="pct"/>
            <w:hideMark/>
          </w:tcPr>
          <w:p w14:paraId="63FF508D" w14:textId="77777777" w:rsidR="00356F68" w:rsidRPr="00356F68" w:rsidRDefault="00356F68" w:rsidP="006A3BB7">
            <w:pPr>
              <w:spacing w:after="150"/>
              <w:jc w:val="center"/>
              <w:rPr>
                <w:sz w:val="28"/>
                <w:szCs w:val="24"/>
                <w:lang w:val="en-US"/>
              </w:rPr>
            </w:pPr>
            <w:bookmarkStart w:id="6" w:name="n6"/>
            <w:bookmarkEnd w:id="6"/>
            <w:r w:rsidRPr="00356F68">
              <w:rPr>
                <w:b/>
                <w:bCs/>
                <w:sz w:val="28"/>
                <w:szCs w:val="24"/>
                <w:lang w:val="en-US"/>
              </w:rPr>
              <w:t>Prime Minister of Ukraine</w:t>
            </w:r>
          </w:p>
        </w:tc>
        <w:tc>
          <w:tcPr>
            <w:tcW w:w="3500" w:type="pct"/>
            <w:hideMark/>
          </w:tcPr>
          <w:p w14:paraId="54C21421" w14:textId="77777777" w:rsidR="00356F68" w:rsidRPr="00356F68" w:rsidRDefault="00356F68" w:rsidP="006A3BB7">
            <w:pPr>
              <w:spacing w:after="150"/>
              <w:jc w:val="right"/>
              <w:rPr>
                <w:sz w:val="28"/>
                <w:szCs w:val="24"/>
                <w:lang w:val="en-US"/>
              </w:rPr>
            </w:pPr>
            <w:r w:rsidRPr="00356F68">
              <w:rPr>
                <w:b/>
                <w:bCs/>
                <w:sz w:val="28"/>
                <w:szCs w:val="24"/>
                <w:lang w:val="en-US"/>
              </w:rPr>
              <w:t>O. HONCHARUK</w:t>
            </w:r>
          </w:p>
        </w:tc>
      </w:tr>
    </w:tbl>
    <w:p w14:paraId="54921935" w14:textId="77777777" w:rsidR="00356F68" w:rsidRPr="00356F68" w:rsidRDefault="00356F68" w:rsidP="00356F68">
      <w:pPr>
        <w:spacing w:after="150"/>
        <w:rPr>
          <w:sz w:val="28"/>
          <w:szCs w:val="24"/>
          <w:lang w:val="en-US"/>
        </w:rPr>
        <w:sectPr w:rsidR="00356F68" w:rsidRPr="00356F68" w:rsidSect="004C5E34">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720"/>
          <w:titlePg/>
          <w:docGrid w:linePitch="299"/>
        </w:sectPr>
      </w:pPr>
    </w:p>
    <w:p w14:paraId="03DDDB74" w14:textId="77777777" w:rsidR="00356F68" w:rsidRPr="008208CC" w:rsidRDefault="00356F68" w:rsidP="006A3BB7">
      <w:pPr>
        <w:spacing w:after="150"/>
        <w:jc w:val="right"/>
        <w:rPr>
          <w:sz w:val="28"/>
          <w:szCs w:val="24"/>
          <w:lang w:val="en-US"/>
        </w:rPr>
      </w:pPr>
      <w:r w:rsidRPr="008208CC">
        <w:rPr>
          <w:sz w:val="28"/>
          <w:szCs w:val="24"/>
          <w:lang w:val="en-US"/>
        </w:rPr>
        <w:lastRenderedPageBreak/>
        <w:t>APPROVED </w:t>
      </w:r>
      <w:r w:rsidRPr="008208CC">
        <w:rPr>
          <w:sz w:val="28"/>
          <w:szCs w:val="24"/>
          <w:lang w:val="en-US"/>
        </w:rPr>
        <w:br/>
        <w:t>by Cabinet of Ministers</w:t>
      </w:r>
    </w:p>
    <w:p w14:paraId="71389268" w14:textId="77777777" w:rsidR="00356F68" w:rsidRPr="008208CC" w:rsidRDefault="00356F68" w:rsidP="006A3BB7">
      <w:pPr>
        <w:spacing w:after="150"/>
        <w:jc w:val="right"/>
        <w:rPr>
          <w:sz w:val="28"/>
          <w:szCs w:val="24"/>
          <w:lang w:val="en-US"/>
        </w:rPr>
      </w:pPr>
      <w:r w:rsidRPr="008208CC">
        <w:rPr>
          <w:sz w:val="28"/>
          <w:szCs w:val="24"/>
          <w:lang w:val="en-US"/>
        </w:rPr>
        <w:t>of Ukraine Resolution </w:t>
      </w:r>
      <w:r w:rsidRPr="008208CC">
        <w:rPr>
          <w:sz w:val="28"/>
          <w:szCs w:val="24"/>
          <w:lang w:val="en-US"/>
        </w:rPr>
        <w:br/>
        <w:t xml:space="preserve">of ____________ 2019, No. _______ </w:t>
      </w:r>
    </w:p>
    <w:p w14:paraId="22559280" w14:textId="77777777" w:rsidR="00356F68" w:rsidRPr="00356F68" w:rsidRDefault="00356F68" w:rsidP="00356F68">
      <w:pPr>
        <w:spacing w:after="150"/>
        <w:rPr>
          <w:b/>
          <w:bCs/>
          <w:sz w:val="28"/>
          <w:szCs w:val="24"/>
          <w:lang w:val="en-GB"/>
        </w:rPr>
      </w:pPr>
    </w:p>
    <w:p w14:paraId="47E1EF92" w14:textId="77777777" w:rsidR="00356F68" w:rsidRPr="00356F68" w:rsidRDefault="00356F68" w:rsidP="006A3BB7">
      <w:pPr>
        <w:spacing w:after="150"/>
        <w:jc w:val="center"/>
        <w:rPr>
          <w:sz w:val="28"/>
          <w:szCs w:val="24"/>
          <w:lang w:val="en-US"/>
        </w:rPr>
      </w:pPr>
      <w:r w:rsidRPr="00356F68">
        <w:rPr>
          <w:b/>
          <w:bCs/>
          <w:sz w:val="28"/>
          <w:szCs w:val="24"/>
          <w:lang w:val="en-US"/>
        </w:rPr>
        <w:t>CONCEPT</w:t>
      </w:r>
      <w:r w:rsidRPr="00356F68">
        <w:rPr>
          <w:sz w:val="28"/>
          <w:szCs w:val="24"/>
          <w:lang w:val="en-US"/>
        </w:rPr>
        <w:br/>
      </w:r>
      <w:r w:rsidRPr="00356F68">
        <w:rPr>
          <w:b/>
          <w:bCs/>
          <w:sz w:val="28"/>
          <w:szCs w:val="24"/>
          <w:lang w:val="en-US"/>
        </w:rPr>
        <w:t>of Green Bond Market Introduction in Ukraine</w:t>
      </w:r>
    </w:p>
    <w:p w14:paraId="41B0A149" w14:textId="77777777" w:rsidR="00356F68" w:rsidRPr="00356F68" w:rsidRDefault="00356F68" w:rsidP="006A3BB7">
      <w:pPr>
        <w:spacing w:after="150"/>
        <w:jc w:val="center"/>
        <w:rPr>
          <w:b/>
          <w:bCs/>
          <w:sz w:val="28"/>
          <w:szCs w:val="24"/>
          <w:lang w:val="en-US"/>
        </w:rPr>
      </w:pPr>
      <w:bookmarkStart w:id="7" w:name="n9"/>
      <w:bookmarkStart w:id="8" w:name="n10"/>
      <w:bookmarkStart w:id="9" w:name="n11"/>
      <w:bookmarkStart w:id="10" w:name="n14"/>
      <w:bookmarkEnd w:id="7"/>
      <w:bookmarkEnd w:id="8"/>
      <w:bookmarkEnd w:id="9"/>
      <w:bookmarkEnd w:id="10"/>
    </w:p>
    <w:p w14:paraId="302840EA" w14:textId="77777777" w:rsidR="00356F68" w:rsidRPr="00356F68" w:rsidRDefault="00356F68" w:rsidP="006A3BB7">
      <w:pPr>
        <w:spacing w:after="150"/>
        <w:jc w:val="center"/>
        <w:rPr>
          <w:b/>
          <w:bCs/>
          <w:sz w:val="28"/>
          <w:szCs w:val="24"/>
          <w:lang w:val="en-US"/>
        </w:rPr>
      </w:pPr>
      <w:r w:rsidRPr="00356F68">
        <w:rPr>
          <w:b/>
          <w:bCs/>
          <w:sz w:val="28"/>
          <w:szCs w:val="24"/>
          <w:lang w:val="en-US"/>
        </w:rPr>
        <w:t>General Provisions</w:t>
      </w:r>
    </w:p>
    <w:p w14:paraId="134F3138" w14:textId="77777777" w:rsidR="00356F68" w:rsidRPr="00356F68" w:rsidRDefault="00356F68" w:rsidP="008208CC">
      <w:pPr>
        <w:spacing w:after="150"/>
        <w:ind w:firstLine="708"/>
        <w:jc w:val="both"/>
        <w:rPr>
          <w:bCs/>
          <w:sz w:val="28"/>
          <w:szCs w:val="24"/>
          <w:lang w:val="en-US"/>
        </w:rPr>
      </w:pPr>
      <w:r w:rsidRPr="00356F68">
        <w:rPr>
          <w:sz w:val="28"/>
          <w:szCs w:val="24"/>
          <w:lang w:val="en-US"/>
        </w:rPr>
        <w:t>This Concept identifies the objective, main directions and tasks of green bond market introduction in Ukraine</w:t>
      </w:r>
      <w:r w:rsidRPr="00356F68">
        <w:rPr>
          <w:bCs/>
          <w:sz w:val="28"/>
          <w:szCs w:val="24"/>
          <w:lang w:val="en-US"/>
        </w:rPr>
        <w:t>, which is of strategic importance for financing environmentally friendly</w:t>
      </w:r>
      <w:r w:rsidRPr="00356F68">
        <w:rPr>
          <w:sz w:val="28"/>
          <w:szCs w:val="24"/>
          <w:lang w:val="en-US"/>
        </w:rPr>
        <w:t xml:space="preserve"> projects</w:t>
      </w:r>
      <w:r w:rsidRPr="00356F68">
        <w:rPr>
          <w:bCs/>
          <w:sz w:val="28"/>
          <w:szCs w:val="24"/>
          <w:lang w:val="en-US"/>
        </w:rPr>
        <w:t>, improving the environment, developing the domestic stock market and the economy of Ukraine in general.</w:t>
      </w:r>
    </w:p>
    <w:p w14:paraId="601FED82"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The Concept is aimed at implementation of provisions of the Association Agreement between the European Union and the European Atomic Energy Community and their Member States, of the one part, and Ukraine, of the other part, ratified by Law of Ukraine of </w:t>
      </w:r>
      <w:r w:rsidRPr="00356F68">
        <w:rPr>
          <w:bCs/>
          <w:sz w:val="28"/>
          <w:szCs w:val="24"/>
          <w:lang w:val="en-US"/>
        </w:rPr>
        <w:t>16 September 2014, No. 1678-VII;</w:t>
      </w:r>
      <w:r w:rsidRPr="00356F68">
        <w:rPr>
          <w:sz w:val="28"/>
          <w:szCs w:val="24"/>
          <w:lang w:val="en-US"/>
        </w:rPr>
        <w:t xml:space="preserve"> </w:t>
      </w:r>
      <w:r w:rsidRPr="00356F68">
        <w:rPr>
          <w:bCs/>
          <w:sz w:val="28"/>
          <w:szCs w:val="24"/>
          <w:lang w:val="en-US"/>
        </w:rPr>
        <w:t>Paris Agreement ratified by Law of Ukraine of 14 July 2016, No. 1469-VIII;</w:t>
      </w:r>
      <w:r w:rsidRPr="00356F68">
        <w:rPr>
          <w:sz w:val="28"/>
          <w:szCs w:val="24"/>
          <w:lang w:val="en-US"/>
        </w:rPr>
        <w:t xml:space="preserve"> </w:t>
      </w:r>
      <w:r w:rsidRPr="00356F68">
        <w:rPr>
          <w:bCs/>
          <w:sz w:val="28"/>
          <w:szCs w:val="24"/>
          <w:lang w:val="en-US"/>
        </w:rPr>
        <w:t xml:space="preserve">The Sustainable Development Goals of Ukraine for up to 2030, approved by </w:t>
      </w:r>
      <w:r w:rsidRPr="00356F68">
        <w:rPr>
          <w:sz w:val="28"/>
          <w:szCs w:val="24"/>
          <w:lang w:val="en-US"/>
        </w:rPr>
        <w:t xml:space="preserve">Decree No. 722/2019 of the President of Ukraine dated 30 September 2019, </w:t>
      </w:r>
      <w:r w:rsidRPr="00356F68">
        <w:rPr>
          <w:bCs/>
          <w:sz w:val="28"/>
          <w:szCs w:val="24"/>
          <w:lang w:val="en-US"/>
        </w:rPr>
        <w:t>Security, Energy Efficiency, Competitiveness Energy Strategy of Ukraine Until 2035 approved by Cabinet of Ministers of Ukraine Resolution of 18 August 2017, No. 605-r and Action Plan to Implement its Phase of Power Sector Reform (Until 2020</w:t>
      </w:r>
      <w:r w:rsidRPr="00356F68">
        <w:rPr>
          <w:sz w:val="28"/>
          <w:szCs w:val="24"/>
          <w:lang w:val="en-US"/>
        </w:rPr>
        <w:t xml:space="preserve">) approved </w:t>
      </w:r>
      <w:r w:rsidRPr="00356F68">
        <w:rPr>
          <w:bCs/>
          <w:sz w:val="28"/>
          <w:szCs w:val="24"/>
          <w:lang w:val="en-US"/>
        </w:rPr>
        <w:t>by Cabinet of Ministers of Ukraine Resolution of</w:t>
      </w:r>
      <w:r w:rsidRPr="00356F68">
        <w:rPr>
          <w:sz w:val="28"/>
          <w:szCs w:val="24"/>
          <w:lang w:val="en-US"/>
        </w:rPr>
        <w:t xml:space="preserve"> 6 June 2018, No. </w:t>
      </w:r>
      <w:bookmarkStart w:id="11" w:name="_Hlk10140997"/>
      <w:r w:rsidRPr="00356F68">
        <w:rPr>
          <w:sz w:val="28"/>
          <w:szCs w:val="24"/>
          <w:lang w:val="en-US"/>
        </w:rPr>
        <w:t>497-r</w:t>
      </w:r>
      <w:bookmarkEnd w:id="11"/>
      <w:r w:rsidRPr="00356F68">
        <w:rPr>
          <w:sz w:val="28"/>
          <w:szCs w:val="24"/>
          <w:lang w:val="en-US"/>
        </w:rPr>
        <w:t xml:space="preserve">; National Action Plan on Renewable Energy Sector Until 2020 approved </w:t>
      </w:r>
      <w:r w:rsidRPr="00356F68">
        <w:rPr>
          <w:bCs/>
          <w:sz w:val="28"/>
          <w:szCs w:val="24"/>
          <w:lang w:val="en-US"/>
        </w:rPr>
        <w:t xml:space="preserve">by Cabinet of Ministers of Ukraine Resolution of </w:t>
      </w:r>
      <w:r w:rsidRPr="00356F68">
        <w:rPr>
          <w:sz w:val="28"/>
          <w:szCs w:val="24"/>
          <w:lang w:val="en-US"/>
        </w:rPr>
        <w:t>01 October 2014, No. 902-r; National Action Plan on Energy Efficiency Until 2020 approved</w:t>
      </w:r>
      <w:r w:rsidRPr="00356F68">
        <w:rPr>
          <w:bCs/>
          <w:sz w:val="28"/>
          <w:szCs w:val="24"/>
          <w:lang w:val="en-US"/>
        </w:rPr>
        <w:t xml:space="preserve"> by Cabinet of Ministers of Ukraine Resolution of</w:t>
      </w:r>
      <w:r w:rsidRPr="00356F68">
        <w:rPr>
          <w:sz w:val="28"/>
          <w:szCs w:val="24"/>
          <w:lang w:val="en-US"/>
        </w:rPr>
        <w:t xml:space="preserve"> 25 November 2015, No. 1228-r; National Action Plan to Reduce Emissions from Large Incineration Plants approved</w:t>
      </w:r>
      <w:r w:rsidRPr="00356F68">
        <w:rPr>
          <w:bCs/>
          <w:sz w:val="28"/>
          <w:szCs w:val="24"/>
          <w:lang w:val="en-US"/>
        </w:rPr>
        <w:t xml:space="preserve"> by Cabinet of Ministers of Ukraine Resolution of 08 November 2017, No. 796-r.,</w:t>
      </w:r>
      <w:r w:rsidRPr="00356F68">
        <w:rPr>
          <w:sz w:val="28"/>
          <w:szCs w:val="24"/>
          <w:lang w:val="en-US"/>
        </w:rPr>
        <w:t xml:space="preserve"> </w:t>
      </w:r>
      <w:r w:rsidRPr="00356F68">
        <w:rPr>
          <w:bCs/>
          <w:sz w:val="28"/>
          <w:szCs w:val="24"/>
          <w:lang w:val="en-US"/>
        </w:rPr>
        <w:t>the Action Plan to put in practice the Concept of Implementation of the Public Policy on Climate Change for up to 2030</w:t>
      </w:r>
      <w:r w:rsidRPr="00356F68">
        <w:rPr>
          <w:sz w:val="28"/>
          <w:szCs w:val="24"/>
          <w:lang w:val="en-US"/>
        </w:rPr>
        <w:t xml:space="preserve"> approved by Decree No. 878-p of the </w:t>
      </w:r>
      <w:r w:rsidRPr="00356F68">
        <w:rPr>
          <w:bCs/>
          <w:sz w:val="28"/>
          <w:szCs w:val="24"/>
          <w:lang w:val="en-US"/>
        </w:rPr>
        <w:t>Cabinet of Ministers of Ukraine dated 6 December 2017.</w:t>
      </w:r>
    </w:p>
    <w:p w14:paraId="43E78EF6" w14:textId="77777777" w:rsidR="00356F68" w:rsidRPr="00356F68" w:rsidRDefault="00356F68" w:rsidP="008208CC">
      <w:pPr>
        <w:spacing w:after="150"/>
        <w:ind w:firstLine="708"/>
        <w:jc w:val="both"/>
        <w:rPr>
          <w:sz w:val="28"/>
          <w:szCs w:val="24"/>
          <w:lang w:val="en-US"/>
        </w:rPr>
      </w:pPr>
      <w:r w:rsidRPr="00356F68">
        <w:rPr>
          <w:bCs/>
          <w:sz w:val="28"/>
          <w:szCs w:val="24"/>
          <w:lang w:val="en-US"/>
        </w:rPr>
        <w:t>The Concept is based on best international and European practical experience of green bond market implementation, also from countries with low sovereign credit ratings that managed to implement respective markets.</w:t>
      </w:r>
    </w:p>
    <w:p w14:paraId="25643B13" w14:textId="77777777" w:rsidR="00356F68" w:rsidRPr="00356F68" w:rsidRDefault="00356F68" w:rsidP="008208CC">
      <w:pPr>
        <w:spacing w:after="150"/>
        <w:ind w:firstLine="708"/>
        <w:jc w:val="both"/>
        <w:rPr>
          <w:bCs/>
          <w:sz w:val="28"/>
          <w:szCs w:val="24"/>
          <w:lang w:val="en-US"/>
        </w:rPr>
      </w:pPr>
      <w:r w:rsidRPr="00356F68">
        <w:rPr>
          <w:bCs/>
          <w:sz w:val="28"/>
          <w:szCs w:val="24"/>
          <w:lang w:val="en-US"/>
        </w:rPr>
        <w:t>At the core of the Concept is modelling of alternative scenarios of green bond market making and development with identification of approaches corresponding to institutional peculiarities and potential of securities market development in Ukraine.</w:t>
      </w:r>
    </w:p>
    <w:p w14:paraId="113B1B3A" w14:textId="77777777" w:rsidR="00356F68" w:rsidRPr="00356F68" w:rsidRDefault="00356F68" w:rsidP="006A3BB7">
      <w:pPr>
        <w:spacing w:after="150"/>
        <w:jc w:val="center"/>
        <w:rPr>
          <w:b/>
          <w:bCs/>
          <w:sz w:val="28"/>
          <w:szCs w:val="24"/>
          <w:lang w:val="en-US"/>
        </w:rPr>
      </w:pPr>
      <w:r w:rsidRPr="00356F68">
        <w:rPr>
          <w:b/>
          <w:bCs/>
          <w:sz w:val="28"/>
          <w:szCs w:val="24"/>
          <w:lang w:val="en-US"/>
        </w:rPr>
        <w:lastRenderedPageBreak/>
        <w:t>Issues That Need Solving</w:t>
      </w:r>
    </w:p>
    <w:p w14:paraId="239032F3" w14:textId="77777777" w:rsidR="00356F68" w:rsidRPr="00356F68" w:rsidRDefault="00356F68" w:rsidP="008208CC">
      <w:pPr>
        <w:spacing w:after="150"/>
        <w:ind w:firstLine="708"/>
        <w:jc w:val="both"/>
        <w:rPr>
          <w:bCs/>
          <w:sz w:val="28"/>
          <w:szCs w:val="24"/>
          <w:lang w:val="en-US"/>
        </w:rPr>
      </w:pPr>
      <w:r w:rsidRPr="00356F68">
        <w:rPr>
          <w:bCs/>
          <w:sz w:val="28"/>
          <w:szCs w:val="24"/>
          <w:lang w:val="en-US"/>
        </w:rPr>
        <w:t>The energy intensity of the Ukrainian economy is three to four times higher than the average indicator across European countries. For the past 20 years, European countries have drastically reduced energy resource consumption; in Ukraine however, a considerable proportion of these is still wasted because of outdated equipment and inefficient housing and utility economy. High energy losses create extra burden for enterprises and reduce their competitiveness while non-energy efficient technologies cause considerable СО</w:t>
      </w:r>
      <w:r w:rsidRPr="00356F68">
        <w:rPr>
          <w:bCs/>
          <w:sz w:val="28"/>
          <w:szCs w:val="24"/>
          <w:vertAlign w:val="subscript"/>
          <w:lang w:val="en-US"/>
        </w:rPr>
        <w:t>2</w:t>
      </w:r>
      <w:r w:rsidRPr="00356F68">
        <w:rPr>
          <w:bCs/>
          <w:sz w:val="28"/>
          <w:szCs w:val="24"/>
          <w:lang w:val="en-US"/>
        </w:rPr>
        <w:t xml:space="preserve"> emissions to the atmosphere.</w:t>
      </w:r>
    </w:p>
    <w:p w14:paraId="6DFF5490" w14:textId="77777777" w:rsidR="00356F68" w:rsidRPr="00356F68" w:rsidRDefault="00356F68" w:rsidP="008208CC">
      <w:pPr>
        <w:spacing w:after="150"/>
        <w:ind w:firstLine="708"/>
        <w:jc w:val="both"/>
        <w:rPr>
          <w:bCs/>
          <w:sz w:val="28"/>
          <w:szCs w:val="24"/>
          <w:lang w:val="en-US"/>
        </w:rPr>
      </w:pPr>
      <w:r w:rsidRPr="00356F68">
        <w:rPr>
          <w:bCs/>
          <w:sz w:val="28"/>
          <w:szCs w:val="24"/>
          <w:lang w:val="en-US"/>
        </w:rPr>
        <w:t>The economic development of the country has been accompanied for a long time by an imbalanced exploitation of natural resources and a low priority of environmental issues, which prevented the achievement of a balanced (sustainable) development. This problem resulted from the following challenges of the Government:</w:t>
      </w:r>
    </w:p>
    <w:p w14:paraId="775C12AB" w14:textId="77777777" w:rsidR="00356F68" w:rsidRPr="00356F68" w:rsidRDefault="00356F68" w:rsidP="008208CC">
      <w:pPr>
        <w:spacing w:after="150"/>
        <w:ind w:firstLine="708"/>
        <w:jc w:val="both"/>
        <w:rPr>
          <w:bCs/>
          <w:sz w:val="28"/>
          <w:szCs w:val="24"/>
          <w:lang w:val="en-US"/>
        </w:rPr>
      </w:pPr>
      <w:r w:rsidRPr="00356F68">
        <w:rPr>
          <w:bCs/>
          <w:sz w:val="28"/>
          <w:szCs w:val="24"/>
          <w:lang w:val="en-US"/>
        </w:rPr>
        <w:t>resource- and energy-intensive industries structurally dominate the economy, usually affecting the environment in a negative way;</w:t>
      </w:r>
    </w:p>
    <w:p w14:paraId="22451BCA" w14:textId="77777777" w:rsidR="00356F68" w:rsidRPr="00356F68" w:rsidRDefault="00356F68" w:rsidP="008208CC">
      <w:pPr>
        <w:spacing w:after="150"/>
        <w:ind w:firstLine="708"/>
        <w:jc w:val="both"/>
        <w:rPr>
          <w:bCs/>
          <w:sz w:val="28"/>
          <w:szCs w:val="24"/>
          <w:lang w:val="en-US"/>
        </w:rPr>
      </w:pPr>
      <w:r w:rsidRPr="00356F68">
        <w:rPr>
          <w:bCs/>
          <w:sz w:val="28"/>
          <w:szCs w:val="24"/>
          <w:lang w:val="en-US"/>
        </w:rPr>
        <w:t>worn-down and obsolete fixed assets in all sectors of the national economy;</w:t>
      </w:r>
    </w:p>
    <w:p w14:paraId="5047DCFD" w14:textId="77777777" w:rsidR="00356F68" w:rsidRPr="00356F68" w:rsidRDefault="00356F68" w:rsidP="008208CC">
      <w:pPr>
        <w:spacing w:after="150"/>
        <w:ind w:firstLine="708"/>
        <w:jc w:val="both"/>
        <w:rPr>
          <w:bCs/>
          <w:sz w:val="28"/>
          <w:szCs w:val="24"/>
          <w:lang w:val="en-US"/>
        </w:rPr>
      </w:pPr>
      <w:r w:rsidRPr="00356F68">
        <w:rPr>
          <w:bCs/>
          <w:sz w:val="28"/>
          <w:szCs w:val="24"/>
          <w:lang w:val="en-US"/>
        </w:rPr>
        <w:t>ineffective public administration in environmental protection and the use of natural resources;</w:t>
      </w:r>
    </w:p>
    <w:p w14:paraId="6FF5B01F" w14:textId="77777777" w:rsidR="00356F68" w:rsidRPr="00356F68" w:rsidRDefault="00356F68" w:rsidP="008208CC">
      <w:pPr>
        <w:spacing w:after="150"/>
        <w:ind w:firstLine="708"/>
        <w:jc w:val="both"/>
        <w:rPr>
          <w:bCs/>
          <w:sz w:val="28"/>
          <w:szCs w:val="24"/>
          <w:lang w:val="en-US"/>
        </w:rPr>
      </w:pPr>
      <w:r w:rsidRPr="00356F68">
        <w:rPr>
          <w:bCs/>
          <w:sz w:val="28"/>
          <w:szCs w:val="24"/>
          <w:lang w:val="en-US"/>
        </w:rPr>
        <w:t>unsatisfactory monitoring of compliance with environmental laws;</w:t>
      </w:r>
    </w:p>
    <w:p w14:paraId="3F7289C7" w14:textId="77777777" w:rsidR="00356F68" w:rsidRPr="00356F68" w:rsidRDefault="00356F68" w:rsidP="008208CC">
      <w:pPr>
        <w:spacing w:after="150"/>
        <w:ind w:firstLine="708"/>
        <w:jc w:val="both"/>
        <w:rPr>
          <w:bCs/>
          <w:sz w:val="28"/>
          <w:szCs w:val="24"/>
          <w:lang w:val="en-US"/>
        </w:rPr>
      </w:pPr>
      <w:r w:rsidRPr="00356F68">
        <w:rPr>
          <w:bCs/>
          <w:sz w:val="28"/>
          <w:szCs w:val="24"/>
          <w:lang w:val="en-US"/>
        </w:rPr>
        <w:t xml:space="preserve">failure to take environmental impacts into account in laws and regulations of government authorities; </w:t>
      </w:r>
    </w:p>
    <w:p w14:paraId="281C5C27" w14:textId="77777777" w:rsidR="00356F68" w:rsidRPr="00356F68" w:rsidRDefault="00356F68" w:rsidP="008208CC">
      <w:pPr>
        <w:spacing w:after="150"/>
        <w:ind w:firstLine="708"/>
        <w:jc w:val="both"/>
        <w:rPr>
          <w:bCs/>
          <w:sz w:val="28"/>
          <w:szCs w:val="24"/>
          <w:lang w:val="en-US"/>
        </w:rPr>
      </w:pPr>
      <w:r w:rsidRPr="00356F68">
        <w:rPr>
          <w:bCs/>
          <w:sz w:val="28"/>
          <w:szCs w:val="24"/>
          <w:lang w:val="en-US"/>
        </w:rPr>
        <w:t>the lack of funding of environmental protection activities from the state and local budgets.</w:t>
      </w:r>
    </w:p>
    <w:p w14:paraId="63081B3C" w14:textId="77777777" w:rsidR="00356F68" w:rsidRPr="00356F68" w:rsidRDefault="00356F68" w:rsidP="008208CC">
      <w:pPr>
        <w:spacing w:after="150"/>
        <w:ind w:firstLine="708"/>
        <w:jc w:val="both"/>
        <w:rPr>
          <w:bCs/>
          <w:sz w:val="28"/>
          <w:szCs w:val="24"/>
          <w:lang w:val="en-US"/>
        </w:rPr>
      </w:pPr>
      <w:r w:rsidRPr="00356F68">
        <w:rPr>
          <w:bCs/>
          <w:sz w:val="28"/>
          <w:szCs w:val="24"/>
          <w:lang w:val="en-US"/>
        </w:rPr>
        <w:t>On the part of the private sector, this problem is still mainly due to the private companies' lack of financial resources to invest in an upgrade of production facilities subject to environmental protection requirements. This problem is compounded by the inability to raise long-term debt at an acceptable cost due to an underdeveloped stock market and lacking financial instruments designed to finance green projects.</w:t>
      </w:r>
    </w:p>
    <w:p w14:paraId="4909A92F" w14:textId="77777777" w:rsidR="00356F68" w:rsidRPr="00356F68" w:rsidRDefault="00356F68" w:rsidP="008208CC">
      <w:pPr>
        <w:spacing w:after="150"/>
        <w:ind w:firstLine="708"/>
        <w:jc w:val="both"/>
        <w:rPr>
          <w:sz w:val="28"/>
          <w:szCs w:val="24"/>
          <w:lang w:val="en-US"/>
        </w:rPr>
      </w:pPr>
      <w:r w:rsidRPr="00356F68">
        <w:rPr>
          <w:bCs/>
          <w:sz w:val="28"/>
          <w:szCs w:val="24"/>
          <w:lang w:val="en-US"/>
        </w:rPr>
        <w:t xml:space="preserve">The problem should be resolved by introducing the market in Ukraine for green bonds, which have become one of the main vehicles for raising funds for green projects worldwide in the past few years. </w:t>
      </w:r>
      <w:r w:rsidRPr="00356F68">
        <w:rPr>
          <w:sz w:val="28"/>
          <w:szCs w:val="24"/>
          <w:lang w:val="en-US"/>
        </w:rPr>
        <w:t xml:space="preserve">Internationally, green bonds are any type of bonds issued in accordance with the Green Bond Principles created and approved by the International Capital Market Association (ICMA). They define: </w:t>
      </w:r>
    </w:p>
    <w:p w14:paraId="12AC487E"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1. </w:t>
      </w:r>
      <w:proofErr w:type="spellStart"/>
      <w:r w:rsidRPr="00356F68">
        <w:rPr>
          <w:sz w:val="28"/>
          <w:szCs w:val="24"/>
          <w:lang w:val="en-US"/>
        </w:rPr>
        <w:t>utilisation</w:t>
      </w:r>
      <w:proofErr w:type="spellEnd"/>
      <w:r w:rsidRPr="00356F68">
        <w:rPr>
          <w:sz w:val="28"/>
          <w:szCs w:val="24"/>
          <w:lang w:val="en-US"/>
        </w:rPr>
        <w:t xml:space="preserve"> of proceeds from bond placement;</w:t>
      </w:r>
    </w:p>
    <w:p w14:paraId="7665CA22"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2. process for project evaluation and selection; </w:t>
      </w:r>
    </w:p>
    <w:p w14:paraId="3A087BAE" w14:textId="77777777" w:rsidR="00356F68" w:rsidRPr="00356F68" w:rsidRDefault="00356F68" w:rsidP="008208CC">
      <w:pPr>
        <w:spacing w:after="150"/>
        <w:ind w:firstLine="708"/>
        <w:jc w:val="both"/>
        <w:rPr>
          <w:sz w:val="28"/>
          <w:szCs w:val="24"/>
          <w:lang w:val="en-US"/>
        </w:rPr>
      </w:pPr>
      <w:r w:rsidRPr="00356F68">
        <w:rPr>
          <w:sz w:val="28"/>
          <w:szCs w:val="24"/>
          <w:lang w:val="en-US"/>
        </w:rPr>
        <w:t>3. administering proceeds from bond placement;</w:t>
      </w:r>
    </w:p>
    <w:p w14:paraId="727D8977" w14:textId="77777777" w:rsidR="00356F68" w:rsidRPr="00356F68" w:rsidRDefault="00356F68" w:rsidP="008208CC">
      <w:pPr>
        <w:spacing w:after="150"/>
        <w:ind w:firstLine="708"/>
        <w:jc w:val="both"/>
        <w:rPr>
          <w:sz w:val="28"/>
          <w:szCs w:val="24"/>
          <w:lang w:val="en-US"/>
        </w:rPr>
      </w:pPr>
      <w:r w:rsidRPr="00356F68">
        <w:rPr>
          <w:sz w:val="28"/>
          <w:szCs w:val="24"/>
          <w:lang w:val="en-US"/>
        </w:rPr>
        <w:lastRenderedPageBreak/>
        <w:t>4. reporting.</w:t>
      </w:r>
    </w:p>
    <w:p w14:paraId="550F9077"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According to the Green Bond Principles, projects that address the following areas, among others, are treated as green projects: </w:t>
      </w:r>
    </w:p>
    <w:p w14:paraId="51261758"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Renewable energy sources;</w:t>
      </w:r>
    </w:p>
    <w:p w14:paraId="3D5A7D4F"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Development of alternative energy sources;</w:t>
      </w:r>
    </w:p>
    <w:p w14:paraId="53862095"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Efficient energy use;</w:t>
      </w:r>
    </w:p>
    <w:p w14:paraId="5B9CC8A6" w14:textId="77777777" w:rsidR="00356F68" w:rsidRPr="00356F68" w:rsidRDefault="00356F68" w:rsidP="008208CC">
      <w:pPr>
        <w:spacing w:after="150"/>
        <w:ind w:firstLine="708"/>
        <w:jc w:val="both"/>
        <w:rPr>
          <w:bCs/>
          <w:iCs/>
          <w:sz w:val="28"/>
          <w:szCs w:val="24"/>
          <w:lang w:val="en-US"/>
        </w:rPr>
      </w:pPr>
      <w:proofErr w:type="spellStart"/>
      <w:r w:rsidRPr="00356F68">
        <w:rPr>
          <w:bCs/>
          <w:iCs/>
          <w:sz w:val="28"/>
          <w:szCs w:val="24"/>
          <w:lang w:val="en-US"/>
        </w:rPr>
        <w:t>Thermo</w:t>
      </w:r>
      <w:proofErr w:type="spellEnd"/>
      <w:r w:rsidRPr="00356F68">
        <w:rPr>
          <w:bCs/>
          <w:iCs/>
          <w:sz w:val="28"/>
          <w:szCs w:val="24"/>
          <w:lang w:val="en-US"/>
        </w:rPr>
        <w:t xml:space="preserve"> </w:t>
      </w:r>
      <w:proofErr w:type="spellStart"/>
      <w:r w:rsidRPr="00356F68">
        <w:rPr>
          <w:bCs/>
          <w:iCs/>
          <w:sz w:val="28"/>
          <w:szCs w:val="24"/>
          <w:lang w:val="en-US"/>
        </w:rPr>
        <w:t>modernisation</w:t>
      </w:r>
      <w:proofErr w:type="spellEnd"/>
      <w:r w:rsidRPr="00356F68">
        <w:rPr>
          <w:bCs/>
          <w:iCs/>
          <w:sz w:val="28"/>
          <w:szCs w:val="24"/>
          <w:lang w:val="en-US"/>
        </w:rPr>
        <w:t xml:space="preserve"> of residential buildings;</w:t>
      </w:r>
    </w:p>
    <w:p w14:paraId="28CA5DF3"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 xml:space="preserve">Waste </w:t>
      </w:r>
      <w:proofErr w:type="spellStart"/>
      <w:r w:rsidRPr="00356F68">
        <w:rPr>
          <w:bCs/>
          <w:iCs/>
          <w:sz w:val="28"/>
          <w:szCs w:val="24"/>
          <w:lang w:val="en-US"/>
        </w:rPr>
        <w:t>utilisation</w:t>
      </w:r>
      <w:proofErr w:type="spellEnd"/>
      <w:r w:rsidRPr="00356F68">
        <w:rPr>
          <w:bCs/>
          <w:iCs/>
          <w:sz w:val="28"/>
          <w:szCs w:val="24"/>
          <w:lang w:val="en-US"/>
        </w:rPr>
        <w:t xml:space="preserve"> and treatment;</w:t>
      </w:r>
    </w:p>
    <w:p w14:paraId="7682FE5A"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Environmentally clean transport;</w:t>
      </w:r>
    </w:p>
    <w:p w14:paraId="1A64C30D"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Efficient use of land resources;</w:t>
      </w:r>
    </w:p>
    <w:p w14:paraId="269B830B"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Protection of flora, fauna and water resources;</w:t>
      </w:r>
    </w:p>
    <w:p w14:paraId="36FF151D"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Adaptation to climate change.</w:t>
      </w:r>
    </w:p>
    <w:p w14:paraId="72D9C463" w14:textId="77777777" w:rsidR="00356F68" w:rsidRPr="00356F68" w:rsidRDefault="00356F68" w:rsidP="008208CC">
      <w:pPr>
        <w:spacing w:after="150"/>
        <w:ind w:firstLine="708"/>
        <w:jc w:val="both"/>
        <w:rPr>
          <w:sz w:val="28"/>
          <w:szCs w:val="24"/>
          <w:lang w:val="en-US"/>
        </w:rPr>
      </w:pPr>
      <w:r w:rsidRPr="00356F68">
        <w:rPr>
          <w:sz w:val="28"/>
          <w:szCs w:val="24"/>
          <w:lang w:val="en-US"/>
        </w:rPr>
        <w:t>The creation of a green bond market is a challenging cross-sectoral undertaking that covers matters such as the stock market and securities, energy, industry, transport, water resources, housing, the agro-industrial complex and land use, the conservation and reproduction of ecosystems. Politically and economically substantiated decisions in matters of green bond market introduction have to be adopted for many economy sectors and be agreed with key market players.</w:t>
      </w:r>
    </w:p>
    <w:p w14:paraId="274FF56A" w14:textId="77777777" w:rsidR="00356F68" w:rsidRPr="00356F68" w:rsidRDefault="00356F68" w:rsidP="008208CC">
      <w:pPr>
        <w:spacing w:after="150"/>
        <w:ind w:firstLine="708"/>
        <w:jc w:val="both"/>
        <w:rPr>
          <w:sz w:val="28"/>
          <w:szCs w:val="24"/>
          <w:lang w:val="en-US"/>
        </w:rPr>
      </w:pPr>
      <w:r w:rsidRPr="00356F68">
        <w:rPr>
          <w:sz w:val="28"/>
          <w:szCs w:val="24"/>
          <w:lang w:val="en-US"/>
        </w:rPr>
        <w:t>This makes the adoption of this Concept urgent due to:</w:t>
      </w:r>
    </w:p>
    <w:p w14:paraId="4186A944" w14:textId="77777777" w:rsidR="00356F68" w:rsidRPr="00356F68" w:rsidRDefault="00356F68" w:rsidP="008208CC">
      <w:pPr>
        <w:spacing w:after="150"/>
        <w:ind w:firstLine="708"/>
        <w:jc w:val="both"/>
        <w:rPr>
          <w:sz w:val="28"/>
          <w:szCs w:val="24"/>
          <w:lang w:val="en-US"/>
        </w:rPr>
      </w:pPr>
      <w:r w:rsidRPr="00356F68">
        <w:rPr>
          <w:sz w:val="28"/>
          <w:szCs w:val="24"/>
          <w:lang w:val="en-US"/>
        </w:rPr>
        <w:t>The need to prepare and improve legislative framework in this area;</w:t>
      </w:r>
    </w:p>
    <w:p w14:paraId="661873A9" w14:textId="77777777" w:rsidR="00356F68" w:rsidRPr="00356F68" w:rsidRDefault="00356F68" w:rsidP="008208CC">
      <w:pPr>
        <w:spacing w:after="150"/>
        <w:ind w:firstLine="708"/>
        <w:jc w:val="both"/>
        <w:rPr>
          <w:sz w:val="28"/>
          <w:szCs w:val="24"/>
          <w:lang w:val="en-US"/>
        </w:rPr>
      </w:pPr>
      <w:r w:rsidRPr="00356F68">
        <w:rPr>
          <w:sz w:val="28"/>
          <w:szCs w:val="24"/>
          <w:lang w:val="en-US"/>
        </w:rPr>
        <w:t>Insufficiently clear distribution of functions, low levels of action coordination and institutional capacity of government bodies in respect of planning and carrying out actions in the mentioned area;</w:t>
      </w:r>
      <w:bookmarkStart w:id="12" w:name="n20"/>
      <w:bookmarkEnd w:id="12"/>
    </w:p>
    <w:p w14:paraId="531A120E" w14:textId="77777777" w:rsidR="00356F68" w:rsidRPr="00356F68" w:rsidRDefault="00356F68" w:rsidP="008208CC">
      <w:pPr>
        <w:spacing w:after="150"/>
        <w:ind w:firstLine="708"/>
        <w:jc w:val="both"/>
        <w:rPr>
          <w:sz w:val="28"/>
          <w:szCs w:val="24"/>
          <w:lang w:val="en-US"/>
        </w:rPr>
      </w:pPr>
      <w:r w:rsidRPr="00356F68">
        <w:rPr>
          <w:sz w:val="28"/>
          <w:szCs w:val="24"/>
          <w:lang w:val="en-US"/>
        </w:rPr>
        <w:t>Lack of coherence between the policy in the area and legislative and other regulatory acts in other financial and economic areas;</w:t>
      </w:r>
    </w:p>
    <w:p w14:paraId="2A338000" w14:textId="77777777" w:rsidR="00356F68" w:rsidRPr="00356F68" w:rsidRDefault="00356F68" w:rsidP="008208CC">
      <w:pPr>
        <w:spacing w:after="150"/>
        <w:ind w:firstLine="708"/>
        <w:jc w:val="both"/>
        <w:rPr>
          <w:sz w:val="28"/>
          <w:szCs w:val="24"/>
          <w:lang w:val="en-US"/>
        </w:rPr>
      </w:pPr>
      <w:r w:rsidRPr="00356F68">
        <w:rPr>
          <w:sz w:val="28"/>
          <w:szCs w:val="24"/>
          <w:lang w:val="en-US"/>
        </w:rPr>
        <w:t>Insufficient knowledge among bodies of government of all aspects of green bond market introduction.</w:t>
      </w:r>
    </w:p>
    <w:p w14:paraId="14C23C78" w14:textId="77777777" w:rsidR="00356F68" w:rsidRPr="00356F68" w:rsidRDefault="00356F68" w:rsidP="008208CC">
      <w:pPr>
        <w:spacing w:after="150"/>
        <w:ind w:firstLine="708"/>
        <w:jc w:val="both"/>
        <w:rPr>
          <w:bCs/>
          <w:iCs/>
          <w:sz w:val="28"/>
          <w:szCs w:val="24"/>
          <w:lang w:val="en-US"/>
        </w:rPr>
      </w:pPr>
      <w:r w:rsidRPr="00356F68">
        <w:rPr>
          <w:sz w:val="28"/>
          <w:szCs w:val="24"/>
          <w:lang w:val="en-US"/>
        </w:rPr>
        <w:t xml:space="preserve">The introduction of the green bond market in Ukraine </w:t>
      </w:r>
      <w:r w:rsidRPr="00356F68">
        <w:rPr>
          <w:bCs/>
          <w:iCs/>
          <w:sz w:val="28"/>
          <w:szCs w:val="24"/>
          <w:lang w:val="en-US"/>
        </w:rPr>
        <w:t>requires an integrated and consistent public policy</w:t>
      </w:r>
      <w:r w:rsidRPr="00356F68">
        <w:rPr>
          <w:sz w:val="28"/>
          <w:szCs w:val="24"/>
          <w:lang w:val="en-US"/>
        </w:rPr>
        <w:t xml:space="preserve"> harmonized with international laws that would take into account </w:t>
      </w:r>
      <w:r w:rsidRPr="00356F68">
        <w:rPr>
          <w:bCs/>
          <w:iCs/>
          <w:sz w:val="28"/>
          <w:szCs w:val="24"/>
          <w:lang w:val="en-US"/>
        </w:rPr>
        <w:t>global best practices and special features of the national context, opportunities, needs, and priorities.</w:t>
      </w:r>
    </w:p>
    <w:p w14:paraId="7A969178" w14:textId="77777777" w:rsidR="00356F68" w:rsidRPr="00356F68" w:rsidRDefault="00356F68" w:rsidP="006A3BB7">
      <w:pPr>
        <w:spacing w:after="150"/>
        <w:jc w:val="center"/>
        <w:rPr>
          <w:sz w:val="28"/>
          <w:szCs w:val="24"/>
          <w:lang w:val="en-US"/>
        </w:rPr>
      </w:pPr>
      <w:bookmarkStart w:id="13" w:name="n35"/>
      <w:bookmarkEnd w:id="13"/>
      <w:r w:rsidRPr="00356F68">
        <w:rPr>
          <w:b/>
          <w:bCs/>
          <w:sz w:val="28"/>
          <w:szCs w:val="24"/>
          <w:lang w:val="en-US"/>
        </w:rPr>
        <w:t>Concept Objective and Duration of Implementation</w:t>
      </w:r>
    </w:p>
    <w:p w14:paraId="7D57AC8A" w14:textId="77777777" w:rsidR="00356F68" w:rsidRPr="00356F68" w:rsidRDefault="00356F68" w:rsidP="008208CC">
      <w:pPr>
        <w:spacing w:after="150"/>
        <w:ind w:firstLine="708"/>
        <w:jc w:val="both"/>
        <w:rPr>
          <w:sz w:val="28"/>
          <w:szCs w:val="24"/>
          <w:lang w:val="en-US"/>
        </w:rPr>
      </w:pPr>
      <w:bookmarkStart w:id="14" w:name="n36"/>
      <w:bookmarkEnd w:id="14"/>
      <w:r w:rsidRPr="00356F68">
        <w:rPr>
          <w:sz w:val="28"/>
          <w:szCs w:val="24"/>
          <w:lang w:val="en-US"/>
        </w:rPr>
        <w:t xml:space="preserve">The objective of the Concept is to identify directions, mechanisms and deadlines of shaping the national model of green bond market, which will allow attracting investments in environmentally clean projects as well as create legal and </w:t>
      </w:r>
      <w:r w:rsidRPr="00356F68">
        <w:rPr>
          <w:sz w:val="28"/>
          <w:szCs w:val="24"/>
          <w:lang w:val="en-US"/>
        </w:rPr>
        <w:lastRenderedPageBreak/>
        <w:t>institutional preconditions for such market set up in Ukraine and for increasing its attractiveness for investments.</w:t>
      </w:r>
    </w:p>
    <w:p w14:paraId="27832564" w14:textId="77777777" w:rsidR="00356F68" w:rsidRPr="00356F68" w:rsidRDefault="00356F68" w:rsidP="008208CC">
      <w:pPr>
        <w:spacing w:after="150"/>
        <w:ind w:firstLine="708"/>
        <w:jc w:val="both"/>
        <w:rPr>
          <w:sz w:val="28"/>
          <w:szCs w:val="24"/>
          <w:lang w:val="en-US"/>
        </w:rPr>
      </w:pPr>
      <w:bookmarkStart w:id="15" w:name="n37"/>
      <w:bookmarkStart w:id="16" w:name="n38"/>
      <w:bookmarkEnd w:id="15"/>
      <w:bookmarkEnd w:id="16"/>
      <w:r w:rsidRPr="00356F68">
        <w:rPr>
          <w:sz w:val="28"/>
          <w:szCs w:val="24"/>
          <w:lang w:val="en-US"/>
        </w:rPr>
        <w:t>The Concept determines grounds for developing draft laws, other legal regulations and action plans for various components of the national policy in the area of green bond market introduction.</w:t>
      </w:r>
    </w:p>
    <w:p w14:paraId="6D3E3F86" w14:textId="77777777" w:rsidR="00356F68" w:rsidRPr="00356F68" w:rsidRDefault="00356F68" w:rsidP="008208CC">
      <w:pPr>
        <w:spacing w:after="150"/>
        <w:ind w:firstLine="708"/>
        <w:jc w:val="both"/>
        <w:rPr>
          <w:b/>
          <w:sz w:val="28"/>
          <w:szCs w:val="24"/>
          <w:lang w:val="en-US"/>
        </w:rPr>
      </w:pPr>
      <w:r w:rsidRPr="00356F68">
        <w:rPr>
          <w:sz w:val="28"/>
          <w:szCs w:val="24"/>
          <w:lang w:val="en-US"/>
        </w:rPr>
        <w:t xml:space="preserve">The Concept will be implemented in 2020 to 2022 based on objectives that have been identified. </w:t>
      </w:r>
    </w:p>
    <w:p w14:paraId="0817DB7D" w14:textId="77777777" w:rsidR="00356F68" w:rsidRPr="00356F68" w:rsidRDefault="00356F68" w:rsidP="006A3BB7">
      <w:pPr>
        <w:spacing w:after="150"/>
        <w:jc w:val="center"/>
        <w:rPr>
          <w:b/>
          <w:sz w:val="28"/>
          <w:szCs w:val="24"/>
          <w:lang w:val="en-US"/>
        </w:rPr>
      </w:pPr>
      <w:r w:rsidRPr="00356F68">
        <w:rPr>
          <w:b/>
          <w:bCs/>
          <w:sz w:val="28"/>
          <w:szCs w:val="24"/>
          <w:lang w:val="en-US"/>
        </w:rPr>
        <w:t>Ways and means</w:t>
      </w:r>
      <w:r w:rsidRPr="00356F68">
        <w:rPr>
          <w:b/>
          <w:sz w:val="28"/>
          <w:szCs w:val="24"/>
          <w:lang w:val="en-US"/>
        </w:rPr>
        <w:t xml:space="preserve"> of resolving the problem</w:t>
      </w:r>
    </w:p>
    <w:p w14:paraId="164BFBCA" w14:textId="77777777" w:rsidR="00356F68" w:rsidRPr="00356F68" w:rsidRDefault="00356F68" w:rsidP="008208CC">
      <w:pPr>
        <w:spacing w:after="150"/>
        <w:ind w:firstLine="708"/>
        <w:jc w:val="both"/>
        <w:rPr>
          <w:bCs/>
          <w:sz w:val="28"/>
          <w:szCs w:val="24"/>
          <w:lang w:val="en-US"/>
        </w:rPr>
      </w:pPr>
      <w:bookmarkStart w:id="17" w:name="_Hlk10188478"/>
      <w:r w:rsidRPr="00356F68">
        <w:rPr>
          <w:bCs/>
          <w:sz w:val="28"/>
          <w:szCs w:val="24"/>
          <w:lang w:val="en-US"/>
        </w:rPr>
        <w:t xml:space="preserve">Experience of the world’s leading countries in green bond market </w:t>
      </w:r>
      <w:proofErr w:type="spellStart"/>
      <w:r w:rsidRPr="00356F68">
        <w:rPr>
          <w:bCs/>
          <w:sz w:val="28"/>
          <w:szCs w:val="24"/>
          <w:lang w:val="en-US"/>
        </w:rPr>
        <w:t>organisation</w:t>
      </w:r>
      <w:proofErr w:type="spellEnd"/>
      <w:r w:rsidRPr="00356F68">
        <w:rPr>
          <w:bCs/>
          <w:sz w:val="28"/>
          <w:szCs w:val="24"/>
          <w:lang w:val="en-US"/>
        </w:rPr>
        <w:t xml:space="preserve"> shows trust is one of the key factors of</w:t>
      </w:r>
      <w:bookmarkEnd w:id="17"/>
      <w:r w:rsidRPr="00356F68">
        <w:rPr>
          <w:bCs/>
          <w:sz w:val="28"/>
          <w:szCs w:val="24"/>
          <w:lang w:val="en-US"/>
        </w:rPr>
        <w:t xml:space="preserve"> corresponding market development. The legal regulatory framework must be transparent as investors want to be sure of fair play rules on the market.</w:t>
      </w:r>
      <w:r w:rsidRPr="00356F68">
        <w:rPr>
          <w:sz w:val="28"/>
          <w:szCs w:val="24"/>
          <w:lang w:val="en-US"/>
        </w:rPr>
        <w:t xml:space="preserve"> To achieve this, the majority of countries had to re-</w:t>
      </w:r>
      <w:proofErr w:type="spellStart"/>
      <w:r w:rsidRPr="00356F68">
        <w:rPr>
          <w:sz w:val="28"/>
          <w:szCs w:val="24"/>
          <w:lang w:val="en-US"/>
        </w:rPr>
        <w:t>organise</w:t>
      </w:r>
      <w:proofErr w:type="spellEnd"/>
      <w:r w:rsidRPr="00356F68">
        <w:rPr>
          <w:sz w:val="28"/>
          <w:szCs w:val="24"/>
          <w:lang w:val="en-US"/>
        </w:rPr>
        <w:t xml:space="preserve"> some key components of their financial system as well as identify and adopt new international investment standards</w:t>
      </w:r>
      <w:r w:rsidRPr="00356F68">
        <w:rPr>
          <w:bCs/>
          <w:sz w:val="28"/>
          <w:szCs w:val="24"/>
          <w:lang w:val="en-US"/>
        </w:rPr>
        <w:t>.</w:t>
      </w:r>
    </w:p>
    <w:p w14:paraId="7C0742C1" w14:textId="77777777" w:rsidR="00356F68" w:rsidRPr="00356F68" w:rsidRDefault="00356F68" w:rsidP="008208CC">
      <w:pPr>
        <w:spacing w:after="150"/>
        <w:ind w:firstLine="708"/>
        <w:jc w:val="both"/>
        <w:rPr>
          <w:bCs/>
          <w:iCs/>
          <w:sz w:val="28"/>
          <w:szCs w:val="24"/>
          <w:lang w:val="en-US"/>
        </w:rPr>
      </w:pPr>
      <w:r w:rsidRPr="00356F68">
        <w:rPr>
          <w:bCs/>
          <w:iCs/>
          <w:sz w:val="28"/>
          <w:szCs w:val="24"/>
          <w:lang w:val="en-US"/>
        </w:rPr>
        <w:t xml:space="preserve">International financial institutions and international development banks play an important role in the shaping of the green bond market. </w:t>
      </w:r>
      <w:r w:rsidRPr="00356F68">
        <w:rPr>
          <w:sz w:val="28"/>
          <w:szCs w:val="24"/>
          <w:lang w:val="en-US"/>
        </w:rPr>
        <w:t xml:space="preserve">Getting them to enter the green bond market has improved the investment appeal of green bonds and spurred the growth of </w:t>
      </w:r>
      <w:r w:rsidRPr="00356F68">
        <w:rPr>
          <w:bCs/>
          <w:iCs/>
          <w:sz w:val="28"/>
          <w:szCs w:val="24"/>
          <w:lang w:val="en-US"/>
        </w:rPr>
        <w:t xml:space="preserve">this asset class in emerging markets. </w:t>
      </w:r>
    </w:p>
    <w:p w14:paraId="3D98E62B" w14:textId="77777777" w:rsidR="00356F68" w:rsidRPr="00356F68" w:rsidRDefault="00356F68" w:rsidP="008208CC">
      <w:pPr>
        <w:spacing w:after="150"/>
        <w:ind w:firstLine="708"/>
        <w:jc w:val="both"/>
        <w:rPr>
          <w:bCs/>
          <w:sz w:val="28"/>
          <w:szCs w:val="24"/>
          <w:lang w:val="en-US"/>
        </w:rPr>
      </w:pPr>
      <w:r w:rsidRPr="00356F68">
        <w:rPr>
          <w:bCs/>
          <w:sz w:val="28"/>
          <w:szCs w:val="24"/>
          <w:lang w:val="en-US"/>
        </w:rPr>
        <w:t xml:space="preserve">Governments in many countries use incentive measures for green bond market development. The incentives are offered for both investors and issuers. Their implementation contributes to </w:t>
      </w:r>
      <w:proofErr w:type="spellStart"/>
      <w:r w:rsidRPr="00356F68">
        <w:rPr>
          <w:bCs/>
          <w:sz w:val="28"/>
          <w:szCs w:val="24"/>
          <w:lang w:val="en-US"/>
        </w:rPr>
        <w:t>mobilisation</w:t>
      </w:r>
      <w:proofErr w:type="spellEnd"/>
      <w:r w:rsidRPr="00356F68">
        <w:rPr>
          <w:bCs/>
          <w:sz w:val="28"/>
          <w:szCs w:val="24"/>
          <w:lang w:val="en-US"/>
        </w:rPr>
        <w:t xml:space="preserve"> of necessary financial resources and entry of new investors to the market.</w:t>
      </w:r>
    </w:p>
    <w:p w14:paraId="2DC2C36F" w14:textId="77777777" w:rsidR="00356F68" w:rsidRPr="00356F68" w:rsidRDefault="00356F68" w:rsidP="008208CC">
      <w:pPr>
        <w:spacing w:after="150"/>
        <w:ind w:firstLine="708"/>
        <w:jc w:val="both"/>
        <w:rPr>
          <w:sz w:val="28"/>
          <w:szCs w:val="24"/>
          <w:lang w:val="en-US"/>
        </w:rPr>
      </w:pPr>
      <w:r w:rsidRPr="00356F68">
        <w:rPr>
          <w:sz w:val="28"/>
          <w:szCs w:val="24"/>
          <w:lang w:val="en-US"/>
        </w:rPr>
        <w:t>Special focus is also placed on ensuring the transparency of green bond trading mechanisms and the maintenance of effective reporting requirements to green bond issuers, in particular regarding disclosures on the intended use of funds and the real environmental impact of a green bonds finance project.</w:t>
      </w:r>
    </w:p>
    <w:p w14:paraId="23D03B90" w14:textId="77777777" w:rsidR="00356F68" w:rsidRPr="00356F68" w:rsidRDefault="00356F68" w:rsidP="008208CC">
      <w:pPr>
        <w:spacing w:after="150"/>
        <w:ind w:firstLine="708"/>
        <w:jc w:val="both"/>
        <w:rPr>
          <w:sz w:val="28"/>
          <w:szCs w:val="24"/>
          <w:lang w:val="en-US"/>
        </w:rPr>
      </w:pPr>
      <w:r w:rsidRPr="00356F68">
        <w:rPr>
          <w:sz w:val="28"/>
          <w:szCs w:val="24"/>
          <w:lang w:val="en-US"/>
        </w:rPr>
        <w:t>The Concept will allow presenting a wholesome model of national green bond market introduction and development as well as substantiations for an action plan of its implementation.</w:t>
      </w:r>
    </w:p>
    <w:p w14:paraId="0689CCAC" w14:textId="77777777" w:rsidR="00356F68" w:rsidRPr="00356F68" w:rsidRDefault="00356F68" w:rsidP="008208CC">
      <w:pPr>
        <w:spacing w:after="150"/>
        <w:ind w:firstLine="708"/>
        <w:jc w:val="both"/>
        <w:rPr>
          <w:bCs/>
          <w:sz w:val="28"/>
          <w:szCs w:val="24"/>
          <w:lang w:val="en-US"/>
        </w:rPr>
      </w:pPr>
      <w:r w:rsidRPr="00356F68">
        <w:rPr>
          <w:bCs/>
          <w:sz w:val="28"/>
          <w:szCs w:val="24"/>
          <w:lang w:val="en-US"/>
        </w:rPr>
        <w:t>To achieve Concept objective, it should be necessary to ensure execution of comprehensive measures along the following directions:</w:t>
      </w:r>
    </w:p>
    <w:p w14:paraId="6F7D8F4A" w14:textId="77777777" w:rsidR="00356F68" w:rsidRPr="00356F68" w:rsidRDefault="00356F68" w:rsidP="008208CC">
      <w:pPr>
        <w:spacing w:after="150"/>
        <w:ind w:firstLine="708"/>
        <w:jc w:val="both"/>
        <w:rPr>
          <w:sz w:val="28"/>
          <w:szCs w:val="24"/>
          <w:lang w:val="en-US"/>
        </w:rPr>
      </w:pPr>
      <w:r w:rsidRPr="00356F68">
        <w:rPr>
          <w:sz w:val="28"/>
          <w:szCs w:val="24"/>
          <w:lang w:val="en-US"/>
        </w:rPr>
        <w:t>Establishing legal preconditions for green bond market introduction;</w:t>
      </w:r>
    </w:p>
    <w:p w14:paraId="3EEEFB8D" w14:textId="77777777" w:rsidR="00356F68" w:rsidRPr="00356F68" w:rsidRDefault="00356F68" w:rsidP="008208CC">
      <w:pPr>
        <w:spacing w:after="150"/>
        <w:ind w:firstLine="708"/>
        <w:jc w:val="both"/>
        <w:rPr>
          <w:sz w:val="28"/>
          <w:szCs w:val="24"/>
          <w:lang w:val="en-US"/>
        </w:rPr>
      </w:pPr>
      <w:r w:rsidRPr="00356F68">
        <w:rPr>
          <w:sz w:val="28"/>
          <w:szCs w:val="24"/>
          <w:lang w:val="en-US"/>
        </w:rPr>
        <w:t>Ensuring that investment is raised for the green bond market;</w:t>
      </w:r>
    </w:p>
    <w:p w14:paraId="713518D3" w14:textId="77777777" w:rsidR="00356F68" w:rsidRPr="00356F68" w:rsidRDefault="00356F68" w:rsidP="008208CC">
      <w:pPr>
        <w:spacing w:after="150"/>
        <w:ind w:firstLine="708"/>
        <w:jc w:val="both"/>
        <w:rPr>
          <w:sz w:val="28"/>
          <w:szCs w:val="24"/>
          <w:lang w:val="en-US"/>
        </w:rPr>
      </w:pPr>
      <w:r w:rsidRPr="00356F68">
        <w:rPr>
          <w:sz w:val="28"/>
          <w:szCs w:val="24"/>
          <w:lang w:val="en-US"/>
        </w:rPr>
        <w:t>Contributing green bond market development.</w:t>
      </w:r>
    </w:p>
    <w:p w14:paraId="1D06573B" w14:textId="77777777" w:rsidR="00356F68" w:rsidRPr="00356F68" w:rsidRDefault="00356F68" w:rsidP="008208CC">
      <w:pPr>
        <w:spacing w:after="150"/>
        <w:ind w:firstLine="708"/>
        <w:jc w:val="both"/>
        <w:rPr>
          <w:sz w:val="28"/>
          <w:szCs w:val="24"/>
          <w:lang w:val="en-US"/>
        </w:rPr>
      </w:pPr>
      <w:r w:rsidRPr="00356F68">
        <w:rPr>
          <w:sz w:val="28"/>
          <w:szCs w:val="24"/>
          <w:lang w:val="en-US"/>
        </w:rPr>
        <w:t>Legal preconditions for green bond market introduction shall be established by way of:</w:t>
      </w:r>
    </w:p>
    <w:p w14:paraId="174D4096" w14:textId="77777777" w:rsidR="00356F68" w:rsidRPr="00356F68" w:rsidRDefault="00356F68" w:rsidP="008208CC">
      <w:pPr>
        <w:spacing w:after="150"/>
        <w:ind w:firstLine="708"/>
        <w:jc w:val="both"/>
        <w:rPr>
          <w:sz w:val="28"/>
          <w:szCs w:val="24"/>
          <w:lang w:val="en-US"/>
        </w:rPr>
      </w:pPr>
      <w:r w:rsidRPr="00356F68">
        <w:rPr>
          <w:sz w:val="28"/>
          <w:szCs w:val="24"/>
          <w:lang w:val="en-US"/>
        </w:rPr>
        <w:t>Amending laws to define green bonds as a variety of securities based on international best practices;</w:t>
      </w:r>
    </w:p>
    <w:p w14:paraId="09B37F48" w14:textId="77777777" w:rsidR="00356F68" w:rsidRPr="00356F68" w:rsidRDefault="00356F68" w:rsidP="008208CC">
      <w:pPr>
        <w:spacing w:after="150"/>
        <w:ind w:firstLine="708"/>
        <w:jc w:val="both"/>
        <w:rPr>
          <w:sz w:val="28"/>
          <w:szCs w:val="24"/>
          <w:lang w:val="en-US"/>
        </w:rPr>
      </w:pPr>
      <w:r w:rsidRPr="00356F68">
        <w:rPr>
          <w:sz w:val="28"/>
          <w:szCs w:val="24"/>
          <w:lang w:val="en-US"/>
        </w:rPr>
        <w:lastRenderedPageBreak/>
        <w:t>Implementing international principles on green bonds in the national legislation;</w:t>
      </w:r>
    </w:p>
    <w:p w14:paraId="462696E4" w14:textId="77777777" w:rsidR="00356F68" w:rsidRPr="00356F68" w:rsidRDefault="00356F68" w:rsidP="008208CC">
      <w:pPr>
        <w:spacing w:after="150"/>
        <w:ind w:firstLine="708"/>
        <w:jc w:val="both"/>
        <w:rPr>
          <w:sz w:val="28"/>
          <w:szCs w:val="24"/>
          <w:lang w:val="en-US"/>
        </w:rPr>
      </w:pPr>
      <w:r w:rsidRPr="00356F68">
        <w:rPr>
          <w:sz w:val="28"/>
          <w:szCs w:val="24"/>
          <w:lang w:val="en-US"/>
        </w:rPr>
        <w:t>Drafting and providing a regulatory foundation for guiding procedures of the green bond market, including as regards the selection of environmentally friendly projects funded by the state and local budgets, mechanisms of their financing and refinancing, monitoring of the use and management of funds generated by green bond issuance, control procedures and reporting standards;</w:t>
      </w:r>
    </w:p>
    <w:p w14:paraId="51778956" w14:textId="77777777" w:rsidR="00356F68" w:rsidRPr="00356F68" w:rsidRDefault="00356F68" w:rsidP="008208CC">
      <w:pPr>
        <w:spacing w:after="150"/>
        <w:ind w:firstLine="708"/>
        <w:jc w:val="both"/>
        <w:rPr>
          <w:sz w:val="28"/>
          <w:szCs w:val="24"/>
          <w:lang w:val="en-US"/>
        </w:rPr>
      </w:pPr>
      <w:r w:rsidRPr="00356F68">
        <w:rPr>
          <w:sz w:val="28"/>
          <w:szCs w:val="24"/>
          <w:lang w:val="en-US"/>
        </w:rPr>
        <w:t>Introducing incentives for the development of the green bond market in national laws and designing respective special-purpose government programs;</w:t>
      </w:r>
    </w:p>
    <w:p w14:paraId="71DC8048"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Drafting laws on securitization and secured bonds subject to the special features of </w:t>
      </w:r>
      <w:r w:rsidRPr="00356F68">
        <w:rPr>
          <w:bCs/>
          <w:sz w:val="28"/>
          <w:szCs w:val="24"/>
          <w:lang w:val="en-US"/>
        </w:rPr>
        <w:t>green bonds.</w:t>
      </w:r>
    </w:p>
    <w:p w14:paraId="33323468" w14:textId="77777777" w:rsidR="00356F68" w:rsidRPr="00356F68" w:rsidRDefault="00356F68" w:rsidP="008208CC">
      <w:pPr>
        <w:spacing w:after="150"/>
        <w:ind w:firstLine="708"/>
        <w:jc w:val="both"/>
        <w:rPr>
          <w:sz w:val="28"/>
          <w:szCs w:val="24"/>
          <w:lang w:val="en-US"/>
        </w:rPr>
      </w:pPr>
      <w:r w:rsidRPr="00356F68">
        <w:rPr>
          <w:sz w:val="28"/>
          <w:szCs w:val="24"/>
          <w:lang w:val="en-US"/>
        </w:rPr>
        <w:t>Investments for the green bond market are secured by:</w:t>
      </w:r>
    </w:p>
    <w:p w14:paraId="28114323" w14:textId="77777777" w:rsidR="00356F68" w:rsidRPr="00356F68" w:rsidRDefault="00356F68" w:rsidP="008208CC">
      <w:pPr>
        <w:spacing w:after="150"/>
        <w:ind w:firstLine="708"/>
        <w:jc w:val="both"/>
        <w:rPr>
          <w:sz w:val="28"/>
          <w:szCs w:val="24"/>
          <w:lang w:val="en-US"/>
        </w:rPr>
      </w:pPr>
      <w:r w:rsidRPr="00356F68">
        <w:rPr>
          <w:sz w:val="28"/>
          <w:szCs w:val="24"/>
          <w:lang w:val="en-US"/>
        </w:rPr>
        <w:t>Supporting the preparation of pilot projects of green bond issuance by different issuers under assistance programs of the EU, foreign governments, international organizations and institutional donors;</w:t>
      </w:r>
    </w:p>
    <w:p w14:paraId="394968E3" w14:textId="77777777" w:rsidR="00356F68" w:rsidRPr="00356F68" w:rsidRDefault="00356F68" w:rsidP="008208CC">
      <w:pPr>
        <w:spacing w:after="150"/>
        <w:ind w:firstLine="708"/>
        <w:jc w:val="both"/>
        <w:rPr>
          <w:sz w:val="28"/>
          <w:szCs w:val="24"/>
          <w:lang w:val="en-US"/>
        </w:rPr>
      </w:pPr>
      <w:r w:rsidRPr="00356F68">
        <w:rPr>
          <w:sz w:val="28"/>
          <w:szCs w:val="24"/>
          <w:lang w:val="en-US"/>
        </w:rPr>
        <w:t>Raising stakeholder awareness of the introduction of the green bond market in Ukraine;</w:t>
      </w:r>
    </w:p>
    <w:p w14:paraId="504997C4" w14:textId="77777777" w:rsidR="00356F68" w:rsidRPr="00356F68" w:rsidRDefault="00356F68" w:rsidP="008208CC">
      <w:pPr>
        <w:spacing w:after="150"/>
        <w:ind w:firstLine="708"/>
        <w:jc w:val="both"/>
        <w:rPr>
          <w:sz w:val="28"/>
          <w:szCs w:val="24"/>
          <w:lang w:val="en-US"/>
        </w:rPr>
      </w:pPr>
      <w:r w:rsidRPr="00356F68">
        <w:rPr>
          <w:sz w:val="28"/>
          <w:szCs w:val="24"/>
          <w:lang w:val="en-US"/>
        </w:rPr>
        <w:t>Starting cooperation with international financial institutions, foreign investment companies, and donor funds on raising green funds and investing in Ukrainian green bonds;</w:t>
      </w:r>
    </w:p>
    <w:p w14:paraId="32502919" w14:textId="77777777" w:rsidR="00356F68" w:rsidRPr="00356F68" w:rsidRDefault="00356F68" w:rsidP="008208CC">
      <w:pPr>
        <w:spacing w:after="150"/>
        <w:ind w:firstLine="708"/>
        <w:jc w:val="both"/>
        <w:rPr>
          <w:sz w:val="28"/>
          <w:szCs w:val="24"/>
          <w:lang w:val="en-US"/>
        </w:rPr>
      </w:pPr>
      <w:r w:rsidRPr="00356F68">
        <w:rPr>
          <w:sz w:val="28"/>
          <w:szCs w:val="24"/>
          <w:lang w:val="en-US"/>
        </w:rPr>
        <w:t>Promoting the creation of domestic investment demand for green bond investments on the part of various groups of potential investors, for example, by engaging the local public and local institutional investors;</w:t>
      </w:r>
    </w:p>
    <w:p w14:paraId="48457754" w14:textId="77777777" w:rsidR="00356F68" w:rsidRPr="00356F68" w:rsidRDefault="00356F68" w:rsidP="008208CC">
      <w:pPr>
        <w:spacing w:after="150"/>
        <w:ind w:firstLine="708"/>
        <w:jc w:val="both"/>
        <w:rPr>
          <w:sz w:val="28"/>
          <w:szCs w:val="24"/>
          <w:lang w:val="en-US"/>
        </w:rPr>
      </w:pPr>
      <w:r w:rsidRPr="00356F68">
        <w:rPr>
          <w:sz w:val="28"/>
          <w:szCs w:val="24"/>
          <w:lang w:val="en-US"/>
        </w:rPr>
        <w:t>Facilitating the promotion of national green bond issuers to foreign capital markets;</w:t>
      </w:r>
    </w:p>
    <w:p w14:paraId="2BFFA3CA" w14:textId="77777777" w:rsidR="00356F68" w:rsidRPr="00356F68" w:rsidRDefault="00356F68" w:rsidP="008208CC">
      <w:pPr>
        <w:spacing w:after="150"/>
        <w:ind w:firstLine="708"/>
        <w:jc w:val="both"/>
        <w:rPr>
          <w:b/>
          <w:sz w:val="28"/>
          <w:szCs w:val="24"/>
          <w:lang w:val="en-US"/>
        </w:rPr>
      </w:pPr>
      <w:r w:rsidRPr="00356F68">
        <w:rPr>
          <w:sz w:val="28"/>
          <w:szCs w:val="24"/>
          <w:lang w:val="en-US"/>
        </w:rPr>
        <w:t>Holding road shows of issues on international capital markets to support the engagement of international investors in investing in Ukrainian issues of sovereign and municipal green bonds.</w:t>
      </w:r>
    </w:p>
    <w:p w14:paraId="093B40CC" w14:textId="77777777" w:rsidR="00356F68" w:rsidRPr="00356F68" w:rsidRDefault="00356F68" w:rsidP="008208CC">
      <w:pPr>
        <w:spacing w:after="150"/>
        <w:ind w:firstLine="708"/>
        <w:jc w:val="both"/>
        <w:rPr>
          <w:sz w:val="28"/>
          <w:szCs w:val="24"/>
          <w:lang w:val="en-US"/>
        </w:rPr>
      </w:pPr>
      <w:r w:rsidRPr="00356F68">
        <w:rPr>
          <w:sz w:val="28"/>
          <w:szCs w:val="24"/>
          <w:lang w:val="en-US"/>
        </w:rPr>
        <w:t>The development of the green bond market is promoted by:</w:t>
      </w:r>
    </w:p>
    <w:p w14:paraId="41317F5E" w14:textId="77777777" w:rsidR="00356F68" w:rsidRPr="00356F68" w:rsidRDefault="00356F68" w:rsidP="008208CC">
      <w:pPr>
        <w:spacing w:after="150"/>
        <w:ind w:firstLine="708"/>
        <w:jc w:val="both"/>
        <w:rPr>
          <w:sz w:val="28"/>
          <w:szCs w:val="24"/>
          <w:lang w:val="en-US"/>
        </w:rPr>
      </w:pPr>
      <w:r w:rsidRPr="00356F68">
        <w:rPr>
          <w:sz w:val="28"/>
          <w:szCs w:val="24"/>
          <w:lang w:val="en-US"/>
        </w:rPr>
        <w:t>Eliminating barriers to the development and operation of the secondary bond market, in particular, to make green bonds more liquid in the stock market;</w:t>
      </w:r>
    </w:p>
    <w:p w14:paraId="22F007E6" w14:textId="77777777" w:rsidR="00356F68" w:rsidRPr="00356F68" w:rsidRDefault="00356F68" w:rsidP="008208CC">
      <w:pPr>
        <w:spacing w:after="150"/>
        <w:ind w:firstLine="708"/>
        <w:jc w:val="both"/>
        <w:rPr>
          <w:sz w:val="28"/>
          <w:szCs w:val="24"/>
          <w:lang w:val="en-US"/>
        </w:rPr>
      </w:pPr>
      <w:r w:rsidRPr="00356F68">
        <w:rPr>
          <w:sz w:val="28"/>
          <w:szCs w:val="24"/>
          <w:lang w:val="en-US"/>
        </w:rPr>
        <w:t>Engaging international development banks in cooperation to improve the credit quality of green bonds of Ukrainian issuers;</w:t>
      </w:r>
    </w:p>
    <w:p w14:paraId="6D6BD8B8" w14:textId="77777777" w:rsidR="00356F68" w:rsidRPr="00356F68" w:rsidRDefault="00356F68" w:rsidP="008208CC">
      <w:pPr>
        <w:spacing w:after="150"/>
        <w:ind w:firstLine="708"/>
        <w:jc w:val="both"/>
        <w:rPr>
          <w:sz w:val="28"/>
          <w:szCs w:val="24"/>
          <w:lang w:val="en-US"/>
        </w:rPr>
      </w:pPr>
      <w:r w:rsidRPr="00356F68">
        <w:rPr>
          <w:sz w:val="28"/>
          <w:szCs w:val="24"/>
          <w:lang w:val="en-US"/>
        </w:rPr>
        <w:t>Engaging special institutions in independent external due diligence on the conformity of green bond issues to international standards;</w:t>
      </w:r>
    </w:p>
    <w:p w14:paraId="5D6606B3"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Creating a register of environmentally friendly projects, including projects of national significance, under which sovereign green bonds may be issued; </w:t>
      </w:r>
    </w:p>
    <w:p w14:paraId="2E1BE49C" w14:textId="77777777" w:rsidR="00356F68" w:rsidRPr="00356F68" w:rsidRDefault="00356F68" w:rsidP="008208CC">
      <w:pPr>
        <w:spacing w:after="150"/>
        <w:ind w:firstLine="708"/>
        <w:jc w:val="both"/>
        <w:rPr>
          <w:sz w:val="28"/>
          <w:szCs w:val="24"/>
          <w:lang w:val="en-US"/>
        </w:rPr>
      </w:pPr>
      <w:r w:rsidRPr="00356F68">
        <w:rPr>
          <w:sz w:val="28"/>
          <w:szCs w:val="24"/>
          <w:lang w:val="en-US"/>
        </w:rPr>
        <w:lastRenderedPageBreak/>
        <w:t>Creating a technical office for due diligence on the conformity of green bond issues to international standards, and providing technical support of environmentally friendly projects funded by the state and local budgets;</w:t>
      </w:r>
    </w:p>
    <w:p w14:paraId="7F1DF781" w14:textId="77777777" w:rsidR="00356F68" w:rsidRPr="00356F68" w:rsidRDefault="00356F68" w:rsidP="008208CC">
      <w:pPr>
        <w:spacing w:after="150"/>
        <w:ind w:firstLine="708"/>
        <w:jc w:val="both"/>
        <w:rPr>
          <w:sz w:val="28"/>
          <w:szCs w:val="24"/>
          <w:lang w:val="en-US"/>
        </w:rPr>
      </w:pPr>
      <w:r w:rsidRPr="00356F68">
        <w:rPr>
          <w:sz w:val="28"/>
          <w:szCs w:val="24"/>
          <w:lang w:val="en-US"/>
        </w:rPr>
        <w:t>Facilitating the creation of green platforms at Ukrainian stock exchanges for the listing of green bonds;</w:t>
      </w:r>
    </w:p>
    <w:p w14:paraId="3BAD10F7" w14:textId="77777777" w:rsidR="00356F68" w:rsidRPr="00356F68" w:rsidRDefault="00356F68" w:rsidP="008208CC">
      <w:pPr>
        <w:spacing w:after="150"/>
        <w:ind w:firstLine="708"/>
        <w:jc w:val="both"/>
        <w:rPr>
          <w:sz w:val="28"/>
          <w:szCs w:val="24"/>
          <w:lang w:val="en-US"/>
        </w:rPr>
      </w:pPr>
      <w:r w:rsidRPr="00356F68">
        <w:rPr>
          <w:sz w:val="28"/>
          <w:szCs w:val="24"/>
          <w:lang w:val="en-US"/>
        </w:rPr>
        <w:t>Improving the protection of rights of creditors that invest in green bonds on the Ukrainian stock market.</w:t>
      </w:r>
    </w:p>
    <w:p w14:paraId="7970AC5E" w14:textId="77777777" w:rsidR="00356F68" w:rsidRPr="00356F68" w:rsidRDefault="00356F68" w:rsidP="006A3BB7">
      <w:pPr>
        <w:spacing w:after="150"/>
        <w:jc w:val="center"/>
        <w:rPr>
          <w:sz w:val="28"/>
          <w:szCs w:val="24"/>
          <w:lang w:val="en-US"/>
        </w:rPr>
      </w:pPr>
      <w:bookmarkStart w:id="18" w:name="n39"/>
      <w:bookmarkStart w:id="19" w:name="n67"/>
      <w:bookmarkStart w:id="20" w:name="n68"/>
      <w:bookmarkEnd w:id="18"/>
      <w:bookmarkEnd w:id="19"/>
      <w:bookmarkEnd w:id="20"/>
      <w:r w:rsidRPr="00356F68">
        <w:rPr>
          <w:b/>
          <w:bCs/>
          <w:sz w:val="28"/>
          <w:szCs w:val="24"/>
          <w:lang w:val="en-US"/>
        </w:rPr>
        <w:t>Expected Results</w:t>
      </w:r>
    </w:p>
    <w:p w14:paraId="72918DC7" w14:textId="77777777" w:rsidR="00356F68" w:rsidRPr="00356F68" w:rsidRDefault="00356F68" w:rsidP="008208CC">
      <w:pPr>
        <w:spacing w:after="150"/>
        <w:ind w:firstLine="708"/>
        <w:jc w:val="both"/>
        <w:rPr>
          <w:sz w:val="28"/>
          <w:szCs w:val="24"/>
          <w:lang w:val="en-US"/>
        </w:rPr>
      </w:pPr>
      <w:r w:rsidRPr="00356F68">
        <w:rPr>
          <w:sz w:val="28"/>
          <w:szCs w:val="24"/>
          <w:lang w:val="en-US"/>
        </w:rPr>
        <w:t xml:space="preserve">The implementation of the Concept will: </w:t>
      </w:r>
    </w:p>
    <w:p w14:paraId="54F90068" w14:textId="77777777" w:rsidR="00356F68" w:rsidRPr="00356F68" w:rsidRDefault="00356F68" w:rsidP="008208CC">
      <w:pPr>
        <w:spacing w:after="150"/>
        <w:ind w:firstLine="708"/>
        <w:jc w:val="both"/>
        <w:rPr>
          <w:sz w:val="28"/>
          <w:szCs w:val="24"/>
          <w:lang w:val="en-US"/>
        </w:rPr>
      </w:pPr>
      <w:r w:rsidRPr="00356F68">
        <w:rPr>
          <w:sz w:val="28"/>
          <w:szCs w:val="24"/>
          <w:lang w:val="en-US"/>
        </w:rPr>
        <w:t>Raise investments in environmentally friendly projects, including private projects;</w:t>
      </w:r>
    </w:p>
    <w:p w14:paraId="6F916C05" w14:textId="77777777" w:rsidR="00356F68" w:rsidRPr="00356F68" w:rsidRDefault="00356F68" w:rsidP="008208CC">
      <w:pPr>
        <w:spacing w:after="150"/>
        <w:ind w:firstLine="708"/>
        <w:jc w:val="both"/>
        <w:rPr>
          <w:sz w:val="28"/>
          <w:szCs w:val="24"/>
          <w:lang w:val="en-US"/>
        </w:rPr>
      </w:pPr>
      <w:r w:rsidRPr="00356F68">
        <w:rPr>
          <w:sz w:val="28"/>
          <w:szCs w:val="24"/>
          <w:lang w:val="en-US"/>
        </w:rPr>
        <w:t>Increase guarantees for investors investing in environmentally friendly projects;</w:t>
      </w:r>
    </w:p>
    <w:p w14:paraId="38E9FEA4" w14:textId="77777777" w:rsidR="00356F68" w:rsidRPr="00356F68" w:rsidRDefault="00356F68" w:rsidP="008208CC">
      <w:pPr>
        <w:spacing w:after="150"/>
        <w:ind w:firstLine="708"/>
        <w:jc w:val="both"/>
        <w:rPr>
          <w:sz w:val="28"/>
          <w:szCs w:val="24"/>
          <w:lang w:val="en-US"/>
        </w:rPr>
      </w:pPr>
      <w:r w:rsidRPr="00356F68">
        <w:rPr>
          <w:sz w:val="28"/>
          <w:szCs w:val="24"/>
          <w:lang w:val="en-US"/>
        </w:rPr>
        <w:t>Encourage the development of the securities market in Ukraine based on global experience and best practices;</w:t>
      </w:r>
    </w:p>
    <w:p w14:paraId="03DAB91E" w14:textId="77777777" w:rsidR="00356F68" w:rsidRPr="00356F68" w:rsidRDefault="00356F68" w:rsidP="008208CC">
      <w:pPr>
        <w:spacing w:after="150"/>
        <w:ind w:firstLine="708"/>
        <w:jc w:val="both"/>
        <w:rPr>
          <w:sz w:val="28"/>
          <w:szCs w:val="24"/>
          <w:lang w:val="en-US"/>
        </w:rPr>
      </w:pPr>
      <w:r w:rsidRPr="00356F68">
        <w:rPr>
          <w:sz w:val="28"/>
          <w:szCs w:val="24"/>
          <w:lang w:val="en-US"/>
        </w:rPr>
        <w:t>Reduce the consumption of fuels and energy in the national energy balance of the country and reduce greenhouse gas emissions;</w:t>
      </w:r>
    </w:p>
    <w:p w14:paraId="78FC57B6" w14:textId="77777777" w:rsidR="00356F68" w:rsidRPr="00356F68" w:rsidRDefault="00356F68" w:rsidP="008208CC">
      <w:pPr>
        <w:spacing w:after="150"/>
        <w:ind w:firstLine="708"/>
        <w:jc w:val="both"/>
        <w:rPr>
          <w:sz w:val="28"/>
          <w:szCs w:val="24"/>
          <w:lang w:val="en-US"/>
        </w:rPr>
      </w:pPr>
      <w:r w:rsidRPr="00356F68">
        <w:rPr>
          <w:sz w:val="28"/>
          <w:szCs w:val="24"/>
          <w:lang w:val="en-US"/>
        </w:rPr>
        <w:t>Raise the awareness of environmental and social risk management, the environmental impact;</w:t>
      </w:r>
    </w:p>
    <w:p w14:paraId="03BDDA94" w14:textId="77777777" w:rsidR="00356F68" w:rsidRPr="00356F68" w:rsidRDefault="00356F68" w:rsidP="008208CC">
      <w:pPr>
        <w:spacing w:after="150"/>
        <w:ind w:firstLine="708"/>
        <w:jc w:val="both"/>
        <w:rPr>
          <w:sz w:val="28"/>
          <w:szCs w:val="24"/>
          <w:lang w:val="en-US"/>
        </w:rPr>
      </w:pPr>
      <w:r w:rsidRPr="00356F68">
        <w:rPr>
          <w:sz w:val="28"/>
          <w:szCs w:val="24"/>
          <w:lang w:val="en-US"/>
        </w:rPr>
        <w:t>Achieve national strategic goals and international commitments assumed by Ukraine;</w:t>
      </w:r>
    </w:p>
    <w:p w14:paraId="2577242D" w14:textId="77777777" w:rsidR="00356F68" w:rsidRPr="00356F68" w:rsidRDefault="00356F68" w:rsidP="008208CC">
      <w:pPr>
        <w:spacing w:after="150"/>
        <w:ind w:firstLine="708"/>
        <w:jc w:val="both"/>
        <w:rPr>
          <w:sz w:val="28"/>
          <w:szCs w:val="24"/>
          <w:lang w:val="en-US"/>
        </w:rPr>
      </w:pPr>
      <w:r w:rsidRPr="00356F68">
        <w:rPr>
          <w:sz w:val="28"/>
          <w:szCs w:val="24"/>
          <w:lang w:val="en-US"/>
        </w:rPr>
        <w:t>Improve investment appeal, business climate, and competitiveness of the country;</w:t>
      </w:r>
    </w:p>
    <w:p w14:paraId="66B3A5F7" w14:textId="77777777" w:rsidR="00356F68" w:rsidRPr="00356F68" w:rsidRDefault="00356F68" w:rsidP="008208CC">
      <w:pPr>
        <w:spacing w:after="150"/>
        <w:ind w:firstLine="708"/>
        <w:jc w:val="both"/>
        <w:rPr>
          <w:sz w:val="28"/>
          <w:szCs w:val="24"/>
          <w:lang w:val="en-US"/>
        </w:rPr>
      </w:pPr>
      <w:r w:rsidRPr="00356F68">
        <w:rPr>
          <w:sz w:val="28"/>
          <w:szCs w:val="24"/>
          <w:lang w:val="en-US"/>
        </w:rPr>
        <w:t>Encourage the socio-economic development in Ukraine.</w:t>
      </w:r>
    </w:p>
    <w:p w14:paraId="14F2E9D9" w14:textId="77777777" w:rsidR="00356F68" w:rsidRPr="00356F68" w:rsidRDefault="00356F68" w:rsidP="006A3BB7">
      <w:pPr>
        <w:spacing w:after="150"/>
        <w:jc w:val="center"/>
        <w:rPr>
          <w:sz w:val="28"/>
          <w:szCs w:val="24"/>
          <w:lang w:val="en-US"/>
        </w:rPr>
      </w:pPr>
      <w:bookmarkStart w:id="21" w:name="n81"/>
      <w:bookmarkStart w:id="22" w:name="n82"/>
      <w:bookmarkEnd w:id="21"/>
      <w:bookmarkEnd w:id="22"/>
      <w:r w:rsidRPr="00356F68">
        <w:rPr>
          <w:b/>
          <w:bCs/>
          <w:sz w:val="28"/>
          <w:szCs w:val="24"/>
          <w:lang w:val="en-US"/>
        </w:rPr>
        <w:t xml:space="preserve">Scope of Financial, Material and Equipment and </w:t>
      </w:r>
      <w:proofErr w:type="spellStart"/>
      <w:r w:rsidRPr="00356F68">
        <w:rPr>
          <w:b/>
          <w:bCs/>
          <w:sz w:val="28"/>
          <w:szCs w:val="24"/>
          <w:lang w:val="en-US"/>
        </w:rPr>
        <w:t>Labour</w:t>
      </w:r>
      <w:proofErr w:type="spellEnd"/>
      <w:r w:rsidRPr="00356F68">
        <w:rPr>
          <w:b/>
          <w:bCs/>
          <w:sz w:val="28"/>
          <w:szCs w:val="24"/>
          <w:lang w:val="en-US"/>
        </w:rPr>
        <w:t xml:space="preserve"> Resources</w:t>
      </w:r>
    </w:p>
    <w:p w14:paraId="4601D9A3" w14:textId="77777777" w:rsidR="00356F68" w:rsidRPr="00356F68" w:rsidRDefault="00356F68" w:rsidP="008208CC">
      <w:pPr>
        <w:spacing w:after="150"/>
        <w:ind w:firstLine="708"/>
        <w:jc w:val="both"/>
        <w:rPr>
          <w:sz w:val="28"/>
          <w:szCs w:val="24"/>
          <w:lang w:val="en-US"/>
        </w:rPr>
      </w:pPr>
      <w:r w:rsidRPr="00356F68">
        <w:rPr>
          <w:sz w:val="28"/>
          <w:szCs w:val="24"/>
          <w:lang w:val="en-US"/>
        </w:rPr>
        <w:t>Under the Concept, a number of comprehensive legal and organizational activities need to be carried out, such as modifying the existing regulatory framework, drafting new regulations, and carrying out certain organizational activities.</w:t>
      </w:r>
    </w:p>
    <w:p w14:paraId="500717B5" w14:textId="77777777" w:rsidR="00356F68" w:rsidRPr="00356F68" w:rsidRDefault="00356F68" w:rsidP="008208CC">
      <w:pPr>
        <w:spacing w:after="150"/>
        <w:ind w:firstLine="708"/>
        <w:jc w:val="both"/>
        <w:rPr>
          <w:sz w:val="28"/>
          <w:szCs w:val="24"/>
          <w:lang w:val="en-US"/>
        </w:rPr>
      </w:pPr>
      <w:r w:rsidRPr="00356F68">
        <w:rPr>
          <w:sz w:val="28"/>
          <w:szCs w:val="24"/>
          <w:lang w:val="en-US"/>
        </w:rPr>
        <w:t>The preparation for these activities will involve evaluating and justifying the scope of required financial, logistical, and human resources based on the capacity of the state and local budgets and the existence of other statutory sources.</w:t>
      </w:r>
    </w:p>
    <w:p w14:paraId="3B255E42" w14:textId="77777777" w:rsidR="00356F68" w:rsidRPr="00356F68" w:rsidRDefault="00356F68" w:rsidP="008208CC">
      <w:pPr>
        <w:spacing w:after="150"/>
        <w:jc w:val="both"/>
        <w:rPr>
          <w:sz w:val="28"/>
          <w:szCs w:val="24"/>
          <w:lang w:val="en-US"/>
        </w:rPr>
        <w:sectPr w:rsidR="00356F68" w:rsidRPr="00356F68" w:rsidSect="00CB6FA8">
          <w:footerReference w:type="default" r:id="rId14"/>
          <w:pgSz w:w="11906" w:h="16838"/>
          <w:pgMar w:top="1135" w:right="850" w:bottom="1134" w:left="1701" w:header="708" w:footer="708" w:gutter="0"/>
          <w:cols w:space="708"/>
          <w:titlePg/>
          <w:docGrid w:linePitch="360"/>
        </w:sectPr>
      </w:pPr>
      <w:r w:rsidRPr="00356F68">
        <w:rPr>
          <w:sz w:val="28"/>
          <w:szCs w:val="24"/>
          <w:lang w:val="en-US"/>
        </w:rPr>
        <w:t>_____________________</w:t>
      </w:r>
    </w:p>
    <w:tbl>
      <w:tblPr>
        <w:tblpPr w:leftFromText="180" w:rightFromText="180" w:horzAnchor="margin" w:tblpY="-525"/>
        <w:tblW w:w="5000" w:type="pct"/>
        <w:tblCellMar>
          <w:left w:w="0" w:type="dxa"/>
          <w:right w:w="0" w:type="dxa"/>
        </w:tblCellMar>
        <w:tblLook w:val="04A0" w:firstRow="1" w:lastRow="0" w:firstColumn="1" w:lastColumn="0" w:noHBand="0" w:noVBand="1"/>
      </w:tblPr>
      <w:tblGrid>
        <w:gridCol w:w="5828"/>
        <w:gridCol w:w="8742"/>
      </w:tblGrid>
      <w:tr w:rsidR="00356F68" w:rsidRPr="00356F68" w14:paraId="2ABB0CBA" w14:textId="77777777" w:rsidTr="009545AD">
        <w:tc>
          <w:tcPr>
            <w:tcW w:w="2000" w:type="pct"/>
            <w:hideMark/>
          </w:tcPr>
          <w:p w14:paraId="239DEC36" w14:textId="77777777" w:rsidR="00356F68" w:rsidRPr="00356F68" w:rsidRDefault="00356F68" w:rsidP="00356F68">
            <w:pPr>
              <w:spacing w:after="150"/>
              <w:rPr>
                <w:sz w:val="28"/>
                <w:szCs w:val="24"/>
                <w:lang w:val="en-US"/>
              </w:rPr>
            </w:pPr>
            <w:r w:rsidRPr="00356F68">
              <w:rPr>
                <w:sz w:val="28"/>
                <w:szCs w:val="24"/>
                <w:lang w:val="en-US"/>
              </w:rPr>
              <w:lastRenderedPageBreak/>
              <w:br w:type="page"/>
            </w:r>
            <w:r w:rsidRPr="00356F68">
              <w:rPr>
                <w:b/>
                <w:sz w:val="28"/>
                <w:szCs w:val="24"/>
                <w:lang w:val="en-US"/>
              </w:rPr>
              <w:br/>
            </w:r>
          </w:p>
        </w:tc>
        <w:tc>
          <w:tcPr>
            <w:tcW w:w="3000" w:type="pct"/>
            <w:hideMark/>
          </w:tcPr>
          <w:p w14:paraId="7C7B8C1C" w14:textId="77777777" w:rsidR="00356F68" w:rsidRPr="00356F68" w:rsidRDefault="00356F68" w:rsidP="006A3BB7">
            <w:pPr>
              <w:spacing w:after="150"/>
              <w:jc w:val="right"/>
              <w:rPr>
                <w:sz w:val="28"/>
                <w:szCs w:val="24"/>
                <w:lang w:val="en-US"/>
              </w:rPr>
            </w:pPr>
            <w:r w:rsidRPr="00356F68">
              <w:rPr>
                <w:sz w:val="28"/>
                <w:szCs w:val="24"/>
                <w:lang w:val="en-US"/>
              </w:rPr>
              <w:t>APPROVED</w:t>
            </w:r>
            <w:r w:rsidRPr="00356F68">
              <w:rPr>
                <w:sz w:val="28"/>
                <w:szCs w:val="24"/>
                <w:lang w:val="en-US"/>
              </w:rPr>
              <w:br/>
              <w:t>by the Cabinet of Ministers of Ukraine under</w:t>
            </w:r>
            <w:r w:rsidRPr="00356F68">
              <w:rPr>
                <w:sz w:val="28"/>
                <w:szCs w:val="24"/>
                <w:lang w:val="en-US"/>
              </w:rPr>
              <w:br/>
              <w:t>Directive No. ______ dated __________ 2019</w:t>
            </w:r>
            <w:r w:rsidRPr="00356F68">
              <w:rPr>
                <w:b/>
                <w:sz w:val="28"/>
                <w:szCs w:val="24"/>
                <w:lang w:val="en-US"/>
              </w:rPr>
              <w:t xml:space="preserve"> </w:t>
            </w:r>
          </w:p>
        </w:tc>
      </w:tr>
    </w:tbl>
    <w:p w14:paraId="64E40D77" w14:textId="77777777" w:rsidR="00356F68" w:rsidRPr="00356F68" w:rsidRDefault="00356F68" w:rsidP="006A3BB7">
      <w:pPr>
        <w:spacing w:after="150"/>
        <w:jc w:val="center"/>
        <w:rPr>
          <w:sz w:val="28"/>
          <w:szCs w:val="24"/>
          <w:lang w:val="en-US"/>
        </w:rPr>
      </w:pPr>
      <w:bookmarkStart w:id="23" w:name="n85"/>
      <w:bookmarkEnd w:id="23"/>
      <w:r w:rsidRPr="00356F68">
        <w:rPr>
          <w:b/>
          <w:bCs/>
          <w:sz w:val="28"/>
          <w:szCs w:val="24"/>
          <w:lang w:val="en-US"/>
        </w:rPr>
        <w:t>ACTION PLAN </w:t>
      </w:r>
      <w:r w:rsidRPr="00356F68">
        <w:rPr>
          <w:sz w:val="28"/>
          <w:szCs w:val="24"/>
          <w:lang w:val="en-US"/>
        </w:rPr>
        <w:br/>
      </w:r>
      <w:r w:rsidRPr="00356F68">
        <w:rPr>
          <w:b/>
          <w:bCs/>
          <w:sz w:val="28"/>
          <w:szCs w:val="24"/>
          <w:lang w:val="en-US"/>
        </w:rPr>
        <w:t>on Implementation of Concept of Green Bond Market Introduction in Ukraine</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8"/>
        <w:gridCol w:w="702"/>
        <w:gridCol w:w="6387"/>
        <w:gridCol w:w="2552"/>
        <w:gridCol w:w="4991"/>
      </w:tblGrid>
      <w:tr w:rsidR="00356F68" w:rsidRPr="00356F68" w14:paraId="3E2DDB4F" w14:textId="77777777" w:rsidTr="009545AD">
        <w:trPr>
          <w:gridBefore w:val="1"/>
          <w:wBefore w:w="58" w:type="dxa"/>
        </w:trPr>
        <w:tc>
          <w:tcPr>
            <w:tcW w:w="7031" w:type="dxa"/>
            <w:gridSpan w:val="2"/>
            <w:tcBorders>
              <w:top w:val="single" w:sz="6" w:space="0" w:color="000000"/>
              <w:left w:val="nil"/>
              <w:bottom w:val="single" w:sz="6" w:space="0" w:color="000000"/>
              <w:right w:val="single" w:sz="6" w:space="0" w:color="000000"/>
            </w:tcBorders>
            <w:hideMark/>
          </w:tcPr>
          <w:p w14:paraId="1BE57C87" w14:textId="77777777" w:rsidR="00356F68" w:rsidRPr="00356F68" w:rsidRDefault="00356F68" w:rsidP="006A3BB7">
            <w:pPr>
              <w:spacing w:after="150"/>
              <w:jc w:val="center"/>
              <w:rPr>
                <w:sz w:val="28"/>
                <w:szCs w:val="24"/>
                <w:lang w:val="en-US"/>
              </w:rPr>
            </w:pPr>
            <w:bookmarkStart w:id="24" w:name="n86"/>
            <w:bookmarkEnd w:id="24"/>
            <w:r w:rsidRPr="00356F68">
              <w:rPr>
                <w:sz w:val="28"/>
                <w:szCs w:val="24"/>
                <w:lang w:val="en-US"/>
              </w:rPr>
              <w:t>Measure name</w:t>
            </w:r>
          </w:p>
        </w:tc>
        <w:tc>
          <w:tcPr>
            <w:tcW w:w="2531" w:type="dxa"/>
            <w:tcBorders>
              <w:top w:val="single" w:sz="6" w:space="0" w:color="000000"/>
              <w:left w:val="single" w:sz="6" w:space="0" w:color="000000"/>
              <w:bottom w:val="single" w:sz="6" w:space="0" w:color="000000"/>
              <w:right w:val="single" w:sz="6" w:space="0" w:color="000000"/>
            </w:tcBorders>
            <w:hideMark/>
          </w:tcPr>
          <w:p w14:paraId="4DE708E8" w14:textId="77777777" w:rsidR="00356F68" w:rsidRPr="00356F68" w:rsidRDefault="00356F68" w:rsidP="006A3BB7">
            <w:pPr>
              <w:spacing w:after="150"/>
              <w:jc w:val="center"/>
              <w:rPr>
                <w:sz w:val="28"/>
                <w:szCs w:val="24"/>
                <w:lang w:val="en-US"/>
              </w:rPr>
            </w:pPr>
            <w:r w:rsidRPr="00356F68">
              <w:rPr>
                <w:sz w:val="28"/>
                <w:szCs w:val="24"/>
                <w:lang w:val="en-US"/>
              </w:rPr>
              <w:t>Deadlines</w:t>
            </w:r>
          </w:p>
        </w:tc>
        <w:tc>
          <w:tcPr>
            <w:tcW w:w="4950" w:type="dxa"/>
            <w:tcBorders>
              <w:top w:val="single" w:sz="6" w:space="0" w:color="000000"/>
              <w:left w:val="single" w:sz="6" w:space="0" w:color="000000"/>
              <w:bottom w:val="single" w:sz="6" w:space="0" w:color="000000"/>
              <w:right w:val="nil"/>
            </w:tcBorders>
            <w:hideMark/>
          </w:tcPr>
          <w:p w14:paraId="334D7929" w14:textId="77777777" w:rsidR="00356F68" w:rsidRPr="00356F68" w:rsidRDefault="00356F68" w:rsidP="006A3BB7">
            <w:pPr>
              <w:spacing w:after="150"/>
              <w:jc w:val="center"/>
              <w:rPr>
                <w:sz w:val="28"/>
                <w:szCs w:val="24"/>
                <w:lang w:val="en-US"/>
              </w:rPr>
            </w:pPr>
            <w:r w:rsidRPr="00356F68">
              <w:rPr>
                <w:sz w:val="28"/>
                <w:szCs w:val="24"/>
                <w:lang w:val="en-US"/>
              </w:rPr>
              <w:t>Officers in charge</w:t>
            </w:r>
          </w:p>
        </w:tc>
      </w:tr>
      <w:tr w:rsidR="00356F68" w:rsidRPr="00356F68" w14:paraId="2C73DF21" w14:textId="77777777" w:rsidTr="009545AD">
        <w:trPr>
          <w:gridBefore w:val="1"/>
          <w:wBefore w:w="58" w:type="dxa"/>
        </w:trPr>
        <w:tc>
          <w:tcPr>
            <w:tcW w:w="14512" w:type="dxa"/>
            <w:gridSpan w:val="4"/>
            <w:tcBorders>
              <w:top w:val="single" w:sz="6" w:space="0" w:color="000000"/>
              <w:left w:val="nil"/>
              <w:bottom w:val="nil"/>
              <w:right w:val="nil"/>
            </w:tcBorders>
            <w:hideMark/>
          </w:tcPr>
          <w:p w14:paraId="00432F22" w14:textId="77777777" w:rsidR="00356F68" w:rsidRPr="00356F68" w:rsidRDefault="00356F68" w:rsidP="006A3BB7">
            <w:pPr>
              <w:spacing w:after="150"/>
              <w:jc w:val="center"/>
              <w:rPr>
                <w:sz w:val="28"/>
                <w:szCs w:val="24"/>
                <w:lang w:val="en-US"/>
              </w:rPr>
            </w:pPr>
            <w:r w:rsidRPr="00356F68">
              <w:rPr>
                <w:sz w:val="28"/>
                <w:szCs w:val="24"/>
                <w:lang w:val="en-US"/>
              </w:rPr>
              <w:t>Legal Regulation</w:t>
            </w:r>
          </w:p>
        </w:tc>
      </w:tr>
      <w:tr w:rsidR="00356F68" w:rsidRPr="008208CC" w14:paraId="6D788BB7" w14:textId="77777777" w:rsidTr="009545AD">
        <w:trPr>
          <w:gridBefore w:val="1"/>
          <w:wBefore w:w="58" w:type="dxa"/>
        </w:trPr>
        <w:tc>
          <w:tcPr>
            <w:tcW w:w="696" w:type="dxa"/>
            <w:tcBorders>
              <w:top w:val="nil"/>
              <w:left w:val="nil"/>
              <w:bottom w:val="nil"/>
              <w:right w:val="nil"/>
            </w:tcBorders>
            <w:hideMark/>
          </w:tcPr>
          <w:p w14:paraId="7443BC2B" w14:textId="77777777" w:rsidR="00356F68" w:rsidRPr="00356F68" w:rsidRDefault="00356F68" w:rsidP="00356F68">
            <w:pPr>
              <w:spacing w:after="150"/>
              <w:rPr>
                <w:sz w:val="28"/>
                <w:szCs w:val="24"/>
                <w:lang w:val="en-US"/>
              </w:rPr>
            </w:pPr>
            <w:r w:rsidRPr="00356F68">
              <w:rPr>
                <w:sz w:val="28"/>
                <w:szCs w:val="24"/>
                <w:lang w:val="en-US"/>
              </w:rPr>
              <w:t>1.</w:t>
            </w:r>
          </w:p>
        </w:tc>
        <w:tc>
          <w:tcPr>
            <w:tcW w:w="6335" w:type="dxa"/>
            <w:tcBorders>
              <w:top w:val="nil"/>
              <w:left w:val="nil"/>
              <w:bottom w:val="nil"/>
              <w:right w:val="nil"/>
            </w:tcBorders>
            <w:hideMark/>
          </w:tcPr>
          <w:p w14:paraId="6596BB46" w14:textId="77777777" w:rsidR="00356F68" w:rsidRPr="00356F68" w:rsidRDefault="00356F68" w:rsidP="00356F68">
            <w:pPr>
              <w:spacing w:after="150"/>
              <w:rPr>
                <w:sz w:val="28"/>
                <w:szCs w:val="24"/>
                <w:lang w:val="en-US"/>
              </w:rPr>
            </w:pPr>
            <w:r w:rsidRPr="00356F68">
              <w:rPr>
                <w:sz w:val="28"/>
                <w:szCs w:val="24"/>
                <w:lang w:val="en-US"/>
              </w:rPr>
              <w:t xml:space="preserve">Draft the Law of Ukraine </w:t>
            </w:r>
            <w:r w:rsidRPr="00356F68">
              <w:rPr>
                <w:i/>
                <w:sz w:val="28"/>
                <w:szCs w:val="24"/>
                <w:lang w:val="en-US"/>
              </w:rPr>
              <w:t>On Amending the Law of Ukraine " On Securities and the Stock Market"</w:t>
            </w:r>
            <w:r w:rsidRPr="00356F68">
              <w:rPr>
                <w:sz w:val="28"/>
                <w:szCs w:val="24"/>
                <w:lang w:val="en-US"/>
              </w:rPr>
              <w:t xml:space="preserve"> (to define green bonds and special features of the issuance of such bonds)</w:t>
            </w:r>
          </w:p>
        </w:tc>
        <w:tc>
          <w:tcPr>
            <w:tcW w:w="2531" w:type="dxa"/>
            <w:tcBorders>
              <w:top w:val="nil"/>
              <w:left w:val="nil"/>
              <w:bottom w:val="nil"/>
              <w:right w:val="nil"/>
            </w:tcBorders>
            <w:hideMark/>
          </w:tcPr>
          <w:p w14:paraId="629B5DCB" w14:textId="77777777" w:rsidR="00356F68" w:rsidRPr="00356F68" w:rsidRDefault="00356F68" w:rsidP="006A3BB7">
            <w:pPr>
              <w:spacing w:after="150"/>
              <w:jc w:val="center"/>
              <w:rPr>
                <w:sz w:val="28"/>
                <w:szCs w:val="24"/>
                <w:lang w:val="en-US"/>
              </w:rPr>
            </w:pPr>
            <w:r w:rsidRPr="00356F68">
              <w:rPr>
                <w:sz w:val="28"/>
                <w:szCs w:val="24"/>
                <w:lang w:val="en-US"/>
              </w:rPr>
              <w:t>2020</w:t>
            </w:r>
          </w:p>
        </w:tc>
        <w:tc>
          <w:tcPr>
            <w:tcW w:w="4950" w:type="dxa"/>
            <w:tcBorders>
              <w:top w:val="nil"/>
              <w:left w:val="nil"/>
              <w:bottom w:val="nil"/>
              <w:right w:val="nil"/>
            </w:tcBorders>
            <w:hideMark/>
          </w:tcPr>
          <w:p w14:paraId="7D6A2E20" w14:textId="77777777" w:rsidR="00356F68" w:rsidRPr="00356F68" w:rsidRDefault="00356F68" w:rsidP="00356F68">
            <w:pPr>
              <w:spacing w:after="150"/>
              <w:rPr>
                <w:sz w:val="28"/>
                <w:szCs w:val="24"/>
                <w:lang w:val="en-US"/>
              </w:rPr>
            </w:pPr>
            <w:r w:rsidRPr="00356F68">
              <w:rPr>
                <w:sz w:val="28"/>
                <w:szCs w:val="24"/>
                <w:lang w:val="en-US"/>
              </w:rPr>
              <w:t>MEEP (Ministry of Energy and Environmental Protection)</w:t>
            </w:r>
            <w:r w:rsidRPr="00356F68">
              <w:rPr>
                <w:sz w:val="28"/>
                <w:szCs w:val="24"/>
                <w:lang w:val="en-US"/>
              </w:rPr>
              <w:br/>
              <w:t>SAEEEC (State Agency on Energy Efficiency and Energy Conservation)</w:t>
            </w:r>
            <w:r w:rsidRPr="00356F68">
              <w:rPr>
                <w:sz w:val="28"/>
                <w:szCs w:val="24"/>
                <w:lang w:val="en-US"/>
              </w:rPr>
              <w:br/>
              <w:t>NSSMC (National Securities and Stock Market Commission) (subject to consent)</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t xml:space="preserve"> (Ministry of Finance)</w:t>
            </w:r>
            <w:r w:rsidRPr="00356F68">
              <w:rPr>
                <w:sz w:val="28"/>
                <w:szCs w:val="24"/>
                <w:lang w:val="en-US"/>
              </w:rPr>
              <w:br/>
              <w:t>MRDCHUS (Ministry of Regional Development, Construction and Housing and Utility Services)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t xml:space="preserve"> (Ministry of Economy)</w:t>
            </w:r>
            <w:r w:rsidRPr="00356F68">
              <w:rPr>
                <w:sz w:val="28"/>
                <w:szCs w:val="24"/>
                <w:lang w:val="en-US"/>
              </w:rPr>
              <w:br/>
              <w:t>Anti-Monopoly Committee</w:t>
            </w:r>
            <w:r w:rsidRPr="00356F68">
              <w:rPr>
                <w:sz w:val="28"/>
                <w:szCs w:val="24"/>
                <w:lang w:val="en-US"/>
              </w:rPr>
              <w:br/>
              <w:t>National Bank (subject to consent) </w:t>
            </w:r>
          </w:p>
        </w:tc>
      </w:tr>
      <w:tr w:rsidR="00356F68" w:rsidRPr="008208CC" w14:paraId="26037D7E" w14:textId="77777777" w:rsidTr="009545AD">
        <w:trPr>
          <w:gridBefore w:val="1"/>
          <w:wBefore w:w="58" w:type="dxa"/>
        </w:trPr>
        <w:tc>
          <w:tcPr>
            <w:tcW w:w="696" w:type="dxa"/>
            <w:tcBorders>
              <w:top w:val="nil"/>
              <w:left w:val="nil"/>
              <w:bottom w:val="nil"/>
              <w:right w:val="nil"/>
            </w:tcBorders>
          </w:tcPr>
          <w:p w14:paraId="4494E2B1" w14:textId="77777777" w:rsidR="00356F68" w:rsidRPr="00356F68" w:rsidRDefault="00356F68" w:rsidP="00356F68">
            <w:pPr>
              <w:spacing w:after="150"/>
              <w:rPr>
                <w:sz w:val="28"/>
                <w:szCs w:val="24"/>
                <w:lang w:val="en-US"/>
              </w:rPr>
            </w:pPr>
            <w:r w:rsidRPr="00356F68">
              <w:rPr>
                <w:sz w:val="28"/>
                <w:szCs w:val="24"/>
                <w:lang w:val="en-US"/>
              </w:rPr>
              <w:t>2.</w:t>
            </w:r>
          </w:p>
        </w:tc>
        <w:tc>
          <w:tcPr>
            <w:tcW w:w="6335" w:type="dxa"/>
            <w:tcBorders>
              <w:top w:val="nil"/>
              <w:left w:val="nil"/>
              <w:bottom w:val="nil"/>
              <w:right w:val="nil"/>
            </w:tcBorders>
          </w:tcPr>
          <w:p w14:paraId="1EC979D8" w14:textId="77777777" w:rsidR="00356F68" w:rsidRPr="00356F68" w:rsidRDefault="00356F68" w:rsidP="00356F68">
            <w:pPr>
              <w:spacing w:after="150"/>
              <w:rPr>
                <w:sz w:val="28"/>
                <w:szCs w:val="24"/>
                <w:lang w:val="en-US"/>
              </w:rPr>
            </w:pPr>
            <w:r w:rsidRPr="00356F68">
              <w:rPr>
                <w:sz w:val="28"/>
                <w:szCs w:val="24"/>
                <w:lang w:val="en-US"/>
              </w:rPr>
              <w:t xml:space="preserve">Draft a resolution of the Cabinet of Ministers of Ukraine on amending Resolution No. 110 of the Cabinet of Ministers of Ukraine </w:t>
            </w:r>
            <w:r w:rsidRPr="00356F68">
              <w:rPr>
                <w:i/>
                <w:sz w:val="28"/>
                <w:szCs w:val="24"/>
                <w:lang w:val="en-US"/>
              </w:rPr>
              <w:t>On Approving the Local Borrowing Procedure</w:t>
            </w:r>
            <w:r w:rsidRPr="00356F68">
              <w:rPr>
                <w:sz w:val="28"/>
                <w:szCs w:val="24"/>
                <w:lang w:val="en-US"/>
              </w:rPr>
              <w:t xml:space="preserve"> dated 16 February 2011 in terms of implementing the principles of green bonds conforming to international standards, and enhancing </w:t>
            </w:r>
            <w:r w:rsidRPr="00356F68">
              <w:rPr>
                <w:sz w:val="28"/>
                <w:szCs w:val="24"/>
                <w:lang w:val="en-US"/>
              </w:rPr>
              <w:lastRenderedPageBreak/>
              <w:t>the liquidity of financial instruments in the bond market</w:t>
            </w:r>
          </w:p>
        </w:tc>
        <w:tc>
          <w:tcPr>
            <w:tcW w:w="2531" w:type="dxa"/>
            <w:tcBorders>
              <w:top w:val="nil"/>
              <w:left w:val="nil"/>
              <w:bottom w:val="nil"/>
              <w:right w:val="nil"/>
            </w:tcBorders>
          </w:tcPr>
          <w:p w14:paraId="32540945" w14:textId="77777777" w:rsidR="00356F68" w:rsidRPr="00356F68" w:rsidRDefault="00356F68" w:rsidP="006A3BB7">
            <w:pPr>
              <w:spacing w:after="150"/>
              <w:jc w:val="center"/>
              <w:rPr>
                <w:sz w:val="28"/>
                <w:szCs w:val="24"/>
                <w:lang w:val="en-US"/>
              </w:rPr>
            </w:pPr>
            <w:r w:rsidRPr="00356F68">
              <w:rPr>
                <w:sz w:val="28"/>
                <w:szCs w:val="24"/>
                <w:lang w:val="en-US"/>
              </w:rPr>
              <w:lastRenderedPageBreak/>
              <w:t>-"-</w:t>
            </w:r>
          </w:p>
        </w:tc>
        <w:tc>
          <w:tcPr>
            <w:tcW w:w="4950" w:type="dxa"/>
            <w:tcBorders>
              <w:top w:val="nil"/>
              <w:left w:val="nil"/>
              <w:bottom w:val="nil"/>
              <w:right w:val="nil"/>
            </w:tcBorders>
          </w:tcPr>
          <w:p w14:paraId="5CF45F93"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 xml:space="preserve">SAEEEC </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NSSMC (subject to consent)</w:t>
            </w:r>
            <w:r w:rsidRPr="00356F68">
              <w:rPr>
                <w:sz w:val="28"/>
                <w:szCs w:val="24"/>
                <w:lang w:val="en-US"/>
              </w:rPr>
              <w:br/>
              <w:t>National Bank (subject to consent)</w:t>
            </w:r>
            <w:r w:rsidRPr="00356F68">
              <w:rPr>
                <w:sz w:val="28"/>
                <w:szCs w:val="24"/>
                <w:lang w:val="en-US"/>
              </w:rPr>
              <w:br/>
              <w:t>MRDCHUS</w:t>
            </w:r>
            <w:r w:rsidRPr="00356F68">
              <w:rPr>
                <w:sz w:val="28"/>
                <w:szCs w:val="24"/>
                <w:lang w:val="en-US"/>
              </w:rPr>
              <w:br/>
            </w:r>
            <w:proofErr w:type="spellStart"/>
            <w:r w:rsidRPr="00356F68">
              <w:rPr>
                <w:sz w:val="28"/>
                <w:szCs w:val="24"/>
                <w:lang w:val="en-US"/>
              </w:rPr>
              <w:lastRenderedPageBreak/>
              <w:t>MoE</w:t>
            </w:r>
            <w:proofErr w:type="spellEnd"/>
          </w:p>
        </w:tc>
      </w:tr>
      <w:tr w:rsidR="00356F68" w:rsidRPr="008208CC" w14:paraId="176C31A8" w14:textId="77777777" w:rsidTr="009545AD">
        <w:trPr>
          <w:gridBefore w:val="1"/>
          <w:wBefore w:w="58" w:type="dxa"/>
        </w:trPr>
        <w:tc>
          <w:tcPr>
            <w:tcW w:w="696" w:type="dxa"/>
            <w:tcBorders>
              <w:top w:val="nil"/>
              <w:left w:val="nil"/>
              <w:bottom w:val="nil"/>
              <w:right w:val="nil"/>
            </w:tcBorders>
          </w:tcPr>
          <w:p w14:paraId="6EF2249C" w14:textId="77777777" w:rsidR="00356F68" w:rsidRPr="00356F68" w:rsidRDefault="00356F68" w:rsidP="00356F68">
            <w:pPr>
              <w:spacing w:after="150"/>
              <w:rPr>
                <w:sz w:val="28"/>
                <w:szCs w:val="24"/>
                <w:lang w:val="en-US"/>
              </w:rPr>
            </w:pPr>
            <w:r w:rsidRPr="00356F68">
              <w:rPr>
                <w:sz w:val="28"/>
                <w:szCs w:val="24"/>
                <w:lang w:val="en-US"/>
              </w:rPr>
              <w:lastRenderedPageBreak/>
              <w:t>3.</w:t>
            </w:r>
          </w:p>
        </w:tc>
        <w:tc>
          <w:tcPr>
            <w:tcW w:w="6335" w:type="dxa"/>
            <w:tcBorders>
              <w:top w:val="nil"/>
              <w:left w:val="nil"/>
              <w:bottom w:val="nil"/>
              <w:right w:val="nil"/>
            </w:tcBorders>
          </w:tcPr>
          <w:p w14:paraId="5A736CB5" w14:textId="77777777" w:rsidR="00356F68" w:rsidRPr="00356F68" w:rsidRDefault="00356F68" w:rsidP="00356F68">
            <w:pPr>
              <w:spacing w:after="150"/>
              <w:rPr>
                <w:sz w:val="28"/>
                <w:szCs w:val="24"/>
                <w:lang w:val="en-US"/>
              </w:rPr>
            </w:pPr>
            <w:r w:rsidRPr="00356F68">
              <w:rPr>
                <w:sz w:val="28"/>
                <w:szCs w:val="24"/>
                <w:lang w:val="en-US"/>
              </w:rPr>
              <w:t xml:space="preserve">Draft an NSSMC decision amending NSSMC Decision No. 425 </w:t>
            </w:r>
            <w:r w:rsidRPr="00356F68">
              <w:rPr>
                <w:i/>
                <w:sz w:val="28"/>
                <w:szCs w:val="24"/>
                <w:lang w:val="en-US"/>
              </w:rPr>
              <w:t>On Approving the Procedure for the Issuance of and Trading in Corporate Bonds</w:t>
            </w:r>
            <w:r w:rsidRPr="00356F68">
              <w:rPr>
                <w:sz w:val="28"/>
                <w:szCs w:val="24"/>
                <w:lang w:val="en-US"/>
              </w:rPr>
              <w:t xml:space="preserve"> dated 21 June 2018 and NSSMC Decision No. 578 </w:t>
            </w:r>
            <w:r w:rsidRPr="00356F68">
              <w:rPr>
                <w:i/>
                <w:sz w:val="28"/>
                <w:szCs w:val="24"/>
                <w:lang w:val="en-US"/>
              </w:rPr>
              <w:t>On Approving the Procedure for the Issuance of and Trading in Domestic Local Bonds</w:t>
            </w:r>
            <w:r w:rsidRPr="00356F68">
              <w:rPr>
                <w:sz w:val="28"/>
                <w:szCs w:val="24"/>
                <w:lang w:val="en-US"/>
              </w:rPr>
              <w:t xml:space="preserve"> dated 29 April 2014 in terms of implementing the principles of green bonds conforming to international standards</w:t>
            </w:r>
          </w:p>
        </w:tc>
        <w:tc>
          <w:tcPr>
            <w:tcW w:w="2531" w:type="dxa"/>
            <w:tcBorders>
              <w:top w:val="nil"/>
              <w:left w:val="nil"/>
              <w:bottom w:val="nil"/>
              <w:right w:val="nil"/>
            </w:tcBorders>
          </w:tcPr>
          <w:p w14:paraId="191E354C"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36EF5A69" w14:textId="77777777" w:rsidR="00356F68" w:rsidRPr="00356F68" w:rsidRDefault="00356F68" w:rsidP="00356F68">
            <w:pPr>
              <w:spacing w:after="150"/>
              <w:rPr>
                <w:sz w:val="28"/>
                <w:szCs w:val="24"/>
                <w:lang w:val="en-US"/>
              </w:rPr>
            </w:pPr>
            <w:r w:rsidRPr="00356F68">
              <w:rPr>
                <w:sz w:val="28"/>
                <w:szCs w:val="24"/>
                <w:lang w:val="en-US"/>
              </w:rPr>
              <w:t>NSSMC (subject to consent)</w:t>
            </w:r>
            <w:r w:rsidRPr="00356F68">
              <w:rPr>
                <w:sz w:val="28"/>
                <w:szCs w:val="24"/>
                <w:lang w:val="en-US"/>
              </w:rPr>
              <w:br/>
              <w:t>MEEP</w:t>
            </w:r>
            <w:r w:rsidRPr="00356F68">
              <w:rPr>
                <w:sz w:val="28"/>
                <w:szCs w:val="24"/>
                <w:lang w:val="en-US"/>
              </w:rPr>
              <w:br/>
              <w:t xml:space="preserve">SAEEEC </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MRDCHUS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r>
          </w:p>
        </w:tc>
      </w:tr>
      <w:tr w:rsidR="00356F68" w:rsidRPr="008208CC" w14:paraId="33BB86ED" w14:textId="77777777" w:rsidTr="009545AD">
        <w:trPr>
          <w:gridBefore w:val="1"/>
          <w:wBefore w:w="58" w:type="dxa"/>
        </w:trPr>
        <w:tc>
          <w:tcPr>
            <w:tcW w:w="696" w:type="dxa"/>
            <w:tcBorders>
              <w:top w:val="nil"/>
              <w:left w:val="nil"/>
              <w:bottom w:val="nil"/>
              <w:right w:val="nil"/>
            </w:tcBorders>
          </w:tcPr>
          <w:p w14:paraId="2CB9C6C2" w14:textId="77777777" w:rsidR="00356F68" w:rsidRPr="00356F68" w:rsidRDefault="00356F68" w:rsidP="00356F68">
            <w:pPr>
              <w:spacing w:after="150"/>
              <w:rPr>
                <w:sz w:val="28"/>
                <w:szCs w:val="24"/>
                <w:lang w:val="en-US"/>
              </w:rPr>
            </w:pPr>
            <w:r w:rsidRPr="00356F68">
              <w:rPr>
                <w:sz w:val="28"/>
                <w:szCs w:val="24"/>
                <w:lang w:val="en-US"/>
              </w:rPr>
              <w:t>4.</w:t>
            </w:r>
          </w:p>
        </w:tc>
        <w:tc>
          <w:tcPr>
            <w:tcW w:w="6335" w:type="dxa"/>
            <w:tcBorders>
              <w:top w:val="nil"/>
              <w:left w:val="nil"/>
              <w:bottom w:val="nil"/>
              <w:right w:val="nil"/>
            </w:tcBorders>
          </w:tcPr>
          <w:p w14:paraId="6E0ADA50" w14:textId="77777777" w:rsidR="00356F68" w:rsidRPr="00356F68" w:rsidRDefault="00356F68" w:rsidP="00356F68">
            <w:pPr>
              <w:spacing w:after="150"/>
              <w:rPr>
                <w:sz w:val="28"/>
                <w:szCs w:val="24"/>
                <w:lang w:val="en-US"/>
              </w:rPr>
            </w:pPr>
            <w:r w:rsidRPr="00356F68">
              <w:rPr>
                <w:sz w:val="28"/>
                <w:szCs w:val="24"/>
                <w:lang w:val="en-US"/>
              </w:rPr>
              <w:t xml:space="preserve">Draft the Law of Ukraine on amending the Laws of Ukraine </w:t>
            </w:r>
            <w:r w:rsidRPr="00356F68">
              <w:rPr>
                <w:i/>
                <w:sz w:val="28"/>
                <w:szCs w:val="24"/>
                <w:lang w:val="en-US"/>
              </w:rPr>
              <w:t>On Collective Investment Vehicles</w:t>
            </w:r>
            <w:r w:rsidRPr="00356F68">
              <w:rPr>
                <w:sz w:val="28"/>
                <w:szCs w:val="24"/>
                <w:lang w:val="en-US"/>
              </w:rPr>
              <w:t xml:space="preserve"> dated 5 July 2012 and </w:t>
            </w:r>
            <w:r w:rsidRPr="00356F68">
              <w:rPr>
                <w:i/>
                <w:sz w:val="28"/>
                <w:szCs w:val="24"/>
                <w:lang w:val="en-US"/>
              </w:rPr>
              <w:t>On Non-Government Pension Insurance</w:t>
            </w:r>
            <w:r w:rsidRPr="00356F68">
              <w:rPr>
                <w:sz w:val="28"/>
                <w:szCs w:val="24"/>
                <w:lang w:val="en-US"/>
              </w:rPr>
              <w:t xml:space="preserve"> dated 9 July 2003 in terms of recognizing green bonds as an asset authorized for collective investment vehicles and non-government pension funds </w:t>
            </w:r>
          </w:p>
        </w:tc>
        <w:tc>
          <w:tcPr>
            <w:tcW w:w="2531" w:type="dxa"/>
            <w:tcBorders>
              <w:top w:val="nil"/>
              <w:left w:val="nil"/>
              <w:bottom w:val="nil"/>
              <w:right w:val="nil"/>
            </w:tcBorders>
          </w:tcPr>
          <w:p w14:paraId="31662719"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36F6C39F"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 xml:space="preserve">SAEEEC  </w:t>
            </w:r>
            <w:r w:rsidRPr="00356F68">
              <w:rPr>
                <w:sz w:val="28"/>
                <w:szCs w:val="24"/>
                <w:lang w:val="en-US"/>
              </w:rPr>
              <w:br/>
              <w:t>NSSMC (subject to consent)</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t>Anti-Monopoly Committee</w:t>
            </w:r>
            <w:r w:rsidRPr="00356F68">
              <w:rPr>
                <w:sz w:val="28"/>
                <w:szCs w:val="24"/>
                <w:lang w:val="en-US"/>
              </w:rPr>
              <w:br/>
              <w:t>Pension Fund</w:t>
            </w:r>
          </w:p>
        </w:tc>
      </w:tr>
      <w:tr w:rsidR="00356F68" w:rsidRPr="008208CC" w14:paraId="7664E9AC" w14:textId="77777777" w:rsidTr="009545AD">
        <w:trPr>
          <w:gridBefore w:val="1"/>
          <w:wBefore w:w="58" w:type="dxa"/>
        </w:trPr>
        <w:tc>
          <w:tcPr>
            <w:tcW w:w="696" w:type="dxa"/>
            <w:tcBorders>
              <w:top w:val="nil"/>
              <w:left w:val="nil"/>
              <w:bottom w:val="nil"/>
              <w:right w:val="nil"/>
            </w:tcBorders>
          </w:tcPr>
          <w:p w14:paraId="3C33F59C" w14:textId="77777777" w:rsidR="00356F68" w:rsidRPr="00356F68" w:rsidRDefault="00356F68" w:rsidP="00356F68">
            <w:pPr>
              <w:spacing w:after="150"/>
              <w:rPr>
                <w:sz w:val="28"/>
                <w:szCs w:val="24"/>
                <w:lang w:val="en-US"/>
              </w:rPr>
            </w:pPr>
            <w:r w:rsidRPr="00356F68">
              <w:rPr>
                <w:sz w:val="28"/>
                <w:szCs w:val="24"/>
                <w:lang w:val="en-US"/>
              </w:rPr>
              <w:t>5.</w:t>
            </w:r>
          </w:p>
        </w:tc>
        <w:tc>
          <w:tcPr>
            <w:tcW w:w="6335" w:type="dxa"/>
            <w:tcBorders>
              <w:top w:val="nil"/>
              <w:left w:val="nil"/>
              <w:bottom w:val="nil"/>
              <w:right w:val="nil"/>
            </w:tcBorders>
          </w:tcPr>
          <w:p w14:paraId="30622E66" w14:textId="77777777" w:rsidR="00356F68" w:rsidRPr="00356F68" w:rsidRDefault="00356F68" w:rsidP="00356F68">
            <w:pPr>
              <w:spacing w:after="150"/>
              <w:rPr>
                <w:sz w:val="28"/>
                <w:szCs w:val="24"/>
                <w:lang w:val="en-US"/>
              </w:rPr>
            </w:pPr>
            <w:r w:rsidRPr="00356F68">
              <w:rPr>
                <w:sz w:val="28"/>
                <w:szCs w:val="24"/>
                <w:lang w:val="en-US"/>
              </w:rPr>
              <w:t xml:space="preserve">Draft the Law of Ukraine on amending the Tax Code of Ukraine dated 2 December 2010 in terms of abolishing the </w:t>
            </w:r>
            <w:r w:rsidRPr="00356F68">
              <w:rPr>
                <w:bCs/>
                <w:sz w:val="28"/>
                <w:szCs w:val="24"/>
                <w:lang w:val="en-US"/>
              </w:rPr>
              <w:t>tax on income in the form of an interest (discount) obtained by the holder of domestic government and</w:t>
            </w:r>
            <w:r w:rsidRPr="00356F68">
              <w:rPr>
                <w:sz w:val="28"/>
                <w:szCs w:val="24"/>
                <w:lang w:val="en-US"/>
              </w:rPr>
              <w:t xml:space="preserve"> domestic local green bonds </w:t>
            </w:r>
            <w:r w:rsidRPr="00356F68">
              <w:rPr>
                <w:bCs/>
                <w:sz w:val="28"/>
                <w:szCs w:val="24"/>
                <w:lang w:val="en-US"/>
              </w:rPr>
              <w:t>from their issuer</w:t>
            </w:r>
          </w:p>
        </w:tc>
        <w:tc>
          <w:tcPr>
            <w:tcW w:w="2531" w:type="dxa"/>
            <w:tcBorders>
              <w:top w:val="nil"/>
              <w:left w:val="nil"/>
              <w:bottom w:val="nil"/>
              <w:right w:val="nil"/>
            </w:tcBorders>
          </w:tcPr>
          <w:p w14:paraId="419AD8E5"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6C7F9ADC"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 xml:space="preserve">SAEEEC </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STS (State Tax Service)</w:t>
            </w:r>
            <w:r w:rsidRPr="00356F68">
              <w:rPr>
                <w:sz w:val="28"/>
                <w:szCs w:val="24"/>
                <w:lang w:val="en-US"/>
              </w:rPr>
              <w:br/>
              <w:t>NSSMC (subject to consent)</w:t>
            </w:r>
            <w:r w:rsidRPr="00356F68">
              <w:rPr>
                <w:sz w:val="28"/>
                <w:szCs w:val="24"/>
                <w:lang w:val="en-US"/>
              </w:rPr>
              <w:br/>
              <w:t>MRDCHUS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t>Anti-Monopoly Committee</w:t>
            </w:r>
          </w:p>
        </w:tc>
      </w:tr>
      <w:tr w:rsidR="00356F68" w:rsidRPr="008208CC" w14:paraId="2DFFCAC4" w14:textId="77777777" w:rsidTr="009545AD">
        <w:trPr>
          <w:gridBefore w:val="1"/>
          <w:wBefore w:w="58" w:type="dxa"/>
          <w:trHeight w:val="720"/>
        </w:trPr>
        <w:tc>
          <w:tcPr>
            <w:tcW w:w="696" w:type="dxa"/>
            <w:tcBorders>
              <w:top w:val="nil"/>
              <w:left w:val="nil"/>
              <w:bottom w:val="nil"/>
              <w:right w:val="nil"/>
            </w:tcBorders>
          </w:tcPr>
          <w:p w14:paraId="18656027" w14:textId="77777777" w:rsidR="00356F68" w:rsidRPr="00356F68" w:rsidRDefault="00356F68" w:rsidP="00356F68">
            <w:pPr>
              <w:spacing w:after="150"/>
              <w:rPr>
                <w:sz w:val="28"/>
                <w:szCs w:val="24"/>
                <w:lang w:val="en-US"/>
              </w:rPr>
            </w:pPr>
            <w:r w:rsidRPr="00356F68">
              <w:rPr>
                <w:sz w:val="28"/>
                <w:szCs w:val="24"/>
                <w:lang w:val="en-US"/>
              </w:rPr>
              <w:lastRenderedPageBreak/>
              <w:t>6.</w:t>
            </w:r>
          </w:p>
        </w:tc>
        <w:tc>
          <w:tcPr>
            <w:tcW w:w="6335" w:type="dxa"/>
            <w:tcBorders>
              <w:top w:val="nil"/>
              <w:left w:val="nil"/>
              <w:bottom w:val="nil"/>
              <w:right w:val="nil"/>
            </w:tcBorders>
          </w:tcPr>
          <w:p w14:paraId="0426649B" w14:textId="77777777" w:rsidR="00356F68" w:rsidRPr="00356F68" w:rsidRDefault="00356F68" w:rsidP="00356F68">
            <w:pPr>
              <w:spacing w:after="150"/>
              <w:rPr>
                <w:sz w:val="28"/>
                <w:szCs w:val="24"/>
                <w:lang w:val="en-US"/>
              </w:rPr>
            </w:pPr>
            <w:r w:rsidRPr="00356F68">
              <w:rPr>
                <w:sz w:val="28"/>
                <w:szCs w:val="24"/>
                <w:lang w:val="en-US"/>
              </w:rPr>
              <w:t xml:space="preserve">Drafting a resolution of the Cabinet of Ministers of Ukraine </w:t>
            </w:r>
            <w:r w:rsidRPr="00356F68">
              <w:rPr>
                <w:i/>
                <w:sz w:val="28"/>
                <w:szCs w:val="24"/>
                <w:lang w:val="en-US"/>
              </w:rPr>
              <w:t>On Approving the Procedure for Selection and Support of Environmentally Friendly Projects Funded by the State and Local Budgets</w:t>
            </w:r>
            <w:r w:rsidRPr="00356F68">
              <w:rPr>
                <w:sz w:val="28"/>
                <w:szCs w:val="24"/>
                <w:lang w:val="en-US"/>
              </w:rPr>
              <w:t>, which determines the procedure for expert examination and selection of environmentally friendly projects, financing and refinancing of environmentally friendly projects, monitoring of the use and management of funds raised to finance and refinance environmentally friendly projects, the monitoring procedure and reporting procedures with respect to the implementation of environmentally friendly projects, the procedure of generation of the register of environmentally friendly investment projects of national significance for which sovereign green bonds may be issued</w:t>
            </w:r>
          </w:p>
        </w:tc>
        <w:tc>
          <w:tcPr>
            <w:tcW w:w="2531" w:type="dxa"/>
            <w:tcBorders>
              <w:top w:val="nil"/>
              <w:left w:val="nil"/>
              <w:bottom w:val="nil"/>
              <w:right w:val="nil"/>
            </w:tcBorders>
          </w:tcPr>
          <w:p w14:paraId="4FEE36C5" w14:textId="77777777" w:rsidR="00356F68" w:rsidRPr="00356F68" w:rsidRDefault="00356F68" w:rsidP="006A3BB7">
            <w:pPr>
              <w:spacing w:after="150"/>
              <w:jc w:val="center"/>
              <w:rPr>
                <w:sz w:val="28"/>
                <w:szCs w:val="24"/>
                <w:lang w:val="en-US"/>
              </w:rPr>
            </w:pPr>
            <w:r w:rsidRPr="00356F68">
              <w:rPr>
                <w:sz w:val="28"/>
                <w:szCs w:val="24"/>
                <w:lang w:val="en-US"/>
              </w:rPr>
              <w:t>2021</w:t>
            </w:r>
          </w:p>
        </w:tc>
        <w:tc>
          <w:tcPr>
            <w:tcW w:w="4950" w:type="dxa"/>
            <w:tcBorders>
              <w:top w:val="nil"/>
              <w:left w:val="nil"/>
              <w:bottom w:val="nil"/>
              <w:right w:val="nil"/>
            </w:tcBorders>
          </w:tcPr>
          <w:p w14:paraId="00B800B5"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STS</w:t>
            </w:r>
            <w:r w:rsidRPr="00356F68">
              <w:rPr>
                <w:sz w:val="28"/>
                <w:szCs w:val="24"/>
                <w:lang w:val="en-US"/>
              </w:rPr>
              <w:br/>
            </w:r>
            <w:proofErr w:type="spellStart"/>
            <w:r w:rsidRPr="00356F68">
              <w:rPr>
                <w:sz w:val="28"/>
                <w:szCs w:val="24"/>
                <w:lang w:val="en-US"/>
              </w:rPr>
              <w:t>MoI</w:t>
            </w:r>
            <w:proofErr w:type="spellEnd"/>
            <w:r w:rsidRPr="00356F68">
              <w:rPr>
                <w:sz w:val="28"/>
                <w:szCs w:val="24"/>
                <w:lang w:val="en-US"/>
              </w:rPr>
              <w:t xml:space="preserve"> (Ministry of Infrastructure)</w:t>
            </w:r>
            <w:r w:rsidRPr="00356F68">
              <w:rPr>
                <w:sz w:val="28"/>
                <w:szCs w:val="24"/>
                <w:lang w:val="en-US"/>
              </w:rPr>
              <w:br/>
              <w:t>MRDCHUS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t>NSSMC (subject to consent)</w:t>
            </w:r>
            <w:r w:rsidRPr="00356F68">
              <w:rPr>
                <w:sz w:val="28"/>
                <w:szCs w:val="24"/>
                <w:lang w:val="en-US"/>
              </w:rPr>
              <w:br/>
              <w:t>Anti-Monopoly Committee</w:t>
            </w:r>
          </w:p>
        </w:tc>
      </w:tr>
      <w:tr w:rsidR="00356F68" w:rsidRPr="008208CC" w14:paraId="6D673060" w14:textId="77777777" w:rsidTr="009545AD">
        <w:tc>
          <w:tcPr>
            <w:tcW w:w="754" w:type="dxa"/>
            <w:gridSpan w:val="2"/>
            <w:tcBorders>
              <w:top w:val="nil"/>
              <w:left w:val="nil"/>
              <w:bottom w:val="nil"/>
              <w:right w:val="nil"/>
            </w:tcBorders>
          </w:tcPr>
          <w:p w14:paraId="49127EB8" w14:textId="77777777" w:rsidR="00356F68" w:rsidRPr="00356F68" w:rsidRDefault="00356F68" w:rsidP="00356F68">
            <w:pPr>
              <w:spacing w:after="150"/>
              <w:rPr>
                <w:sz w:val="28"/>
                <w:szCs w:val="24"/>
                <w:lang w:val="en-US"/>
              </w:rPr>
            </w:pPr>
            <w:r w:rsidRPr="00356F68">
              <w:rPr>
                <w:sz w:val="28"/>
                <w:szCs w:val="24"/>
                <w:lang w:val="en-US"/>
              </w:rPr>
              <w:t>7.</w:t>
            </w:r>
          </w:p>
        </w:tc>
        <w:tc>
          <w:tcPr>
            <w:tcW w:w="6335" w:type="dxa"/>
            <w:tcBorders>
              <w:top w:val="nil"/>
              <w:left w:val="nil"/>
              <w:bottom w:val="nil"/>
              <w:right w:val="nil"/>
            </w:tcBorders>
          </w:tcPr>
          <w:p w14:paraId="6594430D" w14:textId="77777777" w:rsidR="00356F68" w:rsidRPr="00356F68" w:rsidRDefault="00356F68" w:rsidP="00356F68">
            <w:pPr>
              <w:spacing w:after="150"/>
              <w:rPr>
                <w:sz w:val="28"/>
                <w:szCs w:val="24"/>
                <w:lang w:val="en-US"/>
              </w:rPr>
            </w:pPr>
            <w:r w:rsidRPr="00356F68">
              <w:rPr>
                <w:sz w:val="28"/>
                <w:szCs w:val="24"/>
                <w:lang w:val="en-US"/>
              </w:rPr>
              <w:t xml:space="preserve">Working together with NSSMC to draft laws on securitization and secured bonds that take into account special features of </w:t>
            </w:r>
            <w:r w:rsidRPr="00356F68">
              <w:rPr>
                <w:bCs/>
                <w:sz w:val="28"/>
                <w:szCs w:val="24"/>
                <w:lang w:val="en-US"/>
              </w:rPr>
              <w:t>green bonds</w:t>
            </w:r>
            <w:r w:rsidRPr="00356F68">
              <w:rPr>
                <w:sz w:val="28"/>
                <w:szCs w:val="24"/>
                <w:lang w:val="en-US"/>
              </w:rPr>
              <w:t>, eliminate barriers to the development and operation of the secondary bond market, enhance the liquidity of financial instruments in the bond market, and improve the protection of rights of creditors investing in green bonds</w:t>
            </w:r>
          </w:p>
        </w:tc>
        <w:tc>
          <w:tcPr>
            <w:tcW w:w="2531" w:type="dxa"/>
            <w:tcBorders>
              <w:top w:val="nil"/>
              <w:left w:val="nil"/>
              <w:bottom w:val="nil"/>
              <w:right w:val="nil"/>
            </w:tcBorders>
          </w:tcPr>
          <w:p w14:paraId="03DD48F4"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5B447C73" w14:textId="77777777" w:rsidR="00356F68" w:rsidRPr="00356F68" w:rsidRDefault="00356F68" w:rsidP="00356F68">
            <w:pPr>
              <w:spacing w:after="150"/>
              <w:rPr>
                <w:sz w:val="28"/>
                <w:szCs w:val="24"/>
                <w:lang w:val="en-US"/>
              </w:rPr>
            </w:pPr>
            <w:r w:rsidRPr="00356F68">
              <w:rPr>
                <w:sz w:val="28"/>
                <w:szCs w:val="24"/>
                <w:lang w:val="en-US"/>
              </w:rPr>
              <w:t>NSSMC (subject to consent)</w:t>
            </w:r>
            <w:r w:rsidRPr="00356F68">
              <w:rPr>
                <w:sz w:val="28"/>
                <w:szCs w:val="24"/>
                <w:lang w:val="en-US"/>
              </w:rPr>
              <w:br/>
              <w:t>MEEP</w:t>
            </w:r>
            <w:r w:rsidRPr="00356F68">
              <w:rPr>
                <w:sz w:val="28"/>
                <w:szCs w:val="24"/>
                <w:lang w:val="en-US"/>
              </w:rPr>
              <w:br/>
              <w:t>SAEEEC</w:t>
            </w:r>
            <w:r w:rsidRPr="00356F68">
              <w:rPr>
                <w:sz w:val="28"/>
                <w:szCs w:val="24"/>
                <w:lang w:val="en-US"/>
              </w:rPr>
              <w:br/>
              <w:t xml:space="preserve">National Bank (subject to consent) </w:t>
            </w:r>
            <w:proofErr w:type="spellStart"/>
            <w:r w:rsidRPr="00356F68">
              <w:rPr>
                <w:sz w:val="28"/>
                <w:szCs w:val="24"/>
                <w:lang w:val="en-US"/>
              </w:rPr>
              <w:t>MoE</w:t>
            </w:r>
            <w:proofErr w:type="spellEnd"/>
          </w:p>
        </w:tc>
      </w:tr>
      <w:tr w:rsidR="00356F68" w:rsidRPr="008208CC" w14:paraId="13E7E90D" w14:textId="77777777" w:rsidTr="009545AD">
        <w:tc>
          <w:tcPr>
            <w:tcW w:w="754" w:type="dxa"/>
            <w:gridSpan w:val="2"/>
            <w:tcBorders>
              <w:top w:val="nil"/>
              <w:left w:val="nil"/>
              <w:bottom w:val="nil"/>
              <w:right w:val="nil"/>
            </w:tcBorders>
          </w:tcPr>
          <w:p w14:paraId="2AB7C298" w14:textId="77777777" w:rsidR="00356F68" w:rsidRPr="00356F68" w:rsidRDefault="00356F68" w:rsidP="00356F68">
            <w:pPr>
              <w:spacing w:after="150"/>
              <w:rPr>
                <w:sz w:val="28"/>
                <w:szCs w:val="24"/>
                <w:lang w:val="en-US"/>
              </w:rPr>
            </w:pPr>
            <w:r w:rsidRPr="00356F68">
              <w:rPr>
                <w:sz w:val="28"/>
                <w:szCs w:val="24"/>
                <w:lang w:val="en-US"/>
              </w:rPr>
              <w:t>8.</w:t>
            </w:r>
          </w:p>
        </w:tc>
        <w:tc>
          <w:tcPr>
            <w:tcW w:w="6335" w:type="dxa"/>
            <w:tcBorders>
              <w:top w:val="nil"/>
              <w:left w:val="nil"/>
              <w:bottom w:val="nil"/>
              <w:right w:val="nil"/>
            </w:tcBorders>
          </w:tcPr>
          <w:p w14:paraId="66B11476" w14:textId="77777777" w:rsidR="00356F68" w:rsidRPr="00356F68" w:rsidRDefault="00356F68" w:rsidP="00356F68">
            <w:pPr>
              <w:spacing w:after="150"/>
              <w:rPr>
                <w:sz w:val="28"/>
                <w:szCs w:val="24"/>
                <w:lang w:val="en-US"/>
              </w:rPr>
            </w:pPr>
            <w:r w:rsidRPr="00356F68">
              <w:rPr>
                <w:sz w:val="28"/>
                <w:szCs w:val="24"/>
                <w:lang w:val="en-US"/>
              </w:rPr>
              <w:t xml:space="preserve">Designing special-purpose government programs to encourage the green bond market, including by allocating funds raised through the issuance of sovereign green bonds, and compensating the issuing </w:t>
            </w:r>
            <w:r w:rsidRPr="00356F68">
              <w:rPr>
                <w:sz w:val="28"/>
                <w:szCs w:val="24"/>
                <w:lang w:val="en-US"/>
              </w:rPr>
              <w:lastRenderedPageBreak/>
              <w:t xml:space="preserve">municipalities for interest payments to </w:t>
            </w:r>
            <w:r w:rsidRPr="00356F68">
              <w:rPr>
                <w:bCs/>
                <w:sz w:val="28"/>
                <w:szCs w:val="24"/>
                <w:lang w:val="en-US"/>
              </w:rPr>
              <w:t>green bond holders or compensating for the discount on such bonds</w:t>
            </w:r>
          </w:p>
        </w:tc>
        <w:tc>
          <w:tcPr>
            <w:tcW w:w="2531" w:type="dxa"/>
            <w:tcBorders>
              <w:top w:val="nil"/>
              <w:left w:val="nil"/>
              <w:bottom w:val="nil"/>
              <w:right w:val="nil"/>
            </w:tcBorders>
          </w:tcPr>
          <w:p w14:paraId="326AEB81" w14:textId="77777777" w:rsidR="00356F68" w:rsidRPr="00356F68" w:rsidRDefault="00356F68" w:rsidP="006A3BB7">
            <w:pPr>
              <w:spacing w:after="150"/>
              <w:jc w:val="center"/>
              <w:rPr>
                <w:sz w:val="28"/>
                <w:szCs w:val="24"/>
                <w:lang w:val="en-US"/>
              </w:rPr>
            </w:pPr>
            <w:r w:rsidRPr="00356F68">
              <w:rPr>
                <w:sz w:val="28"/>
                <w:szCs w:val="24"/>
                <w:lang w:val="en-US"/>
              </w:rPr>
              <w:lastRenderedPageBreak/>
              <w:t>-"-</w:t>
            </w:r>
          </w:p>
        </w:tc>
        <w:tc>
          <w:tcPr>
            <w:tcW w:w="4950" w:type="dxa"/>
            <w:tcBorders>
              <w:top w:val="nil"/>
              <w:left w:val="nil"/>
              <w:bottom w:val="nil"/>
              <w:right w:val="nil"/>
            </w:tcBorders>
          </w:tcPr>
          <w:p w14:paraId="4AD97846"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MRDCHUS</w:t>
            </w:r>
            <w:r w:rsidRPr="00356F68">
              <w:rPr>
                <w:sz w:val="28"/>
                <w:szCs w:val="24"/>
                <w:lang w:val="en-US"/>
              </w:rPr>
              <w:br/>
            </w:r>
            <w:r w:rsidRPr="00356F68">
              <w:rPr>
                <w:sz w:val="28"/>
                <w:szCs w:val="24"/>
                <w:lang w:val="en-US"/>
              </w:rPr>
              <w:lastRenderedPageBreak/>
              <w:t xml:space="preserve">the Council of Ministers of the Autonomous Republic of Crimea, local state administrations, </w:t>
            </w:r>
            <w:r w:rsidRPr="00356F68">
              <w:rPr>
                <w:sz w:val="28"/>
                <w:szCs w:val="24"/>
                <w:lang w:val="en-US"/>
              </w:rPr>
              <w:br/>
              <w:t>local government</w:t>
            </w:r>
          </w:p>
        </w:tc>
      </w:tr>
      <w:tr w:rsidR="00356F68" w:rsidRPr="00356F68" w14:paraId="4F3C0620" w14:textId="77777777" w:rsidTr="009545AD">
        <w:trPr>
          <w:gridBefore w:val="1"/>
          <w:wBefore w:w="58" w:type="dxa"/>
        </w:trPr>
        <w:tc>
          <w:tcPr>
            <w:tcW w:w="14512" w:type="dxa"/>
            <w:gridSpan w:val="4"/>
            <w:tcBorders>
              <w:top w:val="nil"/>
              <w:left w:val="nil"/>
              <w:bottom w:val="nil"/>
              <w:right w:val="nil"/>
            </w:tcBorders>
            <w:hideMark/>
          </w:tcPr>
          <w:p w14:paraId="42E46679" w14:textId="77777777" w:rsidR="00356F68" w:rsidRPr="00356F68" w:rsidRDefault="00356F68" w:rsidP="006A3BB7">
            <w:pPr>
              <w:spacing w:after="150"/>
              <w:jc w:val="center"/>
              <w:rPr>
                <w:sz w:val="28"/>
                <w:szCs w:val="24"/>
                <w:lang w:val="en-US"/>
              </w:rPr>
            </w:pPr>
            <w:r w:rsidRPr="00356F68">
              <w:rPr>
                <w:sz w:val="28"/>
                <w:szCs w:val="24"/>
                <w:lang w:val="en-US"/>
              </w:rPr>
              <w:lastRenderedPageBreak/>
              <w:t>Organizational activities</w:t>
            </w:r>
          </w:p>
        </w:tc>
      </w:tr>
      <w:tr w:rsidR="00356F68" w:rsidRPr="008208CC" w14:paraId="68380872" w14:textId="77777777" w:rsidTr="009545AD">
        <w:trPr>
          <w:gridBefore w:val="1"/>
          <w:wBefore w:w="58" w:type="dxa"/>
          <w:trHeight w:val="30"/>
        </w:trPr>
        <w:tc>
          <w:tcPr>
            <w:tcW w:w="696" w:type="dxa"/>
            <w:tcBorders>
              <w:top w:val="nil"/>
              <w:left w:val="nil"/>
              <w:bottom w:val="nil"/>
              <w:right w:val="nil"/>
            </w:tcBorders>
          </w:tcPr>
          <w:p w14:paraId="4CC3CF1E" w14:textId="77777777" w:rsidR="00356F68" w:rsidRPr="00356F68" w:rsidRDefault="00356F68" w:rsidP="00356F68">
            <w:pPr>
              <w:spacing w:after="150"/>
              <w:rPr>
                <w:sz w:val="28"/>
                <w:szCs w:val="24"/>
                <w:lang w:val="en-US"/>
              </w:rPr>
            </w:pPr>
            <w:r w:rsidRPr="00356F68">
              <w:rPr>
                <w:sz w:val="28"/>
                <w:szCs w:val="24"/>
                <w:lang w:val="en-US"/>
              </w:rPr>
              <w:t>9.</w:t>
            </w:r>
          </w:p>
        </w:tc>
        <w:tc>
          <w:tcPr>
            <w:tcW w:w="6335" w:type="dxa"/>
            <w:tcBorders>
              <w:top w:val="nil"/>
              <w:left w:val="nil"/>
              <w:bottom w:val="nil"/>
              <w:right w:val="nil"/>
            </w:tcBorders>
          </w:tcPr>
          <w:p w14:paraId="0EED9568" w14:textId="77777777" w:rsidR="00356F68" w:rsidRPr="00356F68" w:rsidRDefault="00356F68" w:rsidP="00356F68">
            <w:pPr>
              <w:spacing w:after="150"/>
              <w:rPr>
                <w:sz w:val="28"/>
                <w:szCs w:val="24"/>
                <w:lang w:val="en-US"/>
              </w:rPr>
            </w:pPr>
            <w:r w:rsidRPr="00356F68">
              <w:rPr>
                <w:sz w:val="28"/>
                <w:szCs w:val="24"/>
                <w:lang w:val="en-US"/>
              </w:rPr>
              <w:t xml:space="preserve">Supporting and organizing pilot projects of green bond issuance by different issuer categories under assistance programs of the EU, foreign governments, international organizations and institutional donors </w:t>
            </w:r>
          </w:p>
        </w:tc>
        <w:tc>
          <w:tcPr>
            <w:tcW w:w="2531" w:type="dxa"/>
            <w:tcBorders>
              <w:top w:val="nil"/>
              <w:left w:val="nil"/>
              <w:bottom w:val="nil"/>
              <w:right w:val="nil"/>
            </w:tcBorders>
          </w:tcPr>
          <w:p w14:paraId="4B8972A6" w14:textId="77777777" w:rsidR="00356F68" w:rsidRPr="00356F68" w:rsidRDefault="00356F68" w:rsidP="006A3BB7">
            <w:pPr>
              <w:spacing w:after="150"/>
              <w:jc w:val="center"/>
              <w:rPr>
                <w:sz w:val="28"/>
                <w:szCs w:val="24"/>
                <w:lang w:val="en-US"/>
              </w:rPr>
            </w:pPr>
            <w:r w:rsidRPr="00356F68">
              <w:rPr>
                <w:sz w:val="28"/>
                <w:szCs w:val="24"/>
                <w:lang w:val="en-US"/>
              </w:rPr>
              <w:t>2020</w:t>
            </w:r>
          </w:p>
        </w:tc>
        <w:tc>
          <w:tcPr>
            <w:tcW w:w="4950" w:type="dxa"/>
            <w:tcBorders>
              <w:top w:val="nil"/>
              <w:left w:val="nil"/>
              <w:bottom w:val="nil"/>
              <w:right w:val="nil"/>
            </w:tcBorders>
          </w:tcPr>
          <w:p w14:paraId="73002929" w14:textId="77777777" w:rsidR="00356F68" w:rsidRPr="00356F68" w:rsidRDefault="00356F68" w:rsidP="00356F68">
            <w:pPr>
              <w:spacing w:after="150"/>
              <w:rPr>
                <w:b/>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MRDCHUS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r>
            <w:proofErr w:type="spellStart"/>
            <w:r w:rsidRPr="00356F68">
              <w:rPr>
                <w:sz w:val="28"/>
                <w:szCs w:val="24"/>
                <w:lang w:val="en-US"/>
              </w:rPr>
              <w:t>MoI</w:t>
            </w:r>
            <w:proofErr w:type="spellEnd"/>
            <w:r w:rsidRPr="00356F68">
              <w:rPr>
                <w:sz w:val="28"/>
                <w:szCs w:val="24"/>
                <w:lang w:val="en-US"/>
              </w:rPr>
              <w:br/>
              <w:t xml:space="preserve">the Council of Ministers of the Autonomous Republic of Crimea, local state administrations, </w:t>
            </w:r>
            <w:r w:rsidRPr="00356F68">
              <w:rPr>
                <w:sz w:val="28"/>
                <w:szCs w:val="24"/>
                <w:lang w:val="en-US"/>
              </w:rPr>
              <w:br/>
              <w:t>local government</w:t>
            </w:r>
          </w:p>
        </w:tc>
      </w:tr>
      <w:tr w:rsidR="00356F68" w:rsidRPr="00356F68" w14:paraId="047CC195" w14:textId="77777777" w:rsidTr="009545AD">
        <w:trPr>
          <w:gridBefore w:val="1"/>
          <w:wBefore w:w="58" w:type="dxa"/>
          <w:trHeight w:val="30"/>
        </w:trPr>
        <w:tc>
          <w:tcPr>
            <w:tcW w:w="696" w:type="dxa"/>
            <w:tcBorders>
              <w:top w:val="nil"/>
              <w:left w:val="nil"/>
              <w:bottom w:val="nil"/>
              <w:right w:val="nil"/>
            </w:tcBorders>
          </w:tcPr>
          <w:p w14:paraId="48A8F5AC" w14:textId="77777777" w:rsidR="00356F68" w:rsidRPr="00356F68" w:rsidRDefault="00356F68" w:rsidP="00356F68">
            <w:pPr>
              <w:spacing w:after="150"/>
              <w:rPr>
                <w:sz w:val="28"/>
                <w:szCs w:val="24"/>
                <w:lang w:val="en-US"/>
              </w:rPr>
            </w:pPr>
            <w:r w:rsidRPr="00356F68">
              <w:rPr>
                <w:sz w:val="28"/>
                <w:szCs w:val="24"/>
                <w:lang w:val="en-US"/>
              </w:rPr>
              <w:t>10.</w:t>
            </w:r>
          </w:p>
        </w:tc>
        <w:tc>
          <w:tcPr>
            <w:tcW w:w="6335" w:type="dxa"/>
            <w:tcBorders>
              <w:top w:val="nil"/>
              <w:left w:val="nil"/>
              <w:bottom w:val="nil"/>
              <w:right w:val="nil"/>
            </w:tcBorders>
          </w:tcPr>
          <w:p w14:paraId="14E5B5C8" w14:textId="77777777" w:rsidR="00356F68" w:rsidRPr="00356F68" w:rsidRDefault="00356F68" w:rsidP="00356F68">
            <w:pPr>
              <w:spacing w:after="150"/>
              <w:rPr>
                <w:sz w:val="28"/>
                <w:szCs w:val="24"/>
                <w:lang w:val="en-US"/>
              </w:rPr>
            </w:pPr>
            <w:r w:rsidRPr="00356F68">
              <w:rPr>
                <w:sz w:val="28"/>
                <w:szCs w:val="24"/>
                <w:lang w:val="en-US"/>
              </w:rPr>
              <w:t>Holding information campaigns to raise stakeholder awareness of the introduction of the green bond market in Ukraine</w:t>
            </w:r>
          </w:p>
        </w:tc>
        <w:tc>
          <w:tcPr>
            <w:tcW w:w="2531" w:type="dxa"/>
            <w:tcBorders>
              <w:top w:val="nil"/>
              <w:left w:val="nil"/>
              <w:bottom w:val="nil"/>
              <w:right w:val="nil"/>
            </w:tcBorders>
          </w:tcPr>
          <w:p w14:paraId="4B7B7B85"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5B3E6A31" w14:textId="77777777" w:rsidR="00356F68" w:rsidRPr="00356F68" w:rsidRDefault="00356F68" w:rsidP="00356F68">
            <w:pPr>
              <w:spacing w:after="150"/>
              <w:rPr>
                <w:sz w:val="28"/>
                <w:szCs w:val="24"/>
                <w:lang w:val="en-US"/>
              </w:rPr>
            </w:pPr>
            <w:r w:rsidRPr="00356F68">
              <w:rPr>
                <w:sz w:val="28"/>
                <w:szCs w:val="24"/>
                <w:lang w:val="en-US"/>
              </w:rPr>
              <w:t>-"-</w:t>
            </w:r>
          </w:p>
        </w:tc>
      </w:tr>
      <w:tr w:rsidR="00356F68" w:rsidRPr="00356F68" w14:paraId="707F5081" w14:textId="77777777" w:rsidTr="009545AD">
        <w:trPr>
          <w:gridBefore w:val="1"/>
          <w:wBefore w:w="58" w:type="dxa"/>
          <w:trHeight w:val="569"/>
        </w:trPr>
        <w:tc>
          <w:tcPr>
            <w:tcW w:w="696" w:type="dxa"/>
            <w:tcBorders>
              <w:top w:val="nil"/>
              <w:left w:val="nil"/>
              <w:bottom w:val="nil"/>
              <w:right w:val="nil"/>
            </w:tcBorders>
          </w:tcPr>
          <w:p w14:paraId="411B1432" w14:textId="77777777" w:rsidR="00356F68" w:rsidRPr="00356F68" w:rsidRDefault="00356F68" w:rsidP="00356F68">
            <w:pPr>
              <w:spacing w:after="150"/>
              <w:rPr>
                <w:sz w:val="28"/>
                <w:szCs w:val="24"/>
                <w:lang w:val="en-US"/>
              </w:rPr>
            </w:pPr>
            <w:r w:rsidRPr="00356F68">
              <w:rPr>
                <w:sz w:val="28"/>
                <w:szCs w:val="24"/>
                <w:lang w:val="en-US"/>
              </w:rPr>
              <w:t>11.</w:t>
            </w:r>
          </w:p>
        </w:tc>
        <w:tc>
          <w:tcPr>
            <w:tcW w:w="6335" w:type="dxa"/>
            <w:tcBorders>
              <w:top w:val="nil"/>
              <w:left w:val="nil"/>
              <w:bottom w:val="nil"/>
              <w:right w:val="nil"/>
            </w:tcBorders>
          </w:tcPr>
          <w:p w14:paraId="46E29C4D" w14:textId="77777777" w:rsidR="00356F68" w:rsidRPr="00356F68" w:rsidRDefault="00356F68" w:rsidP="00356F68">
            <w:pPr>
              <w:spacing w:after="150"/>
              <w:rPr>
                <w:sz w:val="28"/>
                <w:szCs w:val="24"/>
                <w:lang w:val="en-US"/>
              </w:rPr>
            </w:pPr>
            <w:r w:rsidRPr="00356F68">
              <w:rPr>
                <w:sz w:val="28"/>
                <w:szCs w:val="24"/>
                <w:lang w:val="en-US"/>
              </w:rPr>
              <w:t xml:space="preserve">Facilitating the creation of green platforms for the selection of environmentally friendly projects based on relevant line ministries and departments, the generation of a register of projects of national significance for the issuance of sovereign green bonds </w:t>
            </w:r>
          </w:p>
        </w:tc>
        <w:tc>
          <w:tcPr>
            <w:tcW w:w="2531" w:type="dxa"/>
            <w:tcBorders>
              <w:top w:val="nil"/>
              <w:left w:val="nil"/>
              <w:bottom w:val="nil"/>
              <w:right w:val="nil"/>
            </w:tcBorders>
          </w:tcPr>
          <w:p w14:paraId="7E932384"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6DC66E38" w14:textId="77777777" w:rsidR="00356F68" w:rsidRPr="00356F68" w:rsidRDefault="00356F68" w:rsidP="00356F68">
            <w:pPr>
              <w:spacing w:after="150"/>
              <w:rPr>
                <w:sz w:val="28"/>
                <w:szCs w:val="24"/>
                <w:lang w:val="en-US"/>
              </w:rPr>
            </w:pPr>
            <w:r w:rsidRPr="00356F68">
              <w:rPr>
                <w:sz w:val="28"/>
                <w:szCs w:val="24"/>
                <w:lang w:val="en-US"/>
              </w:rPr>
              <w:t>-"-</w:t>
            </w:r>
          </w:p>
        </w:tc>
      </w:tr>
      <w:tr w:rsidR="00356F68" w:rsidRPr="008208CC" w14:paraId="454FBACC" w14:textId="77777777" w:rsidTr="009545AD">
        <w:trPr>
          <w:gridBefore w:val="1"/>
          <w:wBefore w:w="58" w:type="dxa"/>
          <w:trHeight w:val="30"/>
        </w:trPr>
        <w:tc>
          <w:tcPr>
            <w:tcW w:w="696" w:type="dxa"/>
            <w:tcBorders>
              <w:top w:val="nil"/>
              <w:left w:val="nil"/>
              <w:bottom w:val="nil"/>
              <w:right w:val="nil"/>
            </w:tcBorders>
          </w:tcPr>
          <w:p w14:paraId="5F404FEF" w14:textId="77777777" w:rsidR="00356F68" w:rsidRPr="00356F68" w:rsidDel="00907D4E" w:rsidRDefault="00356F68" w:rsidP="00356F68">
            <w:pPr>
              <w:spacing w:after="150"/>
              <w:rPr>
                <w:sz w:val="28"/>
                <w:szCs w:val="24"/>
                <w:lang w:val="en-US"/>
              </w:rPr>
            </w:pPr>
            <w:r w:rsidRPr="00356F68">
              <w:rPr>
                <w:sz w:val="28"/>
                <w:szCs w:val="24"/>
                <w:lang w:val="en-US"/>
              </w:rPr>
              <w:lastRenderedPageBreak/>
              <w:t>12.</w:t>
            </w:r>
          </w:p>
        </w:tc>
        <w:tc>
          <w:tcPr>
            <w:tcW w:w="6335" w:type="dxa"/>
            <w:tcBorders>
              <w:top w:val="nil"/>
              <w:left w:val="nil"/>
              <w:bottom w:val="nil"/>
              <w:right w:val="nil"/>
            </w:tcBorders>
          </w:tcPr>
          <w:p w14:paraId="41477365" w14:textId="77777777" w:rsidR="00356F68" w:rsidRPr="00356F68" w:rsidRDefault="00356F68" w:rsidP="00356F68">
            <w:pPr>
              <w:spacing w:after="150"/>
              <w:rPr>
                <w:sz w:val="28"/>
                <w:szCs w:val="24"/>
                <w:lang w:val="en-US"/>
              </w:rPr>
            </w:pPr>
            <w:r w:rsidRPr="00356F68">
              <w:rPr>
                <w:sz w:val="28"/>
                <w:szCs w:val="24"/>
                <w:lang w:val="en-US"/>
              </w:rPr>
              <w:t xml:space="preserve">Using SAEEEC as a basis for a technical office for expert examination and support of environmentally friendly projects under assistance programs of the EU, foreign governments, international organizations and institutional donors </w:t>
            </w:r>
          </w:p>
        </w:tc>
        <w:tc>
          <w:tcPr>
            <w:tcW w:w="2531" w:type="dxa"/>
            <w:tcBorders>
              <w:top w:val="nil"/>
              <w:left w:val="nil"/>
              <w:bottom w:val="nil"/>
              <w:right w:val="nil"/>
            </w:tcBorders>
          </w:tcPr>
          <w:p w14:paraId="6D22AEEC" w14:textId="77777777" w:rsidR="00356F68" w:rsidRPr="00356F68" w:rsidRDefault="00356F68" w:rsidP="006A3BB7">
            <w:pPr>
              <w:spacing w:after="150"/>
              <w:jc w:val="center"/>
              <w:rPr>
                <w:sz w:val="28"/>
                <w:szCs w:val="24"/>
                <w:lang w:val="en-US"/>
              </w:rPr>
            </w:pPr>
            <w:r w:rsidRPr="00356F68">
              <w:rPr>
                <w:sz w:val="28"/>
                <w:szCs w:val="24"/>
                <w:lang w:val="en-US"/>
              </w:rPr>
              <w:t>2021</w:t>
            </w:r>
          </w:p>
        </w:tc>
        <w:tc>
          <w:tcPr>
            <w:tcW w:w="4950" w:type="dxa"/>
            <w:tcBorders>
              <w:top w:val="nil"/>
              <w:left w:val="nil"/>
              <w:bottom w:val="nil"/>
              <w:right w:val="nil"/>
            </w:tcBorders>
          </w:tcPr>
          <w:p w14:paraId="669D8DA4"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t>MRDCHUS</w:t>
            </w:r>
            <w:r w:rsidRPr="00356F68">
              <w:rPr>
                <w:sz w:val="28"/>
                <w:szCs w:val="24"/>
                <w:lang w:val="en-US"/>
              </w:rPr>
              <w:br/>
            </w:r>
            <w:proofErr w:type="spellStart"/>
            <w:r w:rsidRPr="00356F68">
              <w:rPr>
                <w:sz w:val="28"/>
                <w:szCs w:val="24"/>
                <w:lang w:val="en-US"/>
              </w:rPr>
              <w:t>MoI</w:t>
            </w:r>
            <w:proofErr w:type="spellEnd"/>
            <w:r w:rsidRPr="00356F68">
              <w:rPr>
                <w:sz w:val="28"/>
                <w:szCs w:val="24"/>
                <w:lang w:val="en-US"/>
              </w:rPr>
              <w:br/>
            </w:r>
          </w:p>
        </w:tc>
      </w:tr>
      <w:tr w:rsidR="00356F68" w:rsidRPr="008208CC" w14:paraId="277462B5" w14:textId="77777777" w:rsidTr="009545AD">
        <w:trPr>
          <w:gridBefore w:val="1"/>
          <w:wBefore w:w="58" w:type="dxa"/>
          <w:trHeight w:val="30"/>
        </w:trPr>
        <w:tc>
          <w:tcPr>
            <w:tcW w:w="696" w:type="dxa"/>
            <w:tcBorders>
              <w:top w:val="nil"/>
              <w:left w:val="nil"/>
              <w:bottom w:val="nil"/>
              <w:right w:val="nil"/>
            </w:tcBorders>
          </w:tcPr>
          <w:p w14:paraId="1EBE055E" w14:textId="77777777" w:rsidR="00356F68" w:rsidRPr="00356F68" w:rsidDel="00907D4E" w:rsidRDefault="00356F68" w:rsidP="00356F68">
            <w:pPr>
              <w:spacing w:after="150"/>
              <w:rPr>
                <w:sz w:val="28"/>
                <w:szCs w:val="24"/>
                <w:lang w:val="en-US"/>
              </w:rPr>
            </w:pPr>
            <w:r w:rsidRPr="00356F68">
              <w:rPr>
                <w:sz w:val="28"/>
                <w:szCs w:val="24"/>
                <w:lang w:val="en-US"/>
              </w:rPr>
              <w:t>13.</w:t>
            </w:r>
          </w:p>
        </w:tc>
        <w:tc>
          <w:tcPr>
            <w:tcW w:w="6335" w:type="dxa"/>
            <w:tcBorders>
              <w:top w:val="nil"/>
              <w:left w:val="nil"/>
              <w:bottom w:val="nil"/>
              <w:right w:val="nil"/>
            </w:tcBorders>
          </w:tcPr>
          <w:p w14:paraId="7AE0B825" w14:textId="77777777" w:rsidR="00356F68" w:rsidRPr="00356F68" w:rsidRDefault="00356F68" w:rsidP="00356F68">
            <w:pPr>
              <w:spacing w:after="150"/>
              <w:rPr>
                <w:sz w:val="28"/>
                <w:szCs w:val="24"/>
                <w:lang w:val="en-US"/>
              </w:rPr>
            </w:pPr>
            <w:r w:rsidRPr="00356F68">
              <w:rPr>
                <w:sz w:val="28"/>
                <w:szCs w:val="24"/>
                <w:lang w:val="en-US"/>
              </w:rPr>
              <w:t>Facilitating the engagement of special institutions in independent external due diligence on the conformity of green bond issues to international standards</w:t>
            </w:r>
          </w:p>
          <w:p w14:paraId="1A054AD8" w14:textId="77777777" w:rsidR="00356F68" w:rsidRPr="00356F68" w:rsidRDefault="00356F68" w:rsidP="00356F68">
            <w:pPr>
              <w:spacing w:after="150"/>
              <w:rPr>
                <w:sz w:val="28"/>
                <w:szCs w:val="24"/>
                <w:lang w:val="en-US"/>
              </w:rPr>
            </w:pPr>
          </w:p>
        </w:tc>
        <w:tc>
          <w:tcPr>
            <w:tcW w:w="2531" w:type="dxa"/>
            <w:tcBorders>
              <w:top w:val="nil"/>
              <w:left w:val="nil"/>
              <w:bottom w:val="nil"/>
              <w:right w:val="nil"/>
            </w:tcBorders>
          </w:tcPr>
          <w:p w14:paraId="58150D6B"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3AB0B09E"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 xml:space="preserve">SAEEEC  </w:t>
            </w:r>
            <w:r w:rsidRPr="00356F68">
              <w:rPr>
                <w:sz w:val="28"/>
                <w:szCs w:val="24"/>
                <w:lang w:val="en-US"/>
              </w:rPr>
              <w:br/>
              <w:t>NSSMC (subject to consent)</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t>MRDCHUS</w:t>
            </w:r>
            <w:r w:rsidRPr="00356F68">
              <w:rPr>
                <w:sz w:val="28"/>
                <w:szCs w:val="24"/>
                <w:lang w:val="en-US"/>
              </w:rPr>
              <w:br/>
            </w:r>
            <w:proofErr w:type="spellStart"/>
            <w:r w:rsidRPr="00356F68">
              <w:rPr>
                <w:sz w:val="28"/>
                <w:szCs w:val="24"/>
                <w:lang w:val="en-US"/>
              </w:rPr>
              <w:t>MoI</w:t>
            </w:r>
            <w:proofErr w:type="spellEnd"/>
          </w:p>
        </w:tc>
      </w:tr>
      <w:tr w:rsidR="00356F68" w:rsidRPr="008208CC" w14:paraId="76C747DA" w14:textId="77777777" w:rsidTr="009545AD">
        <w:trPr>
          <w:gridBefore w:val="1"/>
          <w:wBefore w:w="58" w:type="dxa"/>
          <w:trHeight w:val="30"/>
        </w:trPr>
        <w:tc>
          <w:tcPr>
            <w:tcW w:w="696" w:type="dxa"/>
            <w:tcBorders>
              <w:top w:val="nil"/>
              <w:left w:val="nil"/>
              <w:bottom w:val="nil"/>
              <w:right w:val="nil"/>
            </w:tcBorders>
          </w:tcPr>
          <w:p w14:paraId="36FB9445" w14:textId="77777777" w:rsidR="00356F68" w:rsidRPr="00356F68" w:rsidDel="00907D4E" w:rsidRDefault="00356F68" w:rsidP="00356F68">
            <w:pPr>
              <w:spacing w:after="150"/>
              <w:rPr>
                <w:sz w:val="28"/>
                <w:szCs w:val="24"/>
                <w:lang w:val="en-US"/>
              </w:rPr>
            </w:pPr>
            <w:r w:rsidRPr="00356F68">
              <w:rPr>
                <w:sz w:val="28"/>
                <w:szCs w:val="24"/>
                <w:lang w:val="en-US"/>
              </w:rPr>
              <w:t>14.</w:t>
            </w:r>
          </w:p>
        </w:tc>
        <w:tc>
          <w:tcPr>
            <w:tcW w:w="6335" w:type="dxa"/>
            <w:tcBorders>
              <w:top w:val="nil"/>
              <w:left w:val="nil"/>
              <w:bottom w:val="nil"/>
              <w:right w:val="nil"/>
            </w:tcBorders>
          </w:tcPr>
          <w:p w14:paraId="6C73DEB9" w14:textId="77777777" w:rsidR="00356F68" w:rsidRPr="00356F68" w:rsidRDefault="00356F68" w:rsidP="00356F68">
            <w:pPr>
              <w:spacing w:after="150"/>
              <w:rPr>
                <w:sz w:val="28"/>
                <w:szCs w:val="24"/>
                <w:lang w:val="en-US"/>
              </w:rPr>
            </w:pPr>
            <w:r w:rsidRPr="00356F68">
              <w:rPr>
                <w:sz w:val="28"/>
                <w:szCs w:val="24"/>
                <w:lang w:val="en-US"/>
              </w:rPr>
              <w:t>Creating green platforms at Ukrainian stock exchanges for the listing of green bonds</w:t>
            </w:r>
          </w:p>
        </w:tc>
        <w:tc>
          <w:tcPr>
            <w:tcW w:w="2531" w:type="dxa"/>
            <w:tcBorders>
              <w:top w:val="nil"/>
              <w:left w:val="nil"/>
              <w:bottom w:val="nil"/>
              <w:right w:val="nil"/>
            </w:tcBorders>
          </w:tcPr>
          <w:p w14:paraId="3434603C"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585CAF8B"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t>NSSMC (subject to consent)</w:t>
            </w:r>
            <w:r w:rsidRPr="00356F68">
              <w:rPr>
                <w:sz w:val="28"/>
                <w:szCs w:val="24"/>
                <w:lang w:val="en-US"/>
              </w:rPr>
              <w:br/>
              <w:t>National Bank (subject to consent)</w:t>
            </w:r>
            <w:r w:rsidRPr="00356F68">
              <w:rPr>
                <w:sz w:val="28"/>
                <w:szCs w:val="24"/>
                <w:lang w:val="en-US"/>
              </w:rPr>
              <w:br/>
            </w:r>
            <w:proofErr w:type="spellStart"/>
            <w:r w:rsidRPr="00356F68">
              <w:rPr>
                <w:sz w:val="28"/>
                <w:szCs w:val="24"/>
                <w:lang w:val="en-US"/>
              </w:rPr>
              <w:t>MoF</w:t>
            </w:r>
            <w:proofErr w:type="spellEnd"/>
          </w:p>
        </w:tc>
      </w:tr>
      <w:tr w:rsidR="00356F68" w:rsidRPr="008208CC" w14:paraId="044FA6B0" w14:textId="77777777" w:rsidTr="009545AD">
        <w:trPr>
          <w:trHeight w:val="360"/>
        </w:trPr>
        <w:tc>
          <w:tcPr>
            <w:tcW w:w="754" w:type="dxa"/>
            <w:gridSpan w:val="2"/>
            <w:tcBorders>
              <w:top w:val="nil"/>
              <w:left w:val="nil"/>
              <w:bottom w:val="nil"/>
              <w:right w:val="nil"/>
            </w:tcBorders>
          </w:tcPr>
          <w:p w14:paraId="561C66A9" w14:textId="77777777" w:rsidR="00356F68" w:rsidRPr="00356F68" w:rsidRDefault="00356F68" w:rsidP="00356F68">
            <w:pPr>
              <w:spacing w:after="150"/>
              <w:rPr>
                <w:sz w:val="28"/>
                <w:szCs w:val="24"/>
                <w:lang w:val="en-US"/>
              </w:rPr>
            </w:pPr>
            <w:r w:rsidRPr="00356F68">
              <w:rPr>
                <w:sz w:val="28"/>
                <w:szCs w:val="24"/>
                <w:lang w:val="en-US"/>
              </w:rPr>
              <w:t>15.</w:t>
            </w:r>
          </w:p>
        </w:tc>
        <w:tc>
          <w:tcPr>
            <w:tcW w:w="6335" w:type="dxa"/>
            <w:tcBorders>
              <w:top w:val="nil"/>
              <w:left w:val="nil"/>
              <w:bottom w:val="nil"/>
              <w:right w:val="nil"/>
            </w:tcBorders>
          </w:tcPr>
          <w:p w14:paraId="1A9B53F6" w14:textId="77777777" w:rsidR="00356F68" w:rsidRPr="00356F68" w:rsidRDefault="00356F68" w:rsidP="00356F68">
            <w:pPr>
              <w:spacing w:after="150"/>
              <w:rPr>
                <w:sz w:val="28"/>
                <w:szCs w:val="24"/>
                <w:lang w:val="en-US"/>
              </w:rPr>
            </w:pPr>
            <w:r w:rsidRPr="00356F68">
              <w:rPr>
                <w:sz w:val="28"/>
                <w:szCs w:val="24"/>
                <w:lang w:val="en-US"/>
              </w:rPr>
              <w:t xml:space="preserve">Working together with the National Bank to analyze potential for applying preferential capital requirements for banking operations in green bonds </w:t>
            </w:r>
          </w:p>
        </w:tc>
        <w:tc>
          <w:tcPr>
            <w:tcW w:w="2531" w:type="dxa"/>
            <w:tcBorders>
              <w:top w:val="nil"/>
              <w:left w:val="nil"/>
              <w:bottom w:val="nil"/>
              <w:right w:val="nil"/>
            </w:tcBorders>
          </w:tcPr>
          <w:p w14:paraId="53F0D3CA"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58F9DAE7"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t>National Bank (subject to consent)</w:t>
            </w:r>
            <w:r w:rsidRPr="00356F68">
              <w:rPr>
                <w:sz w:val="28"/>
                <w:szCs w:val="24"/>
                <w:lang w:val="en-US"/>
              </w:rPr>
              <w:br/>
              <w:t>NSSMC (subject to consent)</w:t>
            </w:r>
            <w:r w:rsidRPr="00356F68">
              <w:rPr>
                <w:sz w:val="28"/>
                <w:szCs w:val="24"/>
                <w:lang w:val="en-US"/>
              </w:rPr>
              <w:br/>
            </w:r>
            <w:proofErr w:type="spellStart"/>
            <w:r w:rsidRPr="00356F68">
              <w:rPr>
                <w:sz w:val="28"/>
                <w:szCs w:val="24"/>
                <w:lang w:val="en-US"/>
              </w:rPr>
              <w:t>MoF</w:t>
            </w:r>
            <w:proofErr w:type="spellEnd"/>
          </w:p>
        </w:tc>
      </w:tr>
      <w:tr w:rsidR="00356F68" w:rsidRPr="008208CC" w14:paraId="6741DE71" w14:textId="77777777" w:rsidTr="009545AD">
        <w:trPr>
          <w:gridBefore w:val="1"/>
          <w:wBefore w:w="58" w:type="dxa"/>
          <w:trHeight w:val="30"/>
        </w:trPr>
        <w:tc>
          <w:tcPr>
            <w:tcW w:w="696" w:type="dxa"/>
            <w:tcBorders>
              <w:top w:val="nil"/>
              <w:left w:val="nil"/>
              <w:bottom w:val="nil"/>
              <w:right w:val="nil"/>
            </w:tcBorders>
          </w:tcPr>
          <w:p w14:paraId="7EBA6E72" w14:textId="77777777" w:rsidR="00356F68" w:rsidRPr="00356F68" w:rsidRDefault="00356F68" w:rsidP="00356F68">
            <w:pPr>
              <w:spacing w:after="150"/>
              <w:rPr>
                <w:sz w:val="28"/>
                <w:szCs w:val="24"/>
                <w:lang w:val="en-US"/>
              </w:rPr>
            </w:pPr>
            <w:r w:rsidRPr="00356F68">
              <w:rPr>
                <w:sz w:val="28"/>
                <w:szCs w:val="24"/>
                <w:lang w:val="en-US"/>
              </w:rPr>
              <w:t>16.</w:t>
            </w:r>
          </w:p>
        </w:tc>
        <w:tc>
          <w:tcPr>
            <w:tcW w:w="6335" w:type="dxa"/>
            <w:tcBorders>
              <w:top w:val="nil"/>
              <w:left w:val="nil"/>
              <w:bottom w:val="nil"/>
              <w:right w:val="nil"/>
            </w:tcBorders>
          </w:tcPr>
          <w:p w14:paraId="512C1AAD" w14:textId="77777777" w:rsidR="00356F68" w:rsidRPr="00356F68" w:rsidRDefault="00356F68" w:rsidP="00356F68">
            <w:pPr>
              <w:spacing w:after="150"/>
              <w:rPr>
                <w:sz w:val="28"/>
                <w:szCs w:val="24"/>
                <w:lang w:val="en-US"/>
              </w:rPr>
            </w:pPr>
            <w:r w:rsidRPr="00356F68">
              <w:rPr>
                <w:sz w:val="28"/>
                <w:szCs w:val="24"/>
                <w:lang w:val="en-US"/>
              </w:rPr>
              <w:t xml:space="preserve">Facilitating the raising of green finance for Ukraine by </w:t>
            </w:r>
            <w:r w:rsidRPr="00356F68">
              <w:rPr>
                <w:sz w:val="28"/>
                <w:szCs w:val="24"/>
                <w:lang w:val="en-US"/>
              </w:rPr>
              <w:lastRenderedPageBreak/>
              <w:t>promoting domestic issuers of green bonds on foreign capital markets, holding related road shows of issues on foreign capital markets to support the engagement of foreign investors investing in Ukrainian issues</w:t>
            </w:r>
          </w:p>
        </w:tc>
        <w:tc>
          <w:tcPr>
            <w:tcW w:w="2531" w:type="dxa"/>
            <w:tcBorders>
              <w:top w:val="nil"/>
              <w:left w:val="nil"/>
              <w:bottom w:val="nil"/>
              <w:right w:val="nil"/>
            </w:tcBorders>
          </w:tcPr>
          <w:p w14:paraId="24084414" w14:textId="77777777" w:rsidR="00356F68" w:rsidRPr="00356F68" w:rsidRDefault="00356F68" w:rsidP="006A3BB7">
            <w:pPr>
              <w:spacing w:after="150"/>
              <w:jc w:val="center"/>
              <w:rPr>
                <w:sz w:val="28"/>
                <w:szCs w:val="24"/>
                <w:lang w:val="en-US"/>
              </w:rPr>
            </w:pPr>
            <w:r w:rsidRPr="00356F68">
              <w:rPr>
                <w:sz w:val="28"/>
                <w:szCs w:val="24"/>
                <w:lang w:val="en-US"/>
              </w:rPr>
              <w:lastRenderedPageBreak/>
              <w:t>2022</w:t>
            </w:r>
          </w:p>
        </w:tc>
        <w:tc>
          <w:tcPr>
            <w:tcW w:w="4950" w:type="dxa"/>
            <w:tcBorders>
              <w:top w:val="nil"/>
              <w:left w:val="nil"/>
              <w:bottom w:val="nil"/>
              <w:right w:val="nil"/>
            </w:tcBorders>
          </w:tcPr>
          <w:p w14:paraId="6C2875F3"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r>
            <w:r w:rsidRPr="00356F68">
              <w:rPr>
                <w:sz w:val="28"/>
                <w:szCs w:val="24"/>
                <w:lang w:val="en-US"/>
              </w:rPr>
              <w:lastRenderedPageBreak/>
              <w:t>SAEEEC</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MRDCHUS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r>
            <w:proofErr w:type="spellStart"/>
            <w:r w:rsidRPr="00356F68">
              <w:rPr>
                <w:sz w:val="28"/>
                <w:szCs w:val="24"/>
                <w:lang w:val="en-US"/>
              </w:rPr>
              <w:t>MoI</w:t>
            </w:r>
            <w:proofErr w:type="spellEnd"/>
            <w:r w:rsidRPr="00356F68">
              <w:rPr>
                <w:sz w:val="28"/>
                <w:szCs w:val="24"/>
                <w:lang w:val="en-US"/>
              </w:rPr>
              <w:br/>
              <w:t xml:space="preserve">the Council of Ministers of the Autonomous Republic of Crimea, local state administrations, </w:t>
            </w:r>
            <w:r w:rsidRPr="00356F68">
              <w:rPr>
                <w:sz w:val="28"/>
                <w:szCs w:val="24"/>
                <w:lang w:val="en-US"/>
              </w:rPr>
              <w:br/>
              <w:t>local government</w:t>
            </w:r>
          </w:p>
        </w:tc>
      </w:tr>
      <w:tr w:rsidR="00356F68" w:rsidRPr="008208CC" w14:paraId="780AA785" w14:textId="77777777" w:rsidTr="009545AD">
        <w:trPr>
          <w:gridBefore w:val="1"/>
          <w:wBefore w:w="58" w:type="dxa"/>
          <w:trHeight w:val="30"/>
        </w:trPr>
        <w:tc>
          <w:tcPr>
            <w:tcW w:w="696" w:type="dxa"/>
            <w:tcBorders>
              <w:top w:val="nil"/>
              <w:left w:val="nil"/>
              <w:bottom w:val="nil"/>
              <w:right w:val="nil"/>
            </w:tcBorders>
          </w:tcPr>
          <w:p w14:paraId="64FF75EE" w14:textId="77777777" w:rsidR="00356F68" w:rsidRPr="00356F68" w:rsidRDefault="00356F68" w:rsidP="00356F68">
            <w:pPr>
              <w:spacing w:after="150"/>
              <w:rPr>
                <w:sz w:val="28"/>
                <w:szCs w:val="24"/>
                <w:lang w:val="en-US"/>
              </w:rPr>
            </w:pPr>
            <w:r w:rsidRPr="00356F68">
              <w:rPr>
                <w:sz w:val="28"/>
                <w:szCs w:val="24"/>
                <w:lang w:val="en-US"/>
              </w:rPr>
              <w:lastRenderedPageBreak/>
              <w:t>17.</w:t>
            </w:r>
          </w:p>
        </w:tc>
        <w:tc>
          <w:tcPr>
            <w:tcW w:w="6335" w:type="dxa"/>
            <w:tcBorders>
              <w:top w:val="nil"/>
              <w:left w:val="nil"/>
              <w:bottom w:val="nil"/>
              <w:right w:val="nil"/>
            </w:tcBorders>
          </w:tcPr>
          <w:p w14:paraId="375C2658" w14:textId="77777777" w:rsidR="00356F68" w:rsidRPr="00356F68" w:rsidRDefault="00356F68" w:rsidP="00356F68">
            <w:pPr>
              <w:spacing w:after="150"/>
              <w:rPr>
                <w:sz w:val="28"/>
                <w:szCs w:val="24"/>
                <w:lang w:val="en-US"/>
              </w:rPr>
            </w:pPr>
            <w:r w:rsidRPr="00356F68">
              <w:rPr>
                <w:sz w:val="28"/>
                <w:szCs w:val="24"/>
                <w:lang w:val="en-US"/>
              </w:rPr>
              <w:t>Starting cooperation with international financial institutions, foreign investment companies and donor funds on raising green funds for Ukraine</w:t>
            </w:r>
          </w:p>
        </w:tc>
        <w:tc>
          <w:tcPr>
            <w:tcW w:w="2531" w:type="dxa"/>
            <w:tcBorders>
              <w:top w:val="nil"/>
              <w:left w:val="nil"/>
              <w:bottom w:val="nil"/>
              <w:right w:val="nil"/>
            </w:tcBorders>
          </w:tcPr>
          <w:p w14:paraId="6537D39C" w14:textId="77777777" w:rsidR="00356F68" w:rsidRPr="00356F68" w:rsidRDefault="00356F68" w:rsidP="006A3BB7">
            <w:pPr>
              <w:spacing w:after="150"/>
              <w:jc w:val="center"/>
              <w:rPr>
                <w:sz w:val="28"/>
                <w:szCs w:val="24"/>
                <w:lang w:val="en-US"/>
              </w:rPr>
            </w:pPr>
            <w:r w:rsidRPr="00356F68">
              <w:rPr>
                <w:sz w:val="28"/>
                <w:szCs w:val="24"/>
                <w:lang w:val="en-US"/>
              </w:rPr>
              <w:t>-"-</w:t>
            </w:r>
            <w:r w:rsidRPr="00356F68">
              <w:rPr>
                <w:sz w:val="28"/>
                <w:szCs w:val="24"/>
                <w:lang w:val="en-US"/>
              </w:rPr>
              <w:br/>
            </w:r>
          </w:p>
        </w:tc>
        <w:tc>
          <w:tcPr>
            <w:tcW w:w="4950" w:type="dxa"/>
            <w:tcBorders>
              <w:top w:val="nil"/>
              <w:left w:val="nil"/>
              <w:bottom w:val="nil"/>
              <w:right w:val="nil"/>
            </w:tcBorders>
          </w:tcPr>
          <w:p w14:paraId="29BDF91D"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MRDCHUS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r>
            <w:proofErr w:type="spellStart"/>
            <w:r w:rsidRPr="00356F68">
              <w:rPr>
                <w:sz w:val="28"/>
                <w:szCs w:val="24"/>
                <w:lang w:val="en-US"/>
              </w:rPr>
              <w:t>MoI</w:t>
            </w:r>
            <w:proofErr w:type="spellEnd"/>
          </w:p>
        </w:tc>
      </w:tr>
      <w:tr w:rsidR="00356F68" w:rsidRPr="008208CC" w14:paraId="062FEEC5" w14:textId="77777777" w:rsidTr="009545AD">
        <w:trPr>
          <w:gridBefore w:val="1"/>
          <w:wBefore w:w="58" w:type="dxa"/>
          <w:trHeight w:val="30"/>
        </w:trPr>
        <w:tc>
          <w:tcPr>
            <w:tcW w:w="696" w:type="dxa"/>
            <w:tcBorders>
              <w:top w:val="nil"/>
              <w:left w:val="nil"/>
              <w:bottom w:val="nil"/>
              <w:right w:val="nil"/>
            </w:tcBorders>
          </w:tcPr>
          <w:p w14:paraId="4BC99F4A" w14:textId="77777777" w:rsidR="00356F68" w:rsidRPr="00356F68" w:rsidRDefault="00356F68" w:rsidP="00356F68">
            <w:pPr>
              <w:spacing w:after="150"/>
              <w:rPr>
                <w:sz w:val="28"/>
                <w:szCs w:val="24"/>
                <w:lang w:val="en-US"/>
              </w:rPr>
            </w:pPr>
            <w:r w:rsidRPr="00356F68">
              <w:rPr>
                <w:sz w:val="28"/>
                <w:szCs w:val="24"/>
                <w:lang w:val="en-US"/>
              </w:rPr>
              <w:t>18.</w:t>
            </w:r>
          </w:p>
        </w:tc>
        <w:tc>
          <w:tcPr>
            <w:tcW w:w="6335" w:type="dxa"/>
            <w:tcBorders>
              <w:top w:val="nil"/>
              <w:left w:val="nil"/>
              <w:bottom w:val="nil"/>
              <w:right w:val="nil"/>
            </w:tcBorders>
          </w:tcPr>
          <w:p w14:paraId="10F0AB09" w14:textId="77777777" w:rsidR="00356F68" w:rsidRPr="00356F68" w:rsidRDefault="00356F68" w:rsidP="00356F68">
            <w:pPr>
              <w:spacing w:after="150"/>
              <w:rPr>
                <w:sz w:val="28"/>
                <w:szCs w:val="24"/>
                <w:lang w:val="en-US"/>
              </w:rPr>
            </w:pPr>
            <w:r w:rsidRPr="00356F68">
              <w:rPr>
                <w:sz w:val="28"/>
                <w:szCs w:val="24"/>
                <w:lang w:val="en-US"/>
              </w:rPr>
              <w:t>Engaging international development banks in investing in green bonds of Ukraine and in enhancing the credit quality and investment appeal of green bonds of Ukrainian issuers</w:t>
            </w:r>
          </w:p>
        </w:tc>
        <w:tc>
          <w:tcPr>
            <w:tcW w:w="2531" w:type="dxa"/>
            <w:tcBorders>
              <w:top w:val="nil"/>
              <w:left w:val="nil"/>
              <w:bottom w:val="nil"/>
              <w:right w:val="nil"/>
            </w:tcBorders>
          </w:tcPr>
          <w:p w14:paraId="7BDE20E1" w14:textId="77777777" w:rsidR="00356F68" w:rsidRPr="00356F68" w:rsidRDefault="00356F68" w:rsidP="006A3BB7">
            <w:pPr>
              <w:spacing w:after="150"/>
              <w:jc w:val="center"/>
              <w:rPr>
                <w:sz w:val="28"/>
                <w:szCs w:val="24"/>
                <w:lang w:val="en-US"/>
              </w:rPr>
            </w:pPr>
            <w:r w:rsidRPr="00356F68">
              <w:rPr>
                <w:sz w:val="28"/>
                <w:szCs w:val="24"/>
                <w:lang w:val="en-US"/>
              </w:rPr>
              <w:t>-"-</w:t>
            </w:r>
          </w:p>
        </w:tc>
        <w:tc>
          <w:tcPr>
            <w:tcW w:w="4950" w:type="dxa"/>
            <w:tcBorders>
              <w:top w:val="nil"/>
              <w:left w:val="nil"/>
              <w:bottom w:val="nil"/>
              <w:right w:val="nil"/>
            </w:tcBorders>
          </w:tcPr>
          <w:p w14:paraId="13A042D0" w14:textId="77777777" w:rsidR="00356F68" w:rsidRPr="00356F68" w:rsidRDefault="00356F68" w:rsidP="00356F68">
            <w:pPr>
              <w:spacing w:after="150"/>
              <w:rPr>
                <w:sz w:val="28"/>
                <w:szCs w:val="24"/>
                <w:lang w:val="en-US"/>
              </w:rPr>
            </w:pPr>
            <w:r w:rsidRPr="00356F68">
              <w:rPr>
                <w:sz w:val="28"/>
                <w:szCs w:val="24"/>
                <w:lang w:val="en-US"/>
              </w:rPr>
              <w:t>MEEP</w:t>
            </w:r>
            <w:r w:rsidRPr="00356F68">
              <w:rPr>
                <w:sz w:val="28"/>
                <w:szCs w:val="24"/>
                <w:lang w:val="en-US"/>
              </w:rPr>
              <w:br/>
              <w:t>SAEEEC</w:t>
            </w:r>
            <w:r w:rsidRPr="00356F68">
              <w:rPr>
                <w:sz w:val="28"/>
                <w:szCs w:val="24"/>
                <w:lang w:val="en-US"/>
              </w:rPr>
              <w:br/>
            </w:r>
            <w:proofErr w:type="spellStart"/>
            <w:r w:rsidRPr="00356F68">
              <w:rPr>
                <w:sz w:val="28"/>
                <w:szCs w:val="24"/>
                <w:lang w:val="en-US"/>
              </w:rPr>
              <w:t>MoF</w:t>
            </w:r>
            <w:proofErr w:type="spellEnd"/>
            <w:r w:rsidRPr="00356F68">
              <w:rPr>
                <w:sz w:val="28"/>
                <w:szCs w:val="24"/>
                <w:lang w:val="en-US"/>
              </w:rPr>
              <w:br/>
              <w:t>MRDCHUS</w:t>
            </w:r>
            <w:r w:rsidRPr="00356F68">
              <w:rPr>
                <w:sz w:val="28"/>
                <w:szCs w:val="24"/>
                <w:lang w:val="en-US"/>
              </w:rPr>
              <w:br/>
            </w:r>
            <w:proofErr w:type="spellStart"/>
            <w:r w:rsidRPr="00356F68">
              <w:rPr>
                <w:sz w:val="28"/>
                <w:szCs w:val="24"/>
                <w:lang w:val="en-US"/>
              </w:rPr>
              <w:t>MoE</w:t>
            </w:r>
            <w:proofErr w:type="spellEnd"/>
            <w:r w:rsidRPr="00356F68">
              <w:rPr>
                <w:sz w:val="28"/>
                <w:szCs w:val="24"/>
                <w:lang w:val="en-US"/>
              </w:rPr>
              <w:br/>
            </w:r>
            <w:proofErr w:type="spellStart"/>
            <w:r w:rsidRPr="00356F68">
              <w:rPr>
                <w:sz w:val="28"/>
                <w:szCs w:val="24"/>
                <w:lang w:val="en-US"/>
              </w:rPr>
              <w:t>MoI</w:t>
            </w:r>
            <w:proofErr w:type="spellEnd"/>
          </w:p>
        </w:tc>
      </w:tr>
    </w:tbl>
    <w:p w14:paraId="77E7C0CC" w14:textId="77777777" w:rsidR="00356F68" w:rsidRPr="00356F68" w:rsidRDefault="00356F68" w:rsidP="00356F68">
      <w:pPr>
        <w:spacing w:after="150"/>
        <w:rPr>
          <w:sz w:val="28"/>
          <w:szCs w:val="24"/>
          <w:lang w:val="en-US"/>
        </w:rPr>
      </w:pPr>
    </w:p>
    <w:p w14:paraId="10DC4C05" w14:textId="77777777" w:rsidR="00356F68" w:rsidRPr="00356F68" w:rsidRDefault="00356F68" w:rsidP="00356F68">
      <w:pPr>
        <w:spacing w:after="150"/>
        <w:rPr>
          <w:sz w:val="28"/>
          <w:szCs w:val="24"/>
          <w:lang w:val="en-US"/>
        </w:rPr>
      </w:pPr>
      <w:r w:rsidRPr="00356F68">
        <w:rPr>
          <w:sz w:val="28"/>
          <w:szCs w:val="24"/>
          <w:lang w:val="en-US"/>
        </w:rPr>
        <w:t>_____________________</w:t>
      </w:r>
    </w:p>
    <w:p w14:paraId="6E5D23AC" w14:textId="77777777" w:rsidR="00F0600D" w:rsidRPr="00356F68" w:rsidRDefault="00F0600D" w:rsidP="00356F68">
      <w:pPr>
        <w:spacing w:after="150"/>
        <w:rPr>
          <w:sz w:val="28"/>
          <w:szCs w:val="24"/>
        </w:rPr>
      </w:pPr>
    </w:p>
    <w:sectPr w:rsidR="00F0600D" w:rsidRPr="00356F68" w:rsidSect="00BC48A1">
      <w:footerReference w:type="default" r:id="rId15"/>
      <w:pgSz w:w="16838" w:h="11906" w:orient="landscape"/>
      <w:pgMar w:top="1418"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88E30" w14:textId="77777777" w:rsidR="00463500" w:rsidRDefault="00463500">
      <w:r>
        <w:separator/>
      </w:r>
    </w:p>
  </w:endnote>
  <w:endnote w:type="continuationSeparator" w:id="0">
    <w:p w14:paraId="60C5D065" w14:textId="77777777" w:rsidR="00463500" w:rsidRDefault="0046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DDC08" w14:textId="77777777" w:rsidR="00356F68" w:rsidRDefault="00356F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FD5BB" w14:textId="77777777" w:rsidR="00356F68" w:rsidRDefault="00356F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74EE3" w14:textId="77777777" w:rsidR="00356F68" w:rsidRDefault="00356F6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2AFB" w14:textId="77777777" w:rsidR="00356F68" w:rsidRDefault="00356F68">
    <w:pPr>
      <w:pStyle w:val="a5"/>
      <w:jc w:val="right"/>
    </w:pPr>
    <w:r>
      <w:fldChar w:fldCharType="begin"/>
    </w:r>
    <w:r>
      <w:instrText>PAGE   \* MERGEFORMAT</w:instrText>
    </w:r>
    <w:r>
      <w:fldChar w:fldCharType="separate"/>
    </w:r>
    <w:r w:rsidR="00290F48">
      <w:rPr>
        <w:noProof/>
      </w:rPr>
      <w:t>7</w:t>
    </w:r>
    <w:r>
      <w:fldChar w:fldCharType="end"/>
    </w:r>
  </w:p>
  <w:p w14:paraId="1323A745" w14:textId="77777777" w:rsidR="00356F68" w:rsidRDefault="00356F6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4387F" w14:textId="77777777" w:rsidR="00CB6FA8" w:rsidRDefault="006A3BB7">
    <w:pPr>
      <w:pStyle w:val="a5"/>
      <w:jc w:val="right"/>
    </w:pPr>
    <w:r>
      <w:fldChar w:fldCharType="begin"/>
    </w:r>
    <w:r>
      <w:instrText>PAGE   \* MERGEFORMAT</w:instrText>
    </w:r>
    <w:r>
      <w:fldChar w:fldCharType="separate"/>
    </w:r>
    <w:r w:rsidR="00290F48">
      <w:rPr>
        <w:noProof/>
      </w:rPr>
      <w:t>13</w:t>
    </w:r>
    <w:r>
      <w:fldChar w:fldCharType="end"/>
    </w:r>
  </w:p>
  <w:p w14:paraId="58B848A9" w14:textId="77777777" w:rsidR="00CB6FA8" w:rsidRDefault="004635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09AF8" w14:textId="77777777" w:rsidR="00463500" w:rsidRDefault="00463500">
      <w:r>
        <w:separator/>
      </w:r>
    </w:p>
  </w:footnote>
  <w:footnote w:type="continuationSeparator" w:id="0">
    <w:p w14:paraId="2DB759DF" w14:textId="77777777" w:rsidR="00463500" w:rsidRDefault="0046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E971" w14:textId="77777777" w:rsidR="00356F68" w:rsidRDefault="00356F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C93C" w14:textId="77777777" w:rsidR="00356F68" w:rsidRPr="00D1077B" w:rsidRDefault="00356F68" w:rsidP="00D1077B">
    <w:pPr>
      <w:pStyle w:val="a3"/>
      <w:jc w:val="center"/>
    </w:pPr>
    <w:r w:rsidRPr="00890196">
      <w:rPr>
        <w:rFonts w:cs="Times New Roman"/>
      </w:rPr>
      <w:fldChar w:fldCharType="begin"/>
    </w:r>
    <w:r w:rsidRPr="00890196">
      <w:rPr>
        <w:rFonts w:cs="Times New Roman"/>
      </w:rPr>
      <w:instrText xml:space="preserve"> PAGE   \* MERGEFORMAT </w:instrText>
    </w:r>
    <w:r w:rsidRPr="00890196">
      <w:rPr>
        <w:rFonts w:cs="Times New Roman"/>
      </w:rPr>
      <w:fldChar w:fldCharType="separate"/>
    </w:r>
    <w:r w:rsidR="00290F48">
      <w:rPr>
        <w:rFonts w:cs="Times New Roman"/>
        <w:noProof/>
      </w:rPr>
      <w:t>13</w:t>
    </w:r>
    <w:r w:rsidRPr="00890196">
      <w:rPr>
        <w:rFonts w:cs="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39B89" w14:textId="77777777" w:rsidR="00356F68" w:rsidRDefault="00356F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68"/>
    <w:rsid w:val="000A5246"/>
    <w:rsid w:val="00290F48"/>
    <w:rsid w:val="00356F68"/>
    <w:rsid w:val="00394E32"/>
    <w:rsid w:val="00463500"/>
    <w:rsid w:val="006A3BB7"/>
    <w:rsid w:val="006C7DD0"/>
    <w:rsid w:val="008208CC"/>
    <w:rsid w:val="00F0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6F68"/>
    <w:pPr>
      <w:tabs>
        <w:tab w:val="center" w:pos="4677"/>
        <w:tab w:val="right" w:pos="9355"/>
      </w:tabs>
    </w:pPr>
  </w:style>
  <w:style w:type="character" w:customStyle="1" w:styleId="a4">
    <w:name w:val="Верхний колонтитул Знак"/>
    <w:basedOn w:val="a0"/>
    <w:link w:val="a3"/>
    <w:uiPriority w:val="99"/>
    <w:semiHidden/>
    <w:rsid w:val="00356F68"/>
  </w:style>
  <w:style w:type="paragraph" w:styleId="a5">
    <w:name w:val="footer"/>
    <w:basedOn w:val="a"/>
    <w:link w:val="a6"/>
    <w:uiPriority w:val="99"/>
    <w:semiHidden/>
    <w:unhideWhenUsed/>
    <w:rsid w:val="00356F68"/>
    <w:pPr>
      <w:tabs>
        <w:tab w:val="center" w:pos="4677"/>
        <w:tab w:val="right" w:pos="9355"/>
      </w:tabs>
    </w:pPr>
  </w:style>
  <w:style w:type="character" w:customStyle="1" w:styleId="a6">
    <w:name w:val="Нижний колонтитул Знак"/>
    <w:basedOn w:val="a0"/>
    <w:link w:val="a5"/>
    <w:uiPriority w:val="99"/>
    <w:semiHidden/>
    <w:rsid w:val="00356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6F68"/>
    <w:pPr>
      <w:tabs>
        <w:tab w:val="center" w:pos="4677"/>
        <w:tab w:val="right" w:pos="9355"/>
      </w:tabs>
    </w:pPr>
  </w:style>
  <w:style w:type="character" w:customStyle="1" w:styleId="a4">
    <w:name w:val="Верхний колонтитул Знак"/>
    <w:basedOn w:val="a0"/>
    <w:link w:val="a3"/>
    <w:uiPriority w:val="99"/>
    <w:semiHidden/>
    <w:rsid w:val="00356F68"/>
  </w:style>
  <w:style w:type="paragraph" w:styleId="a5">
    <w:name w:val="footer"/>
    <w:basedOn w:val="a"/>
    <w:link w:val="a6"/>
    <w:uiPriority w:val="99"/>
    <w:semiHidden/>
    <w:unhideWhenUsed/>
    <w:rsid w:val="00356F68"/>
    <w:pPr>
      <w:tabs>
        <w:tab w:val="center" w:pos="4677"/>
        <w:tab w:val="right" w:pos="9355"/>
      </w:tabs>
    </w:pPr>
  </w:style>
  <w:style w:type="character" w:customStyle="1" w:styleId="a6">
    <w:name w:val="Нижний колонтитул Знак"/>
    <w:basedOn w:val="a0"/>
    <w:link w:val="a5"/>
    <w:uiPriority w:val="99"/>
    <w:semiHidden/>
    <w:rsid w:val="0035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Fufik</dc:creator>
  <cp:lastModifiedBy>Фролов Андрій</cp:lastModifiedBy>
  <cp:revision>2</cp:revision>
  <dcterms:created xsi:type="dcterms:W3CDTF">2019-11-18T07:36:00Z</dcterms:created>
  <dcterms:modified xsi:type="dcterms:W3CDTF">2019-11-18T07:36:00Z</dcterms:modified>
</cp:coreProperties>
</file>