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D9" w:rsidRPr="00174A5D" w:rsidRDefault="00F560D9" w:rsidP="00F560D9">
      <w:pPr>
        <w:spacing w:after="0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74A5D">
        <w:rPr>
          <w:rFonts w:ascii="Times New Roman" w:hAnsi="Times New Roman" w:cs="Times New Roman"/>
          <w:sz w:val="28"/>
          <w:szCs w:val="28"/>
        </w:rPr>
        <w:t>одаток 1</w:t>
      </w:r>
    </w:p>
    <w:p w:rsidR="00F560D9" w:rsidRPr="00174A5D" w:rsidRDefault="00F560D9" w:rsidP="00F560D9">
      <w:pPr>
        <w:spacing w:after="0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до Технічного регламенту</w:t>
      </w:r>
    </w:p>
    <w:p w:rsidR="00F560D9" w:rsidRDefault="00F560D9" w:rsidP="00F560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0D9" w:rsidRPr="00F560D9" w:rsidRDefault="00F560D9" w:rsidP="00F560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60D9">
        <w:rPr>
          <w:rFonts w:ascii="Times New Roman" w:hAnsi="Times New Roman" w:cs="Times New Roman"/>
          <w:b/>
          <w:sz w:val="28"/>
          <w:szCs w:val="28"/>
        </w:rPr>
        <w:t xml:space="preserve">ВИМОГИ </w:t>
      </w:r>
    </w:p>
    <w:p w:rsidR="00F560D9" w:rsidRPr="00F560D9" w:rsidRDefault="00334549" w:rsidP="00F560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</w:t>
      </w:r>
      <w:r w:rsidR="00F560D9" w:rsidRPr="00F560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60D9" w:rsidRPr="00F560D9">
        <w:rPr>
          <w:rFonts w:ascii="Times New Roman" w:hAnsi="Times New Roman" w:cs="Times New Roman"/>
          <w:b/>
          <w:sz w:val="28"/>
          <w:szCs w:val="28"/>
        </w:rPr>
        <w:t>екодизайну</w:t>
      </w:r>
      <w:proofErr w:type="spellEnd"/>
      <w:r w:rsidR="00F560D9" w:rsidRPr="00F560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0D9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spellStart"/>
      <w:r w:rsidR="00F560D9" w:rsidRPr="00F560D9">
        <w:rPr>
          <w:rFonts w:ascii="Times New Roman" w:hAnsi="Times New Roman" w:cs="Times New Roman"/>
          <w:b/>
          <w:sz w:val="28"/>
          <w:szCs w:val="28"/>
        </w:rPr>
        <w:t>безсальникових</w:t>
      </w:r>
      <w:proofErr w:type="spellEnd"/>
      <w:r w:rsidR="00F560D9" w:rsidRPr="00F560D9">
        <w:rPr>
          <w:rFonts w:ascii="Times New Roman" w:hAnsi="Times New Roman" w:cs="Times New Roman"/>
          <w:b/>
          <w:sz w:val="28"/>
          <w:szCs w:val="28"/>
        </w:rPr>
        <w:t xml:space="preserve"> циркуляційних насосів</w:t>
      </w:r>
    </w:p>
    <w:p w:rsidR="00F560D9" w:rsidRPr="00174A5D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1. Вимоги до енергоефективності</w:t>
      </w:r>
    </w:p>
    <w:p w:rsidR="00F560D9" w:rsidRPr="00F560D9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Не пізніше ніж через один рік з </w:t>
      </w:r>
      <w:r>
        <w:rPr>
          <w:rFonts w:ascii="Times New Roman" w:hAnsi="Times New Roman" w:cs="Times New Roman"/>
          <w:sz w:val="28"/>
          <w:szCs w:val="28"/>
        </w:rPr>
        <w:t>дати</w:t>
      </w:r>
      <w:r w:rsidRPr="00174A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набрання</w:t>
      </w:r>
      <w:r w:rsidRPr="00174A5D">
        <w:rPr>
          <w:rFonts w:ascii="Times New Roman" w:hAnsi="Times New Roman" w:cs="Times New Roman"/>
          <w:sz w:val="28"/>
          <w:szCs w:val="28"/>
        </w:rPr>
        <w:t xml:space="preserve"> чинності Технічним регламентом щодо вимог </w:t>
      </w:r>
      <w:r w:rsidR="00334549">
        <w:rPr>
          <w:rFonts w:ascii="Times New Roman" w:hAnsi="Times New Roman" w:cs="Times New Roman"/>
          <w:sz w:val="28"/>
          <w:szCs w:val="28"/>
        </w:rPr>
        <w:t>до</w:t>
      </w:r>
      <w:r w:rsidRPr="00174A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екодизайну</w:t>
      </w:r>
      <w:proofErr w:type="spellEnd"/>
      <w:r w:rsidRPr="00174A5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безсальникових</w:t>
      </w:r>
      <w:proofErr w:type="spellEnd"/>
      <w:r w:rsidRPr="00174A5D">
        <w:rPr>
          <w:rFonts w:ascii="Times New Roman" w:hAnsi="Times New Roman" w:cs="Times New Roman"/>
          <w:sz w:val="28"/>
          <w:szCs w:val="28"/>
        </w:rPr>
        <w:t xml:space="preserve"> автономних циркуляційних насосів та 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безсальникових</w:t>
      </w:r>
      <w:proofErr w:type="spellEnd"/>
      <w:r w:rsidRPr="00174A5D">
        <w:rPr>
          <w:rFonts w:ascii="Times New Roman" w:hAnsi="Times New Roman" w:cs="Times New Roman"/>
          <w:sz w:val="28"/>
          <w:szCs w:val="28"/>
        </w:rPr>
        <w:t xml:space="preserve"> циркуляційних насосів, інтегрованих у пристрої (далі – Технічний регламент) 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безсальникові</w:t>
      </w:r>
      <w:proofErr w:type="spellEnd"/>
      <w:r w:rsidRPr="00174A5D">
        <w:rPr>
          <w:rFonts w:ascii="Times New Roman" w:hAnsi="Times New Roman" w:cs="Times New Roman"/>
          <w:sz w:val="28"/>
          <w:szCs w:val="28"/>
        </w:rPr>
        <w:t xml:space="preserve"> автономні циркуляційні насоси і 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безсальникові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циркуляційні насоси,</w:t>
      </w:r>
      <w:r w:rsidRPr="00174A5D">
        <w:rPr>
          <w:rFonts w:ascii="Times New Roman" w:hAnsi="Times New Roman" w:cs="Times New Roman"/>
          <w:sz w:val="28"/>
          <w:szCs w:val="28"/>
        </w:rPr>
        <w:t xml:space="preserve"> інтегровані в пристрої, повинні мати індекс енергоефективності (EEI) не більший за 0,23, розрахований відповідно до пункту 2 додатку 2.</w:t>
      </w:r>
      <w:r w:rsidRPr="00174A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560D9" w:rsidRPr="00174A5D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2. Вимоги до інформації про продукт</w:t>
      </w:r>
    </w:p>
    <w:p w:rsidR="00F560D9" w:rsidRPr="00174A5D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74A5D">
        <w:rPr>
          <w:rFonts w:ascii="Times New Roman" w:hAnsi="Times New Roman" w:cs="Times New Roman"/>
          <w:sz w:val="28"/>
          <w:szCs w:val="28"/>
        </w:rPr>
        <w:t xml:space="preserve">Не пізніше ніж через один рік з </w:t>
      </w:r>
      <w:r>
        <w:rPr>
          <w:rFonts w:ascii="Times New Roman" w:hAnsi="Times New Roman" w:cs="Times New Roman"/>
          <w:sz w:val="28"/>
          <w:szCs w:val="28"/>
        </w:rPr>
        <w:t>дати набрання</w:t>
      </w:r>
      <w:r w:rsidRPr="00174A5D">
        <w:rPr>
          <w:rFonts w:ascii="Times New Roman" w:hAnsi="Times New Roman" w:cs="Times New Roman"/>
          <w:sz w:val="28"/>
          <w:szCs w:val="28"/>
        </w:rPr>
        <w:t xml:space="preserve"> чинності Технічним регламентом:</w:t>
      </w:r>
    </w:p>
    <w:p w:rsidR="00F560D9" w:rsidRPr="00174A5D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індекс енергоефективності автономних циркуляційних</w:t>
      </w:r>
      <w:r w:rsidR="00334549">
        <w:rPr>
          <w:rFonts w:ascii="Times New Roman" w:hAnsi="Times New Roman" w:cs="Times New Roman"/>
          <w:sz w:val="28"/>
          <w:szCs w:val="28"/>
        </w:rPr>
        <w:t xml:space="preserve"> насосів, розрахований за методикою</w:t>
      </w:r>
      <w:r w:rsidRPr="00174A5D">
        <w:rPr>
          <w:rFonts w:ascii="Times New Roman" w:hAnsi="Times New Roman" w:cs="Times New Roman"/>
          <w:sz w:val="28"/>
          <w:szCs w:val="28"/>
        </w:rPr>
        <w:t xml:space="preserve"> відповідно до додатку 2, зазначається на табличці з технічними даними та упаковці таких насосів, а також у технічній документації продукту наступним чином: «EEI ≤ 0, [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Pr="00174A5D">
        <w:rPr>
          <w:rFonts w:ascii="Times New Roman" w:hAnsi="Times New Roman" w:cs="Times New Roman"/>
          <w:sz w:val="28"/>
          <w:szCs w:val="28"/>
        </w:rPr>
        <w:t>]»;</w:t>
      </w:r>
    </w:p>
    <w:p w:rsidR="00F560D9" w:rsidRPr="00174A5D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на автономних циркуляційних на</w:t>
      </w:r>
      <w:r w:rsidR="00334549">
        <w:rPr>
          <w:rFonts w:ascii="Times New Roman" w:hAnsi="Times New Roman" w:cs="Times New Roman"/>
          <w:sz w:val="28"/>
          <w:szCs w:val="28"/>
        </w:rPr>
        <w:t>сосах та циркуляційних насосах</w:t>
      </w:r>
      <w:r w:rsidRPr="00174A5D">
        <w:rPr>
          <w:rFonts w:ascii="Times New Roman" w:hAnsi="Times New Roman" w:cs="Times New Roman"/>
          <w:sz w:val="28"/>
          <w:szCs w:val="28"/>
        </w:rPr>
        <w:t>, зазначається наступна інформація: «Орієнтовним еталонним показником для найбільш ефективних циркуляційних насосів є EEI ≤ 0,20.»;</w:t>
      </w:r>
    </w:p>
    <w:p w:rsidR="00F560D9" w:rsidRPr="00174A5D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сміттєпереробних</w:t>
      </w:r>
      <w:proofErr w:type="spellEnd"/>
      <w:r w:rsidRPr="00174A5D">
        <w:rPr>
          <w:rFonts w:ascii="Times New Roman" w:hAnsi="Times New Roman" w:cs="Times New Roman"/>
          <w:sz w:val="28"/>
          <w:szCs w:val="28"/>
        </w:rPr>
        <w:t xml:space="preserve"> підприємств надається інформація щодо специфіки демонтажу, переробки або утилізації компонентів та матеріалів автономних циркуляційних насосів та циркуляційних насосів, інтегрованих у пристрої по завершенню їх строку експлуатації;</w:t>
      </w:r>
    </w:p>
    <w:p w:rsidR="00F560D9" w:rsidRPr="00174A5D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для циркуляційних насосів для питної води на упаковці і в технічній документації надається наступна інформація: «Цей циркуляційний насос є придатним лише для питної води»;</w:t>
      </w:r>
    </w:p>
    <w:p w:rsidR="00F560D9" w:rsidRPr="00174A5D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на циркуляційних насосах, інтегрованих у пристрої, і введених в обіг не пізніше 1 січня 2020 р. на заміну ідентичних циркуляційних насосів, інтегрованих у пристрої, введених в обіг не пізніше ніж через один рік з </w:t>
      </w:r>
      <w:r w:rsidRPr="00174A5D">
        <w:rPr>
          <w:rFonts w:ascii="Times New Roman" w:hAnsi="Times New Roman" w:cs="Times New Roman"/>
          <w:sz w:val="28"/>
          <w:szCs w:val="28"/>
        </w:rPr>
        <w:lastRenderedPageBreak/>
        <w:t>моменту набуття чинності цього Технічного регламенту, або на їх упаковці має бути чітко зазначено, для якого пристрою (пристроїв) вони призначені.</w:t>
      </w:r>
    </w:p>
    <w:p w:rsidR="00F560D9" w:rsidRPr="00174A5D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Виробники надають інформацію щодо встановлення, використання та технічного обслуговування циркуляційного насосу з метою мінімізації його впливу на навколишнє середовище.</w:t>
      </w:r>
    </w:p>
    <w:p w:rsidR="00F560D9" w:rsidRPr="00174A5D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Інформація, зазначена у цьому пункті, розміщується на веб-сайтах виробників циркуляційних насосів із вільним доступом і має бути добре видима.</w:t>
      </w:r>
    </w:p>
    <w:p w:rsidR="00F560D9" w:rsidRPr="00174A5D" w:rsidRDefault="00F560D9" w:rsidP="00F560D9">
      <w:pPr>
        <w:spacing w:before="24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2. Не пізніше ніж через один рік з </w:t>
      </w:r>
      <w:r>
        <w:rPr>
          <w:rFonts w:ascii="Times New Roman" w:hAnsi="Times New Roman" w:cs="Times New Roman"/>
          <w:sz w:val="28"/>
          <w:szCs w:val="28"/>
        </w:rPr>
        <w:t>дати набрання</w:t>
      </w:r>
      <w:r w:rsidRPr="00174A5D">
        <w:rPr>
          <w:rFonts w:ascii="Times New Roman" w:hAnsi="Times New Roman" w:cs="Times New Roman"/>
          <w:sz w:val="28"/>
          <w:szCs w:val="28"/>
        </w:rPr>
        <w:t xml:space="preserve"> чинності Технічним регламентом індекс енергоефективності циркуляційних насосів, інтегрованих у </w:t>
      </w:r>
      <w:r w:rsidR="00334549">
        <w:rPr>
          <w:rFonts w:ascii="Times New Roman" w:hAnsi="Times New Roman" w:cs="Times New Roman"/>
          <w:sz w:val="28"/>
          <w:szCs w:val="28"/>
        </w:rPr>
        <w:t>пристрої, розрахований за методикою</w:t>
      </w:r>
      <w:r w:rsidRPr="00174A5D">
        <w:rPr>
          <w:rFonts w:ascii="Times New Roman" w:hAnsi="Times New Roman" w:cs="Times New Roman"/>
          <w:sz w:val="28"/>
          <w:szCs w:val="28"/>
        </w:rPr>
        <w:t xml:space="preserve"> відповідно до додатку 2, зазначається на табличці з технічними даними та упаковці таких насосів, а також у технічній документації продукту наступним чином: «EEI ≤ 0, [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Pr="00174A5D">
        <w:rPr>
          <w:rFonts w:ascii="Times New Roman" w:hAnsi="Times New Roman" w:cs="Times New Roman"/>
          <w:sz w:val="28"/>
          <w:szCs w:val="28"/>
        </w:rPr>
        <w:t>]».</w:t>
      </w:r>
    </w:p>
    <w:p w:rsidR="00F560D9" w:rsidRDefault="00F560D9" w:rsidP="00F560D9">
      <w:pPr>
        <w:spacing w:before="240" w:after="0"/>
        <w:rPr>
          <w:rFonts w:ascii="Times New Roman" w:hAnsi="Times New Roman" w:cs="Times New Roman"/>
          <w:sz w:val="28"/>
          <w:szCs w:val="28"/>
        </w:rPr>
      </w:pPr>
    </w:p>
    <w:p w:rsidR="00F560D9" w:rsidRPr="00174A5D" w:rsidRDefault="00F560D9" w:rsidP="00F560D9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6A1583" w:rsidRDefault="006A1583"/>
    <w:sectPr w:rsidR="006A1583" w:rsidSect="00F56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B92" w:rsidRDefault="00A67B92" w:rsidP="00F560D9">
      <w:pPr>
        <w:spacing w:after="0" w:line="240" w:lineRule="auto"/>
      </w:pPr>
      <w:r>
        <w:separator/>
      </w:r>
    </w:p>
  </w:endnote>
  <w:endnote w:type="continuationSeparator" w:id="0">
    <w:p w:rsidR="00A67B92" w:rsidRDefault="00A67B92" w:rsidP="00F56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0D9" w:rsidRDefault="00F560D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0D9" w:rsidRDefault="00F560D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0D9" w:rsidRDefault="00F560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B92" w:rsidRDefault="00A67B92" w:rsidP="00F560D9">
      <w:pPr>
        <w:spacing w:after="0" w:line="240" w:lineRule="auto"/>
      </w:pPr>
      <w:r>
        <w:separator/>
      </w:r>
    </w:p>
  </w:footnote>
  <w:footnote w:type="continuationSeparator" w:id="0">
    <w:p w:rsidR="00A67B92" w:rsidRDefault="00A67B92" w:rsidP="00F56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0D9" w:rsidRDefault="00F560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93342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560D9" w:rsidRPr="00F560D9" w:rsidRDefault="00F560D9" w:rsidP="00F560D9">
        <w:pPr>
          <w:pStyle w:val="a3"/>
          <w:jc w:val="right"/>
          <w:rPr>
            <w:rFonts w:ascii="Times New Roman" w:hAnsi="Times New Roman" w:cs="Times New Roman"/>
          </w:rPr>
        </w:pPr>
        <w:r w:rsidRPr="00F560D9">
          <w:rPr>
            <w:rFonts w:ascii="Times New Roman" w:hAnsi="Times New Roman" w:cs="Times New Roman"/>
          </w:rPr>
          <w:fldChar w:fldCharType="begin"/>
        </w:r>
        <w:r w:rsidRPr="00F560D9">
          <w:rPr>
            <w:rFonts w:ascii="Times New Roman" w:hAnsi="Times New Roman" w:cs="Times New Roman"/>
          </w:rPr>
          <w:instrText>PAGE   \* MERGEFORMAT</w:instrText>
        </w:r>
        <w:r w:rsidRPr="00F560D9">
          <w:rPr>
            <w:rFonts w:ascii="Times New Roman" w:hAnsi="Times New Roman" w:cs="Times New Roman"/>
          </w:rPr>
          <w:fldChar w:fldCharType="separate"/>
        </w:r>
        <w:r w:rsidR="00553F2F" w:rsidRPr="00553F2F">
          <w:rPr>
            <w:rFonts w:ascii="Times New Roman" w:hAnsi="Times New Roman" w:cs="Times New Roman"/>
            <w:noProof/>
            <w:lang w:val="ru-RU"/>
          </w:rPr>
          <w:t>2</w:t>
        </w:r>
        <w:r w:rsidRPr="00F560D9">
          <w:rPr>
            <w:rFonts w:ascii="Times New Roman" w:hAnsi="Times New Roman" w:cs="Times New Roman"/>
          </w:rPr>
          <w:fldChar w:fldCharType="end"/>
        </w:r>
        <w:r w:rsidRPr="00F560D9">
          <w:rPr>
            <w:rFonts w:ascii="Times New Roman" w:hAnsi="Times New Roman" w:cs="Times New Roman"/>
          </w:rPr>
          <w:t xml:space="preserve"> </w:t>
        </w:r>
        <w:r>
          <w:rPr>
            <w:rFonts w:ascii="Times New Roman" w:hAnsi="Times New Roman" w:cs="Times New Roman"/>
          </w:rPr>
          <w:t xml:space="preserve">                                            </w:t>
        </w:r>
        <w:r w:rsidRPr="00F560D9">
          <w:rPr>
            <w:rFonts w:ascii="Times New Roman" w:hAnsi="Times New Roman" w:cs="Times New Roman"/>
          </w:rPr>
          <w:t>Продовження додатку 1</w:t>
        </w:r>
      </w:p>
    </w:sdtContent>
  </w:sdt>
  <w:p w:rsidR="00F560D9" w:rsidRDefault="00F560D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0D9" w:rsidRDefault="00F560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F0B"/>
    <w:rsid w:val="00334549"/>
    <w:rsid w:val="00553F2F"/>
    <w:rsid w:val="006A1583"/>
    <w:rsid w:val="006F2B63"/>
    <w:rsid w:val="007B7EEE"/>
    <w:rsid w:val="00903F0B"/>
    <w:rsid w:val="00A67B92"/>
    <w:rsid w:val="00F5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D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60D9"/>
    <w:rPr>
      <w:lang w:val="uk-UA"/>
    </w:rPr>
  </w:style>
  <w:style w:type="paragraph" w:styleId="a5">
    <w:name w:val="footer"/>
    <w:basedOn w:val="a"/>
    <w:link w:val="a6"/>
    <w:uiPriority w:val="99"/>
    <w:unhideWhenUsed/>
    <w:rsid w:val="00F5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60D9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D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60D9"/>
    <w:rPr>
      <w:lang w:val="uk-UA"/>
    </w:rPr>
  </w:style>
  <w:style w:type="paragraph" w:styleId="a5">
    <w:name w:val="footer"/>
    <w:basedOn w:val="a"/>
    <w:link w:val="a6"/>
    <w:uiPriority w:val="99"/>
    <w:unhideWhenUsed/>
    <w:rsid w:val="00F5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60D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393</Words>
  <Characters>2243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gorbach</cp:lastModifiedBy>
  <cp:revision>4</cp:revision>
  <dcterms:created xsi:type="dcterms:W3CDTF">2017-06-01T12:05:00Z</dcterms:created>
  <dcterms:modified xsi:type="dcterms:W3CDTF">2017-08-01T09:34:00Z</dcterms:modified>
</cp:coreProperties>
</file>