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8E" w:rsidRPr="00106984" w:rsidRDefault="00B03C8E" w:rsidP="005F4EA6">
      <w:pPr>
        <w:pStyle w:val="ContinuedBodyText"/>
        <w:jc w:val="center"/>
        <w:rPr>
          <w:b/>
          <w:bCs/>
          <w:iCs/>
          <w:sz w:val="28"/>
          <w:szCs w:val="28"/>
          <w:lang w:val="uk-UA"/>
        </w:rPr>
      </w:pPr>
      <w:r w:rsidRPr="00106984">
        <w:rPr>
          <w:b/>
          <w:bCs/>
          <w:iCs/>
          <w:sz w:val="28"/>
          <w:szCs w:val="28"/>
          <w:lang w:val="uk-UA"/>
        </w:rPr>
        <w:t>ПОЯСНЮВАЛЬНА ЗАПИСКА</w:t>
      </w:r>
    </w:p>
    <w:p w:rsidR="00B03C8E" w:rsidRPr="00106984" w:rsidRDefault="00B03C8E" w:rsidP="005F4EA6">
      <w:pPr>
        <w:pStyle w:val="ContinuedBodyText"/>
        <w:jc w:val="center"/>
        <w:rPr>
          <w:b/>
          <w:bCs/>
          <w:iCs/>
          <w:sz w:val="28"/>
          <w:szCs w:val="28"/>
          <w:lang w:val="uk-UA"/>
        </w:rPr>
      </w:pPr>
      <w:r w:rsidRPr="00106984">
        <w:rPr>
          <w:b/>
          <w:bCs/>
          <w:iCs/>
          <w:sz w:val="28"/>
          <w:szCs w:val="28"/>
          <w:lang w:val="uk-UA"/>
        </w:rPr>
        <w:t>до проекту Закону України «Про внесення змін до Закону України</w:t>
      </w:r>
    </w:p>
    <w:p w:rsidR="00B03C8E" w:rsidRPr="00106984" w:rsidRDefault="00B03C8E" w:rsidP="005F4EA6">
      <w:pPr>
        <w:pStyle w:val="ContinuedBodyText"/>
        <w:jc w:val="center"/>
        <w:rPr>
          <w:b/>
          <w:bCs/>
          <w:iCs/>
          <w:sz w:val="28"/>
          <w:szCs w:val="28"/>
          <w:lang w:val="uk-UA"/>
        </w:rPr>
      </w:pPr>
      <w:r w:rsidRPr="00106984">
        <w:rPr>
          <w:b/>
          <w:bCs/>
          <w:iCs/>
          <w:sz w:val="28"/>
          <w:szCs w:val="28"/>
          <w:lang w:val="uk-UA"/>
        </w:rPr>
        <w:t>«Про природні монополії»</w:t>
      </w:r>
    </w:p>
    <w:p w:rsidR="00B03C8E" w:rsidRPr="00106984" w:rsidRDefault="00B03C8E" w:rsidP="005F4EA6">
      <w:pPr>
        <w:pStyle w:val="ContinuedBodyText"/>
        <w:rPr>
          <w:b/>
          <w:bCs/>
          <w:iCs/>
          <w:sz w:val="28"/>
          <w:szCs w:val="28"/>
          <w:lang w:val="uk-UA"/>
        </w:rPr>
      </w:pPr>
    </w:p>
    <w:p w:rsidR="00B03C8E" w:rsidRPr="00106984" w:rsidRDefault="00B03C8E" w:rsidP="005F4EA6">
      <w:pPr>
        <w:pStyle w:val="ContinuedBodyText"/>
        <w:numPr>
          <w:ilvl w:val="0"/>
          <w:numId w:val="1"/>
        </w:numPr>
        <w:rPr>
          <w:b/>
          <w:bCs/>
          <w:iCs/>
          <w:sz w:val="28"/>
          <w:szCs w:val="28"/>
          <w:lang w:val="uk-UA"/>
        </w:rPr>
      </w:pPr>
      <w:r w:rsidRPr="00106984">
        <w:rPr>
          <w:b/>
          <w:bCs/>
          <w:iCs/>
          <w:sz w:val="28"/>
          <w:szCs w:val="28"/>
          <w:lang w:val="uk-UA"/>
        </w:rPr>
        <w:t>Обґрунтування необхідності прийняття акта</w:t>
      </w:r>
    </w:p>
    <w:p w:rsidR="00B03C8E" w:rsidRPr="00106984" w:rsidRDefault="00B03C8E" w:rsidP="00410EDB">
      <w:pPr>
        <w:pStyle w:val="ContinuedBodyText"/>
        <w:spacing w:line="240" w:lineRule="auto"/>
        <w:ind w:firstLine="567"/>
        <w:rPr>
          <w:bCs/>
          <w:iCs/>
          <w:sz w:val="28"/>
          <w:szCs w:val="28"/>
          <w:lang w:val="uk-UA"/>
        </w:rPr>
      </w:pPr>
    </w:p>
    <w:p w:rsidR="00B03C8E" w:rsidRPr="00106984" w:rsidRDefault="00B03C8E" w:rsidP="00F92010">
      <w:pPr>
        <w:pStyle w:val="ContinuedBodyText"/>
        <w:spacing w:line="240" w:lineRule="auto"/>
        <w:ind w:firstLine="567"/>
        <w:rPr>
          <w:sz w:val="28"/>
          <w:szCs w:val="28"/>
          <w:lang w:val="uk-UA"/>
        </w:rPr>
      </w:pPr>
      <w:r w:rsidRPr="00106984">
        <w:rPr>
          <w:sz w:val="28"/>
          <w:szCs w:val="28"/>
          <w:lang w:val="uk-UA"/>
        </w:rPr>
        <w:t>Відповідно до статті 1 Закону України «Про природні монополії» від 20.04.2000 №1682-ІІІ (зі змінами, внесеними згідно із</w:t>
      </w:r>
      <w:r w:rsidRPr="00106984">
        <w:rPr>
          <w:bCs/>
          <w:iCs/>
          <w:sz w:val="28"/>
          <w:szCs w:val="28"/>
          <w:lang w:val="uk-UA"/>
        </w:rPr>
        <w:t xml:space="preserve"> Законом України від 21.06.2012 №4998-VI) (далі – Закон) </w:t>
      </w:r>
      <w:r w:rsidRPr="00106984">
        <w:rPr>
          <w:sz w:val="28"/>
          <w:szCs w:val="28"/>
          <w:lang w:val="uk-UA"/>
        </w:rPr>
        <w:t xml:space="preserve">дія стимулюючого регулювання поширюється на суб'єктів природних монополій та суб'єктів господарювання на суміжних ринках у сфері комбінованого виробництва електричної та теплової енергії. Таким чином, у діючій редакції Закон не передбачає можливості  застосування стимулюючих методів регулювання для суб’єктів господарювання на суміжних ринках у інших сферах окрім комбінованого виробництва електричної та теплової енергії. </w:t>
      </w:r>
    </w:p>
    <w:p w:rsidR="00B03C8E" w:rsidRPr="00106984" w:rsidRDefault="00B03C8E" w:rsidP="00F92010">
      <w:pPr>
        <w:pStyle w:val="ContinuedBodyText"/>
        <w:spacing w:line="240" w:lineRule="auto"/>
        <w:ind w:firstLine="567"/>
        <w:rPr>
          <w:sz w:val="28"/>
          <w:szCs w:val="28"/>
          <w:lang w:val="uk-UA"/>
        </w:rPr>
      </w:pPr>
      <w:r w:rsidRPr="00106984">
        <w:rPr>
          <w:sz w:val="28"/>
          <w:szCs w:val="28"/>
          <w:lang w:val="uk-UA"/>
        </w:rPr>
        <w:t xml:space="preserve">В той же час існуючі механізми тарифоутворення на товари (послуги) суб’єктів господарювання на суміжних ринках недосконалі та існує нагальна   необхідність запровадження більш дієвих та ефективних способів державного регулювання, направлених на поступове скорочення неефективних витрат та створення умов для залучення інвестицій з метою забезпечення сталого функціонування та розвитку, зокрема </w:t>
      </w:r>
      <w:r>
        <w:rPr>
          <w:sz w:val="28"/>
          <w:szCs w:val="28"/>
          <w:lang w:val="uk-UA"/>
        </w:rPr>
        <w:t>інвестицій у</w:t>
      </w:r>
      <w:r w:rsidRPr="00106984">
        <w:rPr>
          <w:sz w:val="28"/>
          <w:szCs w:val="28"/>
          <w:lang w:val="uk-UA"/>
        </w:rPr>
        <w:t xml:space="preserve"> впровадження енергоефективних технологій.</w:t>
      </w:r>
    </w:p>
    <w:p w:rsidR="00B03C8E" w:rsidRPr="00106984" w:rsidRDefault="00B03C8E" w:rsidP="00F92010">
      <w:pPr>
        <w:pStyle w:val="ContinuedBodyText"/>
        <w:spacing w:line="240" w:lineRule="auto"/>
        <w:ind w:firstLine="567"/>
        <w:rPr>
          <w:sz w:val="28"/>
          <w:szCs w:val="28"/>
          <w:lang w:val="uk-UA"/>
        </w:rPr>
      </w:pPr>
      <w:r w:rsidRPr="00106984">
        <w:rPr>
          <w:sz w:val="28"/>
          <w:szCs w:val="28"/>
          <w:lang w:val="uk-UA"/>
        </w:rPr>
        <w:t xml:space="preserve">Поширення дії стимулюючого регулювання на </w:t>
      </w:r>
      <w:r w:rsidRPr="00106984">
        <w:rPr>
          <w:bCs/>
          <w:iCs/>
          <w:sz w:val="28"/>
          <w:szCs w:val="28"/>
          <w:lang w:val="uk-UA"/>
        </w:rPr>
        <w:t xml:space="preserve">суб’єктів господарювання </w:t>
      </w:r>
      <w:r w:rsidRPr="00106984">
        <w:rPr>
          <w:sz w:val="28"/>
          <w:szCs w:val="28"/>
          <w:lang w:val="uk-UA"/>
        </w:rPr>
        <w:t xml:space="preserve">на суміжних ринках дасть можливість органам, що здійснюють державне регулювання </w:t>
      </w:r>
      <w:r w:rsidRPr="00106984">
        <w:rPr>
          <w:bCs/>
          <w:iCs/>
          <w:sz w:val="28"/>
          <w:szCs w:val="28"/>
          <w:lang w:val="uk-UA"/>
        </w:rPr>
        <w:t xml:space="preserve">суб’єктів господарювання </w:t>
      </w:r>
      <w:r w:rsidRPr="00106984">
        <w:rPr>
          <w:sz w:val="28"/>
          <w:szCs w:val="28"/>
          <w:lang w:val="uk-UA"/>
        </w:rPr>
        <w:t xml:space="preserve">на суміжних ринках, запроваджувати </w:t>
      </w:r>
      <w:r w:rsidRPr="00106984">
        <w:rPr>
          <w:bCs/>
          <w:iCs/>
          <w:sz w:val="28"/>
          <w:szCs w:val="28"/>
          <w:lang w:val="uk-UA"/>
        </w:rPr>
        <w:t xml:space="preserve">стимулюючі методи тарифного регулювання для цих суб’єктів. </w:t>
      </w:r>
      <w:r w:rsidRPr="00106984">
        <w:rPr>
          <w:sz w:val="28"/>
          <w:szCs w:val="28"/>
          <w:lang w:val="uk-UA"/>
        </w:rPr>
        <w:t xml:space="preserve">Таким чином забезпечуватиметься підвищення ефективності діяльності та оновлення основних фондів підприємств,  </w:t>
      </w:r>
      <w:r w:rsidRPr="00106984">
        <w:rPr>
          <w:color w:val="000000"/>
          <w:sz w:val="28"/>
          <w:szCs w:val="28"/>
          <w:lang w:val="uk-UA"/>
        </w:rPr>
        <w:t xml:space="preserve">що здійснюють свою діяльність на суміжних ринках, </w:t>
      </w:r>
      <w:r w:rsidRPr="00106984">
        <w:rPr>
          <w:sz w:val="28"/>
          <w:szCs w:val="28"/>
          <w:lang w:val="uk-UA"/>
        </w:rPr>
        <w:t xml:space="preserve">шляхом </w:t>
      </w:r>
      <w:r w:rsidRPr="00106984">
        <w:rPr>
          <w:color w:val="000000"/>
          <w:sz w:val="28"/>
          <w:szCs w:val="28"/>
          <w:lang w:val="uk-UA"/>
        </w:rPr>
        <w:t xml:space="preserve">переходу на довгострокові стимулюючі схеми тарифного регулювання та встановлення для цих підприємств економічно обґрунтованої норми доходу на інвестований капітал. Як результат, очікується підвищення інвестиційної привабливості цілісних майнових комплексів та забезпечення їх ресурсами, необхідними для обслуговування та відновлення технічної інфраструктури, впровадження енергоефективних технологій, а також </w:t>
      </w:r>
      <w:r w:rsidRPr="00106984">
        <w:rPr>
          <w:sz w:val="28"/>
          <w:szCs w:val="28"/>
          <w:lang w:val="uk-UA"/>
        </w:rPr>
        <w:t>надання своїх послуг надійним та економічно доцільним чином з одночасними зобов’язаннями стосовно виконання цільових завдань щодо підвищення ефективності своєї діяльності.</w:t>
      </w:r>
    </w:p>
    <w:p w:rsidR="00B03C8E" w:rsidRPr="00106984" w:rsidRDefault="00B03C8E" w:rsidP="00F92010">
      <w:pPr>
        <w:pStyle w:val="ContinuedBodyText"/>
        <w:spacing w:line="240" w:lineRule="auto"/>
        <w:ind w:firstLine="567"/>
        <w:rPr>
          <w:sz w:val="28"/>
          <w:szCs w:val="28"/>
          <w:lang w:val="uk-UA"/>
        </w:rPr>
      </w:pPr>
      <w:r w:rsidRPr="00106984">
        <w:rPr>
          <w:sz w:val="28"/>
          <w:szCs w:val="28"/>
          <w:lang w:val="uk-UA"/>
        </w:rPr>
        <w:t xml:space="preserve">Основними перешкодами, що унеможливлювали запровадження стимулюючого регулювання, були відсутність економічного обґрунтованих тарифів та небажання суб’єктів природних монополій комунальної форми власності використовувати прогресивні методики тарифоутворення. Не зважаючи на це, національним регулятором у сфері комунальних послуг та іншими органами влади було прийнято низку нормативно-правових актів, що забезпечують необхідні умови для застосування стимулюючого регулювання: методики формування тарифів, порядки визначення регуляторної бази активів, акти щодо встановлення регуляторної норми доходу для регуляторної бази активів. </w:t>
      </w:r>
    </w:p>
    <w:p w:rsidR="00B03C8E" w:rsidRPr="00106984" w:rsidRDefault="00B03C8E" w:rsidP="00F92010">
      <w:pPr>
        <w:pStyle w:val="ContinuedBodyText"/>
        <w:spacing w:line="240" w:lineRule="auto"/>
        <w:ind w:firstLine="567"/>
        <w:rPr>
          <w:sz w:val="28"/>
          <w:szCs w:val="28"/>
          <w:lang w:val="uk-UA"/>
        </w:rPr>
      </w:pPr>
      <w:r w:rsidRPr="00106984">
        <w:rPr>
          <w:sz w:val="28"/>
          <w:szCs w:val="28"/>
          <w:lang w:val="uk-UA"/>
        </w:rPr>
        <w:t xml:space="preserve">Для усунення вищенаведених перешкод було вжито низку заходів, зокрема приведено тарифи на теплову енергію до економічно обґрунтованого рівня. Проте, задля унеможливлення впливу будь-яких об’єктивних та суб’єктивних чинників на процес застосування стимулюючого регулювання проектом Закону пропонується встановити обов’язковість запровадження стимулюючого регулювання з 1 січня 2019 року. </w:t>
      </w:r>
    </w:p>
    <w:p w:rsidR="00B03C8E" w:rsidRPr="00106984" w:rsidRDefault="00B03C8E" w:rsidP="00F92010">
      <w:pPr>
        <w:pStyle w:val="ContinuedBodyText"/>
        <w:spacing w:line="240" w:lineRule="auto"/>
        <w:ind w:firstLine="567"/>
        <w:rPr>
          <w:sz w:val="28"/>
          <w:szCs w:val="28"/>
          <w:lang w:val="uk-UA"/>
        </w:rPr>
      </w:pPr>
      <w:r w:rsidRPr="00106984">
        <w:rPr>
          <w:sz w:val="28"/>
          <w:szCs w:val="28"/>
          <w:lang w:val="uk-UA"/>
        </w:rPr>
        <w:t>Відтермінування обов’язкового застосування стимулюючого регулювання до 2019 року зумовлено реалізацією рішень Уряду щодо поступового збільшення</w:t>
      </w:r>
      <w:r w:rsidRPr="00106984">
        <w:rPr>
          <w:rStyle w:val="rvts0"/>
          <w:lang w:val="uk-UA"/>
        </w:rPr>
        <w:t xml:space="preserve"> </w:t>
      </w:r>
      <w:r w:rsidRPr="00106984">
        <w:rPr>
          <w:rStyle w:val="rvts0"/>
          <w:sz w:val="28"/>
          <w:szCs w:val="28"/>
          <w:lang w:val="uk-UA"/>
        </w:rPr>
        <w:t>протягом 2015-2017 рр.</w:t>
      </w:r>
      <w:r w:rsidRPr="00106984">
        <w:rPr>
          <w:rStyle w:val="rvts0"/>
          <w:lang w:val="uk-UA"/>
        </w:rPr>
        <w:t xml:space="preserve"> </w:t>
      </w:r>
      <w:r w:rsidRPr="00106984">
        <w:rPr>
          <w:rStyle w:val="rvts0"/>
          <w:sz w:val="28"/>
          <w:szCs w:val="28"/>
          <w:lang w:val="uk-UA"/>
        </w:rPr>
        <w:t>граничного (максимального) рівня ціни на природний газ, що реалізується суб’єктам господарювання, які виробляють теплову енергію (</w:t>
      </w:r>
      <w:r w:rsidRPr="00106984">
        <w:rPr>
          <w:rStyle w:val="rvts0"/>
          <w:sz w:val="28"/>
          <w:szCs w:val="28"/>
          <w:lang w:val="ru-RU"/>
        </w:rPr>
        <w:t>виходячи з обсягу природного газу</w:t>
      </w:r>
      <w:r w:rsidRPr="00106984">
        <w:rPr>
          <w:rStyle w:val="rvts0"/>
          <w:sz w:val="28"/>
          <w:szCs w:val="28"/>
          <w:lang w:val="uk-UA"/>
        </w:rPr>
        <w:t>, що використовується для виробництва та надання населенню послуг з опалення та постачання гарячої води). Застосування методик стимулюючого регулювання в умовах значного коливання собівартості, спричиненого зростанням ціни на природний газ, буде ускладненим та не призведе до очікуваного ефекту у вигляді економії витрат внаслідок здійснення інвестиційних (в тому числі енергоефективних) заходів.</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 xml:space="preserve">Окрім того, проектом Закону пропонується запровадити положення, щодо узгодження застосування різних методів нарахування амортизації під час розрахунку тарифів. </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Абзацом одинадцять частини другої статті 9 Закону передбачено, що під час регулювання цін (тарифів) на товари суб'єкта природної монополії орган регулювання враховує витрати, в тому числі амортизацію, які згідно з Податковим кодексом України враховуються при обчисленні об'єкта оподаткування податком на прибуток підприємств (крім витрат, визначених частиною третьою цієї статті).</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В той же час, стаття 145 Податкового кодексу України передбачає застосування декількох методів нарахування амортизації основних засобів, зокрема: прямолінійного, зменшення залишкової вартості, прискореного зменшення залишкової вартості, кумулятивного та виробничого.</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 xml:space="preserve">Слід зазначити, що використання підприємствами різних методів нарахування амортизації може призвести до значних відхилень у структурі тарифів для різних суб’єктів природних монополій, крім того застосовування підприємствами кумулятивного </w:t>
      </w:r>
      <w:r w:rsidRPr="00106984">
        <w:rPr>
          <w:sz w:val="28"/>
          <w:szCs w:val="28"/>
          <w:lang w:val="uk-UA"/>
        </w:rPr>
        <w:t>методу нарахування амортизації, методу зменшення залишкової вартості або методу прискореного зменшення залишкової вартості призведе д</w:t>
      </w:r>
      <w:r w:rsidRPr="00106984">
        <w:rPr>
          <w:bCs/>
          <w:iCs/>
          <w:sz w:val="28"/>
          <w:szCs w:val="28"/>
          <w:lang w:val="uk-UA"/>
        </w:rPr>
        <w:t>о підвищення рівня тарифів для суб’єктів природних монополій, та, як наслідок до соціальної напруги у суспільстві.</w:t>
      </w:r>
    </w:p>
    <w:p w:rsidR="00B03C8E" w:rsidRPr="00106984" w:rsidRDefault="00B03C8E" w:rsidP="00410EDB">
      <w:pPr>
        <w:pStyle w:val="ContinuedBodyText"/>
        <w:spacing w:line="240" w:lineRule="auto"/>
        <w:ind w:firstLine="567"/>
        <w:rPr>
          <w:sz w:val="28"/>
          <w:szCs w:val="28"/>
          <w:lang w:val="uk-UA"/>
        </w:rPr>
      </w:pPr>
      <w:r w:rsidRPr="00106984">
        <w:rPr>
          <w:bCs/>
          <w:iCs/>
          <w:sz w:val="28"/>
          <w:szCs w:val="28"/>
          <w:lang w:val="uk-UA"/>
        </w:rPr>
        <w:t xml:space="preserve">Відповідно до світового та європейського досвіду при регулюванні тарифів на послуги, що надаються суб’єктами природних монополій, регулятор встановлює норми амортизації для кожної групи активів, що забезпечує стабільність та </w:t>
      </w:r>
      <w:r w:rsidRPr="00106984">
        <w:rPr>
          <w:sz w:val="28"/>
          <w:szCs w:val="28"/>
          <w:lang w:val="uk-UA"/>
        </w:rPr>
        <w:t>прогнозованість цінової і тарифної політики на ринках, які перебувають у стані природної монополії.</w:t>
      </w:r>
    </w:p>
    <w:p w:rsidR="00B03C8E" w:rsidRDefault="00B03C8E" w:rsidP="008768BC">
      <w:pPr>
        <w:pStyle w:val="ContinuedBodyText"/>
        <w:spacing w:line="240" w:lineRule="auto"/>
        <w:rPr>
          <w:sz w:val="28"/>
          <w:szCs w:val="28"/>
          <w:lang w:val="uk-UA"/>
        </w:rPr>
      </w:pPr>
    </w:p>
    <w:p w:rsidR="00B03C8E" w:rsidRPr="00106984" w:rsidRDefault="00B03C8E" w:rsidP="008768BC">
      <w:pPr>
        <w:pStyle w:val="ContinuedBodyText"/>
        <w:spacing w:line="240" w:lineRule="auto"/>
        <w:rPr>
          <w:sz w:val="28"/>
          <w:szCs w:val="28"/>
          <w:lang w:val="uk-UA"/>
        </w:rPr>
      </w:pPr>
    </w:p>
    <w:p w:rsidR="00B03C8E" w:rsidRPr="00106984" w:rsidRDefault="00B03C8E" w:rsidP="005F4EA6">
      <w:pPr>
        <w:pStyle w:val="ContinuedBodyText"/>
        <w:numPr>
          <w:ilvl w:val="0"/>
          <w:numId w:val="1"/>
        </w:numPr>
        <w:rPr>
          <w:b/>
          <w:sz w:val="28"/>
          <w:szCs w:val="28"/>
          <w:lang w:val="uk-UA"/>
        </w:rPr>
      </w:pPr>
      <w:r w:rsidRPr="00106984">
        <w:rPr>
          <w:b/>
          <w:sz w:val="28"/>
          <w:szCs w:val="28"/>
          <w:lang w:val="uk-UA"/>
        </w:rPr>
        <w:t>Мета і шляхи її досягнення</w:t>
      </w:r>
    </w:p>
    <w:p w:rsidR="00B03C8E" w:rsidRPr="00106984" w:rsidRDefault="00B03C8E" w:rsidP="002808B8">
      <w:pPr>
        <w:pStyle w:val="ContinuedBodyText"/>
        <w:spacing w:line="240" w:lineRule="auto"/>
        <w:ind w:firstLine="567"/>
        <w:rPr>
          <w:bCs/>
          <w:iCs/>
          <w:sz w:val="28"/>
          <w:szCs w:val="28"/>
          <w:lang w:val="uk-UA"/>
        </w:rPr>
      </w:pPr>
      <w:r w:rsidRPr="00106984">
        <w:rPr>
          <w:bCs/>
          <w:iCs/>
          <w:sz w:val="28"/>
          <w:szCs w:val="28"/>
          <w:lang w:val="uk-UA"/>
        </w:rPr>
        <w:t xml:space="preserve">Метою прийняття проекту Закону є </w:t>
      </w:r>
      <w:r w:rsidRPr="00106984">
        <w:rPr>
          <w:sz w:val="28"/>
          <w:szCs w:val="28"/>
          <w:lang w:val="uk-UA"/>
        </w:rPr>
        <w:t xml:space="preserve">створення відповідних умов для обов’язкового переходу від витратних до стимулюючих методів регулювання суб'єктів господарювання на суміжних ринках, що дозволить суттєво покращити їх фінансовий стан, забезпечити їх ресурсами, необхідними для обслуговування та відновлення технічної інфраструктури, здійснення енергоефективних заходів та впровадження енергоефективних технологій, підвищити їх інвестиційну привабливість. </w:t>
      </w:r>
      <w:bookmarkStart w:id="0" w:name="_GoBack"/>
      <w:bookmarkEnd w:id="0"/>
      <w:r w:rsidRPr="00106984">
        <w:rPr>
          <w:sz w:val="28"/>
          <w:szCs w:val="28"/>
          <w:lang w:val="uk-UA"/>
        </w:rPr>
        <w:t>З іншої сторони, споживачі також отримають вигоду від переходу до стимулюючого регулювання, оскільки компанії отримають стимули до скорочення неефективних витрат і підвищення якості надання послуг.</w:t>
      </w:r>
    </w:p>
    <w:p w:rsidR="00B03C8E" w:rsidRPr="00106984" w:rsidRDefault="00B03C8E" w:rsidP="002808B8">
      <w:pPr>
        <w:pStyle w:val="ContinuedBodyText"/>
        <w:spacing w:line="240" w:lineRule="auto"/>
        <w:ind w:firstLine="567"/>
        <w:rPr>
          <w:bCs/>
          <w:iCs/>
          <w:sz w:val="28"/>
          <w:szCs w:val="28"/>
          <w:lang w:val="uk-UA"/>
        </w:rPr>
      </w:pPr>
      <w:r w:rsidRPr="00106984">
        <w:rPr>
          <w:bCs/>
          <w:iCs/>
          <w:sz w:val="28"/>
          <w:szCs w:val="28"/>
          <w:lang w:val="uk-UA"/>
        </w:rPr>
        <w:t xml:space="preserve">Крім того, прийняття даного проекту Закону дозволить підвищити ефективність державного регулювання, а саме забезпечить збалансування інтересів суб'єктів господарювання та споживачів, </w:t>
      </w:r>
      <w:r>
        <w:rPr>
          <w:bCs/>
          <w:iCs/>
          <w:sz w:val="28"/>
          <w:szCs w:val="28"/>
          <w:lang w:val="uk-UA"/>
        </w:rPr>
        <w:t>сформує і забезпечить</w:t>
      </w:r>
      <w:r w:rsidRPr="00106984">
        <w:rPr>
          <w:bCs/>
          <w:iCs/>
          <w:sz w:val="28"/>
          <w:szCs w:val="28"/>
          <w:lang w:val="uk-UA"/>
        </w:rPr>
        <w:t xml:space="preserve"> прогнозован</w:t>
      </w:r>
      <w:r>
        <w:rPr>
          <w:bCs/>
          <w:iCs/>
          <w:sz w:val="28"/>
          <w:szCs w:val="28"/>
          <w:lang w:val="uk-UA"/>
        </w:rPr>
        <w:t>ість</w:t>
      </w:r>
      <w:r w:rsidRPr="00106984">
        <w:rPr>
          <w:bCs/>
          <w:iCs/>
          <w:sz w:val="28"/>
          <w:szCs w:val="28"/>
          <w:lang w:val="uk-UA"/>
        </w:rPr>
        <w:t xml:space="preserve"> цінової і тарифної політики для </w:t>
      </w:r>
      <w:r w:rsidRPr="00106984">
        <w:rPr>
          <w:sz w:val="28"/>
          <w:szCs w:val="28"/>
          <w:lang w:val="uk-UA"/>
        </w:rPr>
        <w:t>суб'єктів природних монополій та суб'єктів господарювання на суміжних ринках</w:t>
      </w:r>
      <w:r w:rsidRPr="00106984">
        <w:rPr>
          <w:bCs/>
          <w:iCs/>
          <w:sz w:val="28"/>
          <w:szCs w:val="28"/>
          <w:lang w:val="uk-UA"/>
        </w:rPr>
        <w:t xml:space="preserve"> шляхом установлення підходу до визначення амортизаційних відрахувань, як складової тарифів природних монополій.</w:t>
      </w:r>
    </w:p>
    <w:p w:rsidR="00B03C8E" w:rsidRPr="00106984" w:rsidRDefault="00B03C8E" w:rsidP="005F4EA6">
      <w:pPr>
        <w:pStyle w:val="ContinuedBodyText"/>
        <w:rPr>
          <w:sz w:val="28"/>
          <w:szCs w:val="28"/>
          <w:lang w:val="uk-UA"/>
        </w:rPr>
      </w:pPr>
    </w:p>
    <w:p w:rsidR="00B03C8E" w:rsidRPr="00106984" w:rsidRDefault="00B03C8E" w:rsidP="005F4EA6">
      <w:pPr>
        <w:pStyle w:val="ContinuedBodyText"/>
        <w:numPr>
          <w:ilvl w:val="0"/>
          <w:numId w:val="1"/>
        </w:numPr>
        <w:rPr>
          <w:b/>
          <w:sz w:val="28"/>
          <w:szCs w:val="28"/>
          <w:lang w:val="uk-UA"/>
        </w:rPr>
      </w:pPr>
      <w:r w:rsidRPr="00106984">
        <w:rPr>
          <w:b/>
          <w:sz w:val="28"/>
          <w:szCs w:val="28"/>
          <w:lang w:val="uk-UA"/>
        </w:rPr>
        <w:t>Правові аспекти</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 xml:space="preserve">У даній сфері правового регулювання діють такі нормативно-правові акти: </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Податковий кодекс України;</w:t>
      </w:r>
    </w:p>
    <w:p w:rsidR="00B03C8E" w:rsidRPr="00106984" w:rsidRDefault="00B03C8E" w:rsidP="003A5726">
      <w:pPr>
        <w:pStyle w:val="ContinuedBodyText"/>
        <w:spacing w:line="240" w:lineRule="auto"/>
        <w:ind w:firstLine="567"/>
        <w:rPr>
          <w:bCs/>
          <w:iCs/>
          <w:sz w:val="28"/>
          <w:szCs w:val="28"/>
          <w:lang w:val="uk-UA"/>
        </w:rPr>
      </w:pPr>
      <w:r w:rsidRPr="00106984">
        <w:rPr>
          <w:bCs/>
          <w:iCs/>
          <w:sz w:val="28"/>
          <w:szCs w:val="28"/>
          <w:lang w:val="uk-UA"/>
        </w:rPr>
        <w:t>Закон України «Про теплопостачання»;</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Закон України «Про електроенергетику»;</w:t>
      </w:r>
    </w:p>
    <w:p w:rsidR="00B03C8E" w:rsidRPr="00106984" w:rsidRDefault="00B03C8E" w:rsidP="00410EDB">
      <w:pPr>
        <w:pStyle w:val="ContinuedBodyText"/>
        <w:spacing w:line="240" w:lineRule="auto"/>
        <w:ind w:firstLine="567"/>
        <w:rPr>
          <w:bCs/>
          <w:iCs/>
          <w:sz w:val="28"/>
          <w:szCs w:val="28"/>
          <w:lang w:val="uk-UA"/>
        </w:rPr>
      </w:pPr>
      <w:r w:rsidRPr="00106984">
        <w:rPr>
          <w:bCs/>
          <w:iCs/>
          <w:sz w:val="28"/>
          <w:szCs w:val="28"/>
          <w:lang w:val="uk-UA"/>
        </w:rPr>
        <w:t>Закон України «Про природні монополії».</w:t>
      </w:r>
    </w:p>
    <w:p w:rsidR="00B03C8E" w:rsidRPr="00106984" w:rsidRDefault="00B03C8E" w:rsidP="00AE371A">
      <w:pPr>
        <w:pStyle w:val="ContinuedBodyText"/>
        <w:spacing w:line="240" w:lineRule="auto"/>
        <w:ind w:firstLine="0"/>
        <w:rPr>
          <w:bCs/>
          <w:iCs/>
          <w:sz w:val="28"/>
          <w:szCs w:val="28"/>
          <w:lang w:val="uk-UA"/>
        </w:rPr>
      </w:pPr>
    </w:p>
    <w:p w:rsidR="00B03C8E" w:rsidRPr="00106984" w:rsidRDefault="00B03C8E" w:rsidP="005F4EA6">
      <w:pPr>
        <w:pStyle w:val="ContinuedBodyText"/>
        <w:rPr>
          <w:b/>
          <w:sz w:val="28"/>
          <w:szCs w:val="28"/>
          <w:lang w:val="uk-UA"/>
        </w:rPr>
      </w:pPr>
      <w:r w:rsidRPr="00106984">
        <w:rPr>
          <w:b/>
          <w:sz w:val="28"/>
          <w:szCs w:val="28"/>
          <w:lang w:val="uk-UA"/>
        </w:rPr>
        <w:t xml:space="preserve">         </w:t>
      </w:r>
    </w:p>
    <w:p w:rsidR="00B03C8E" w:rsidRPr="00106984" w:rsidRDefault="00B03C8E" w:rsidP="00410EDB">
      <w:pPr>
        <w:pStyle w:val="ContinuedBodyText"/>
        <w:numPr>
          <w:ilvl w:val="0"/>
          <w:numId w:val="1"/>
        </w:numPr>
        <w:rPr>
          <w:b/>
          <w:sz w:val="28"/>
          <w:szCs w:val="28"/>
          <w:lang w:val="uk-UA"/>
        </w:rPr>
      </w:pPr>
      <w:r w:rsidRPr="00106984">
        <w:rPr>
          <w:b/>
          <w:sz w:val="28"/>
          <w:szCs w:val="28"/>
          <w:lang w:val="uk-UA"/>
        </w:rPr>
        <w:t>Фінансово-економічне обґрунтування</w:t>
      </w:r>
    </w:p>
    <w:p w:rsidR="00B03C8E" w:rsidRPr="00106984" w:rsidRDefault="00B03C8E" w:rsidP="00103A66">
      <w:pPr>
        <w:pStyle w:val="ContinuedBodyText"/>
        <w:spacing w:line="240" w:lineRule="auto"/>
        <w:ind w:firstLine="567"/>
        <w:rPr>
          <w:bCs/>
          <w:iCs/>
          <w:sz w:val="28"/>
          <w:szCs w:val="28"/>
          <w:lang w:val="uk-UA"/>
        </w:rPr>
      </w:pPr>
      <w:r w:rsidRPr="00106984">
        <w:rPr>
          <w:bCs/>
          <w:iCs/>
          <w:sz w:val="28"/>
          <w:szCs w:val="28"/>
          <w:lang w:val="uk-UA"/>
        </w:rPr>
        <w:t>Прийняття і реалізація законопроекту не потребує виділення додаткових коштів із Державного бюджету України.</w:t>
      </w:r>
    </w:p>
    <w:p w:rsidR="00B03C8E" w:rsidRPr="00106984" w:rsidRDefault="00B03C8E" w:rsidP="00103A66">
      <w:pPr>
        <w:pStyle w:val="ContinuedBodyText"/>
        <w:ind w:firstLine="0"/>
        <w:rPr>
          <w:b/>
          <w:sz w:val="28"/>
          <w:szCs w:val="28"/>
          <w:lang w:val="uk-UA"/>
        </w:rPr>
      </w:pPr>
    </w:p>
    <w:p w:rsidR="00B03C8E" w:rsidRPr="00106984" w:rsidRDefault="00B03C8E" w:rsidP="00103A66">
      <w:pPr>
        <w:pStyle w:val="ContinuedBodyText"/>
        <w:numPr>
          <w:ilvl w:val="0"/>
          <w:numId w:val="1"/>
        </w:numPr>
        <w:rPr>
          <w:b/>
          <w:sz w:val="28"/>
          <w:szCs w:val="28"/>
          <w:lang w:val="uk-UA"/>
        </w:rPr>
      </w:pPr>
      <w:r w:rsidRPr="00106984">
        <w:rPr>
          <w:b/>
          <w:sz w:val="28"/>
          <w:szCs w:val="28"/>
          <w:lang w:val="uk-UA"/>
        </w:rPr>
        <w:t>Позиція заінтересованих органів</w:t>
      </w:r>
    </w:p>
    <w:p w:rsidR="00B03C8E" w:rsidRPr="00106984" w:rsidRDefault="00B03C8E" w:rsidP="00103A66">
      <w:pPr>
        <w:pStyle w:val="ContinuedBodyText"/>
        <w:spacing w:line="240" w:lineRule="auto"/>
        <w:ind w:firstLine="567"/>
        <w:rPr>
          <w:bCs/>
          <w:iCs/>
          <w:sz w:val="28"/>
          <w:szCs w:val="28"/>
          <w:lang w:val="uk-UA"/>
        </w:rPr>
      </w:pPr>
      <w:r w:rsidRPr="00106984">
        <w:rPr>
          <w:bCs/>
          <w:iCs/>
          <w:sz w:val="28"/>
          <w:szCs w:val="28"/>
          <w:lang w:val="uk-UA"/>
        </w:rPr>
        <w:t>Законопроект потребує погодження з Міністерством фінансів</w:t>
      </w:r>
      <w:r>
        <w:rPr>
          <w:bCs/>
          <w:iCs/>
          <w:sz w:val="28"/>
          <w:szCs w:val="28"/>
          <w:lang w:val="uk-UA"/>
        </w:rPr>
        <w:t xml:space="preserve"> України</w:t>
      </w:r>
      <w:r w:rsidRPr="00106984">
        <w:rPr>
          <w:bCs/>
          <w:iCs/>
          <w:sz w:val="28"/>
          <w:szCs w:val="28"/>
          <w:lang w:val="uk-UA"/>
        </w:rPr>
        <w:t>, Міністерством економічного розвитку і торгівлі</w:t>
      </w:r>
      <w:r>
        <w:rPr>
          <w:bCs/>
          <w:iCs/>
          <w:sz w:val="28"/>
          <w:szCs w:val="28"/>
          <w:lang w:val="uk-UA"/>
        </w:rPr>
        <w:t xml:space="preserve"> України</w:t>
      </w:r>
      <w:r w:rsidRPr="00106984">
        <w:rPr>
          <w:bCs/>
          <w:iCs/>
          <w:sz w:val="28"/>
          <w:szCs w:val="28"/>
          <w:lang w:val="uk-UA"/>
        </w:rPr>
        <w:t>, Міністерством регіонального розвитку, будівництва та житлово-комунального господарства України, Міністерством енергетики та вугільної промисловості</w:t>
      </w:r>
      <w:r>
        <w:rPr>
          <w:bCs/>
          <w:iCs/>
          <w:sz w:val="28"/>
          <w:szCs w:val="28"/>
          <w:lang w:val="uk-UA"/>
        </w:rPr>
        <w:t xml:space="preserve"> України</w:t>
      </w:r>
      <w:r w:rsidRPr="00106984">
        <w:rPr>
          <w:bCs/>
          <w:iCs/>
          <w:sz w:val="28"/>
          <w:szCs w:val="28"/>
          <w:lang w:val="uk-UA"/>
        </w:rPr>
        <w:t>, Міністерством юстиції</w:t>
      </w:r>
      <w:r>
        <w:rPr>
          <w:bCs/>
          <w:iCs/>
          <w:sz w:val="28"/>
          <w:szCs w:val="28"/>
          <w:lang w:val="uk-UA"/>
        </w:rPr>
        <w:t xml:space="preserve"> України</w:t>
      </w:r>
      <w:r w:rsidRPr="00106984">
        <w:rPr>
          <w:bCs/>
          <w:iCs/>
          <w:sz w:val="28"/>
          <w:szCs w:val="28"/>
          <w:lang w:val="uk-UA"/>
        </w:rPr>
        <w:t>, Антимонопольним комітетом</w:t>
      </w:r>
      <w:r>
        <w:rPr>
          <w:bCs/>
          <w:iCs/>
          <w:sz w:val="28"/>
          <w:szCs w:val="28"/>
          <w:lang w:val="uk-UA"/>
        </w:rPr>
        <w:t xml:space="preserve"> України</w:t>
      </w:r>
      <w:r w:rsidRPr="00106984">
        <w:rPr>
          <w:bCs/>
          <w:iCs/>
          <w:sz w:val="28"/>
          <w:szCs w:val="28"/>
          <w:lang w:val="uk-UA"/>
        </w:rPr>
        <w:t>, НКРЕКП.</w:t>
      </w:r>
    </w:p>
    <w:p w:rsidR="00B03C8E" w:rsidRPr="00106984" w:rsidRDefault="00B03C8E" w:rsidP="005F4EA6">
      <w:pPr>
        <w:pStyle w:val="ContinuedBodyText"/>
        <w:rPr>
          <w:sz w:val="28"/>
          <w:szCs w:val="28"/>
          <w:lang w:val="uk-UA"/>
        </w:rPr>
      </w:pPr>
    </w:p>
    <w:p w:rsidR="00B03C8E" w:rsidRPr="00106984" w:rsidRDefault="00B03C8E" w:rsidP="00103A66">
      <w:pPr>
        <w:pStyle w:val="ContinuedBodyText"/>
        <w:numPr>
          <w:ilvl w:val="0"/>
          <w:numId w:val="1"/>
        </w:numPr>
        <w:rPr>
          <w:b/>
          <w:sz w:val="28"/>
          <w:szCs w:val="28"/>
          <w:lang w:val="uk-UA"/>
        </w:rPr>
      </w:pPr>
      <w:r w:rsidRPr="00106984">
        <w:rPr>
          <w:b/>
          <w:sz w:val="28"/>
          <w:szCs w:val="28"/>
          <w:lang w:val="uk-UA"/>
        </w:rPr>
        <w:t>Регіональний аспект</w:t>
      </w:r>
    </w:p>
    <w:p w:rsidR="00B03C8E" w:rsidRPr="00106984" w:rsidRDefault="00B03C8E" w:rsidP="00103A66">
      <w:pPr>
        <w:pStyle w:val="ContinuedBodyText"/>
        <w:spacing w:line="240" w:lineRule="auto"/>
        <w:ind w:firstLine="567"/>
        <w:rPr>
          <w:bCs/>
          <w:iCs/>
          <w:sz w:val="28"/>
          <w:szCs w:val="28"/>
          <w:lang w:val="uk-UA"/>
        </w:rPr>
      </w:pPr>
      <w:r w:rsidRPr="00106984">
        <w:rPr>
          <w:bCs/>
          <w:iCs/>
          <w:sz w:val="28"/>
          <w:szCs w:val="28"/>
          <w:lang w:val="uk-UA"/>
        </w:rPr>
        <w:t>Законопроект не стосується питань розвитку адміністративно-територіальних одиниць та функціонування місцевого самоврядування.</w:t>
      </w:r>
    </w:p>
    <w:p w:rsidR="00B03C8E" w:rsidRPr="00106984" w:rsidRDefault="00B03C8E" w:rsidP="00103A66">
      <w:pPr>
        <w:pStyle w:val="ContinuedBodyText"/>
        <w:spacing w:line="240" w:lineRule="auto"/>
        <w:ind w:firstLine="567"/>
        <w:rPr>
          <w:bCs/>
          <w:iCs/>
          <w:sz w:val="28"/>
          <w:szCs w:val="28"/>
          <w:lang w:val="uk-UA"/>
        </w:rPr>
      </w:pPr>
    </w:p>
    <w:p w:rsidR="00B03C8E" w:rsidRPr="00106984" w:rsidRDefault="00B03C8E" w:rsidP="000C541D">
      <w:pPr>
        <w:pStyle w:val="ContinuedBodyText"/>
        <w:ind w:firstLine="709"/>
        <w:rPr>
          <w:b/>
          <w:sz w:val="28"/>
          <w:szCs w:val="28"/>
          <w:lang w:val="uk-UA"/>
        </w:rPr>
      </w:pPr>
      <w:r w:rsidRPr="00106984">
        <w:rPr>
          <w:b/>
          <w:sz w:val="28"/>
          <w:szCs w:val="28"/>
          <w:lang w:val="uk-UA"/>
        </w:rPr>
        <w:t>6</w:t>
      </w:r>
      <w:r w:rsidRPr="00106984">
        <w:rPr>
          <w:b/>
          <w:sz w:val="28"/>
          <w:szCs w:val="28"/>
          <w:vertAlign w:val="superscript"/>
          <w:lang w:val="uk-UA"/>
        </w:rPr>
        <w:t>1</w:t>
      </w:r>
      <w:r w:rsidRPr="00106984">
        <w:rPr>
          <w:b/>
          <w:sz w:val="28"/>
          <w:szCs w:val="28"/>
          <w:lang w:val="uk-UA"/>
        </w:rPr>
        <w:t>. Запобігання дискримінації</w:t>
      </w:r>
    </w:p>
    <w:p w:rsidR="00B03C8E" w:rsidRDefault="00B03C8E" w:rsidP="000C541D">
      <w:pPr>
        <w:pStyle w:val="ContinuedBodyText"/>
        <w:spacing w:line="240" w:lineRule="auto"/>
        <w:ind w:firstLine="567"/>
        <w:rPr>
          <w:bCs/>
          <w:iCs/>
          <w:sz w:val="28"/>
          <w:szCs w:val="28"/>
          <w:lang w:val="uk-UA"/>
        </w:rPr>
      </w:pPr>
      <w:r w:rsidRPr="00106984">
        <w:rPr>
          <w:bCs/>
          <w:iCs/>
          <w:sz w:val="28"/>
          <w:szCs w:val="28"/>
          <w:lang w:val="uk-UA"/>
        </w:rPr>
        <w:t>У Законопроекті відсутні положення, які містять ознаки дискримінації.</w:t>
      </w:r>
    </w:p>
    <w:p w:rsidR="00B03C8E" w:rsidRPr="003E3172" w:rsidRDefault="00B03C8E" w:rsidP="00B97FDF">
      <w:pPr>
        <w:ind w:firstLine="709"/>
        <w:rPr>
          <w:rFonts w:ascii="Times New Roman" w:hAnsi="Times New Roman"/>
          <w:sz w:val="28"/>
          <w:szCs w:val="28"/>
        </w:rPr>
      </w:pPr>
      <w:r w:rsidRPr="003E3172">
        <w:rPr>
          <w:rFonts w:ascii="Times New Roman" w:hAnsi="Times New Roman"/>
          <w:sz w:val="28"/>
          <w:szCs w:val="28"/>
        </w:rPr>
        <w:t>Громадська антидискримінаційна експертиза не проводилась.</w:t>
      </w:r>
    </w:p>
    <w:p w:rsidR="00B03C8E" w:rsidRPr="00106984" w:rsidRDefault="00B03C8E" w:rsidP="00103A66">
      <w:pPr>
        <w:pStyle w:val="ContinuedBodyText"/>
        <w:numPr>
          <w:ilvl w:val="0"/>
          <w:numId w:val="1"/>
        </w:numPr>
        <w:rPr>
          <w:b/>
          <w:sz w:val="28"/>
          <w:szCs w:val="28"/>
          <w:lang w:val="uk-UA"/>
        </w:rPr>
      </w:pPr>
      <w:r w:rsidRPr="00106984">
        <w:rPr>
          <w:b/>
          <w:sz w:val="28"/>
          <w:szCs w:val="28"/>
          <w:lang w:val="uk-UA"/>
        </w:rPr>
        <w:t>Запобігання корупції</w:t>
      </w:r>
    </w:p>
    <w:p w:rsidR="00B03C8E" w:rsidRPr="00106984" w:rsidRDefault="00B03C8E" w:rsidP="00103A66">
      <w:pPr>
        <w:pStyle w:val="ListParagraph"/>
        <w:spacing w:line="240" w:lineRule="auto"/>
        <w:ind w:left="0" w:firstLine="567"/>
        <w:rPr>
          <w:sz w:val="28"/>
          <w:szCs w:val="28"/>
          <w:lang w:val="uk-UA"/>
        </w:rPr>
      </w:pPr>
      <w:r w:rsidRPr="00106984">
        <w:rPr>
          <w:sz w:val="28"/>
          <w:szCs w:val="28"/>
          <w:lang w:val="uk-UA" w:eastAsia="ru-RU"/>
        </w:rPr>
        <w:t xml:space="preserve">Законопроект </w:t>
      </w:r>
      <w:r w:rsidRPr="00106984">
        <w:rPr>
          <w:sz w:val="28"/>
          <w:szCs w:val="28"/>
          <w:lang w:val="uk-UA"/>
        </w:rPr>
        <w:t>не містить норм, що можуть сприяти вчиненню корупційних правопорушень.</w:t>
      </w:r>
    </w:p>
    <w:p w:rsidR="00B03C8E" w:rsidRPr="00B97FDF" w:rsidRDefault="00B03C8E" w:rsidP="00B97FDF">
      <w:pPr>
        <w:pStyle w:val="ContinuedBodyText"/>
        <w:ind w:firstLine="720"/>
        <w:rPr>
          <w:sz w:val="28"/>
          <w:szCs w:val="28"/>
          <w:lang w:val="uk-UA"/>
        </w:rPr>
      </w:pPr>
      <w:r w:rsidRPr="00B97FDF">
        <w:rPr>
          <w:sz w:val="28"/>
          <w:szCs w:val="28"/>
          <w:lang w:val="uk-UA"/>
        </w:rPr>
        <w:t>Громадська антикорупційна експертиза не проводилась.</w:t>
      </w:r>
    </w:p>
    <w:p w:rsidR="00B03C8E" w:rsidRPr="00B97FDF" w:rsidRDefault="00B03C8E" w:rsidP="005F4EA6">
      <w:pPr>
        <w:pStyle w:val="ContinuedBodyText"/>
        <w:rPr>
          <w:sz w:val="28"/>
          <w:szCs w:val="28"/>
          <w:lang w:val="ru-RU"/>
        </w:rPr>
      </w:pPr>
    </w:p>
    <w:p w:rsidR="00B03C8E" w:rsidRPr="00106984" w:rsidRDefault="00B03C8E" w:rsidP="00103A66">
      <w:pPr>
        <w:pStyle w:val="ContinuedBodyText"/>
        <w:numPr>
          <w:ilvl w:val="0"/>
          <w:numId w:val="1"/>
        </w:numPr>
        <w:rPr>
          <w:b/>
          <w:sz w:val="28"/>
          <w:szCs w:val="28"/>
          <w:lang w:val="uk-UA"/>
        </w:rPr>
      </w:pPr>
      <w:r w:rsidRPr="00106984">
        <w:rPr>
          <w:b/>
          <w:sz w:val="28"/>
          <w:szCs w:val="28"/>
          <w:lang w:val="uk-UA"/>
        </w:rPr>
        <w:t>Громадське обговорення</w:t>
      </w:r>
    </w:p>
    <w:p w:rsidR="00B03C8E" w:rsidRPr="00767115" w:rsidRDefault="00B03C8E" w:rsidP="00B97FDF">
      <w:pPr>
        <w:widowControl w:val="0"/>
        <w:autoSpaceDE w:val="0"/>
        <w:autoSpaceDN w:val="0"/>
        <w:adjustRightInd w:val="0"/>
        <w:spacing w:after="0" w:line="240" w:lineRule="auto"/>
        <w:ind w:firstLine="720"/>
        <w:jc w:val="both"/>
        <w:rPr>
          <w:rFonts w:ascii="Times New Roman" w:hAnsi="Times New Roman"/>
          <w:b/>
          <w:sz w:val="28"/>
          <w:szCs w:val="28"/>
        </w:rPr>
      </w:pPr>
      <w:r w:rsidRPr="007732D0">
        <w:rPr>
          <w:rFonts w:ascii="Times New Roman" w:hAnsi="Times New Roman"/>
          <w:sz w:val="28"/>
          <w:szCs w:val="28"/>
        </w:rPr>
        <w:t xml:space="preserve">Редакцію проекту Закону України </w:t>
      </w:r>
      <w:r w:rsidRPr="000C4E98">
        <w:rPr>
          <w:rFonts w:ascii="Times New Roman" w:hAnsi="Times New Roman"/>
          <w:sz w:val="28"/>
          <w:szCs w:val="28"/>
        </w:rPr>
        <w:t xml:space="preserve">«Про </w:t>
      </w:r>
      <w:r>
        <w:rPr>
          <w:rFonts w:ascii="Times New Roman" w:hAnsi="Times New Roman"/>
          <w:sz w:val="28"/>
          <w:szCs w:val="28"/>
        </w:rPr>
        <w:t>внесення змін до Закону України «Про природні монополії</w:t>
      </w:r>
      <w:r w:rsidRPr="000C4E98">
        <w:rPr>
          <w:rFonts w:ascii="Times New Roman" w:hAnsi="Times New Roman"/>
          <w:sz w:val="28"/>
          <w:szCs w:val="28"/>
        </w:rPr>
        <w:t>»</w:t>
      </w:r>
      <w:r w:rsidRPr="007732D0">
        <w:rPr>
          <w:rFonts w:ascii="Times New Roman" w:hAnsi="Times New Roman"/>
          <w:sz w:val="28"/>
          <w:szCs w:val="28"/>
        </w:rPr>
        <w:t xml:space="preserve"> розміщено </w:t>
      </w:r>
      <w:r>
        <w:rPr>
          <w:rFonts w:ascii="Times New Roman" w:hAnsi="Times New Roman"/>
          <w:sz w:val="28"/>
          <w:szCs w:val="28"/>
        </w:rPr>
        <w:t xml:space="preserve">для громадського обговорення </w:t>
      </w:r>
      <w:r w:rsidRPr="007732D0">
        <w:rPr>
          <w:rFonts w:ascii="Times New Roman" w:hAnsi="Times New Roman"/>
          <w:sz w:val="28"/>
          <w:szCs w:val="28"/>
        </w:rPr>
        <w:t>на офіційн</w:t>
      </w:r>
      <w:r>
        <w:rPr>
          <w:rFonts w:ascii="Times New Roman" w:hAnsi="Times New Roman"/>
          <w:sz w:val="28"/>
          <w:szCs w:val="28"/>
        </w:rPr>
        <w:t>ому</w:t>
      </w:r>
      <w:r w:rsidRPr="007732D0">
        <w:rPr>
          <w:rFonts w:ascii="Times New Roman" w:hAnsi="Times New Roman"/>
          <w:sz w:val="28"/>
          <w:szCs w:val="28"/>
        </w:rPr>
        <w:t xml:space="preserve"> веб-с</w:t>
      </w:r>
      <w:r>
        <w:rPr>
          <w:rFonts w:ascii="Times New Roman" w:hAnsi="Times New Roman"/>
          <w:sz w:val="28"/>
          <w:szCs w:val="28"/>
        </w:rPr>
        <w:t xml:space="preserve">айті Мінрегіону: </w:t>
      </w:r>
      <w:hyperlink r:id="rId7" w:history="1">
        <w:r w:rsidRPr="00E34653">
          <w:rPr>
            <w:rStyle w:val="Hyperlink"/>
            <w:rFonts w:ascii="Times New Roman" w:hAnsi="Times New Roman"/>
            <w:color w:val="auto"/>
            <w:sz w:val="28"/>
            <w:szCs w:val="28"/>
            <w:u w:val="none"/>
            <w:lang w:val="en-US"/>
          </w:rPr>
          <w:t>www</w:t>
        </w:r>
        <w:r w:rsidRPr="00E34653">
          <w:rPr>
            <w:rStyle w:val="Hyperlink"/>
            <w:rFonts w:ascii="Times New Roman" w:hAnsi="Times New Roman"/>
            <w:color w:val="auto"/>
            <w:sz w:val="28"/>
            <w:szCs w:val="28"/>
            <w:u w:val="none"/>
            <w:lang w:val="ru-RU"/>
          </w:rPr>
          <w:t>.</w:t>
        </w:r>
        <w:r w:rsidRPr="00E34653">
          <w:rPr>
            <w:rStyle w:val="Hyperlink"/>
            <w:rFonts w:ascii="Times New Roman" w:hAnsi="Times New Roman"/>
            <w:color w:val="auto"/>
            <w:sz w:val="28"/>
            <w:szCs w:val="28"/>
            <w:u w:val="none"/>
            <w:lang w:val="en-US"/>
          </w:rPr>
          <w:t>minregion</w:t>
        </w:r>
        <w:r w:rsidRPr="00E34653">
          <w:rPr>
            <w:rStyle w:val="Hyperlink"/>
            <w:rFonts w:ascii="Times New Roman" w:hAnsi="Times New Roman"/>
            <w:color w:val="auto"/>
            <w:sz w:val="28"/>
            <w:szCs w:val="28"/>
            <w:u w:val="none"/>
            <w:lang w:val="ru-RU"/>
          </w:rPr>
          <w:t>.</w:t>
        </w:r>
        <w:r w:rsidRPr="00E34653">
          <w:rPr>
            <w:rStyle w:val="Hyperlink"/>
            <w:rFonts w:ascii="Times New Roman" w:hAnsi="Times New Roman"/>
            <w:color w:val="auto"/>
            <w:sz w:val="28"/>
            <w:szCs w:val="28"/>
            <w:u w:val="none"/>
            <w:lang w:val="en-US"/>
          </w:rPr>
          <w:t>gov</w:t>
        </w:r>
        <w:r w:rsidRPr="00E34653">
          <w:rPr>
            <w:rStyle w:val="Hyperlink"/>
            <w:rFonts w:ascii="Times New Roman" w:hAnsi="Times New Roman"/>
            <w:color w:val="auto"/>
            <w:sz w:val="28"/>
            <w:szCs w:val="28"/>
            <w:u w:val="none"/>
            <w:lang w:val="ru-RU"/>
          </w:rPr>
          <w:t>.</w:t>
        </w:r>
        <w:r w:rsidRPr="00E34653">
          <w:rPr>
            <w:rStyle w:val="Hyperlink"/>
            <w:rFonts w:ascii="Times New Roman" w:hAnsi="Times New Roman"/>
            <w:color w:val="auto"/>
            <w:sz w:val="28"/>
            <w:szCs w:val="28"/>
            <w:u w:val="none"/>
            <w:lang w:val="en-US"/>
          </w:rPr>
          <w:t>ua</w:t>
        </w:r>
      </w:hyperlink>
      <w:r w:rsidRPr="00E34653">
        <w:rPr>
          <w:rFonts w:ascii="Times New Roman" w:hAnsi="Times New Roman"/>
          <w:sz w:val="28"/>
          <w:szCs w:val="28"/>
          <w:lang w:val="ru-RU"/>
        </w:rPr>
        <w:t xml:space="preserve"> </w:t>
      </w:r>
      <w:r>
        <w:rPr>
          <w:rFonts w:ascii="Times New Roman" w:hAnsi="Times New Roman"/>
          <w:sz w:val="28"/>
          <w:szCs w:val="28"/>
        </w:rPr>
        <w:t>та</w:t>
      </w:r>
      <w:r w:rsidRPr="00E34653">
        <w:rPr>
          <w:rFonts w:ascii="Times New Roman" w:hAnsi="Times New Roman"/>
          <w:sz w:val="28"/>
          <w:szCs w:val="28"/>
          <w:lang w:val="ru-RU"/>
        </w:rPr>
        <w:t xml:space="preserve"> </w:t>
      </w:r>
      <w:r>
        <w:rPr>
          <w:rFonts w:ascii="Times New Roman" w:hAnsi="Times New Roman"/>
          <w:sz w:val="28"/>
          <w:szCs w:val="28"/>
        </w:rPr>
        <w:t xml:space="preserve">Держенергоефективності: </w:t>
      </w:r>
      <w:r>
        <w:rPr>
          <w:rFonts w:ascii="Times New Roman" w:hAnsi="Times New Roman"/>
          <w:sz w:val="28"/>
          <w:szCs w:val="28"/>
          <w:lang w:val="en-US"/>
        </w:rPr>
        <w:t>www</w:t>
      </w:r>
      <w:r w:rsidRPr="00C30F32">
        <w:rPr>
          <w:rFonts w:ascii="Times New Roman" w:hAnsi="Times New Roman"/>
          <w:sz w:val="28"/>
          <w:szCs w:val="28"/>
          <w:lang w:val="ru-RU"/>
        </w:rPr>
        <w:t>.</w:t>
      </w:r>
      <w:r>
        <w:rPr>
          <w:rFonts w:ascii="Times New Roman" w:hAnsi="Times New Roman"/>
          <w:sz w:val="28"/>
          <w:szCs w:val="28"/>
          <w:lang w:val="en-US"/>
        </w:rPr>
        <w:t>saee</w:t>
      </w:r>
      <w:r w:rsidRPr="00C30F32">
        <w:rPr>
          <w:rFonts w:ascii="Times New Roman" w:hAnsi="Times New Roman"/>
          <w:sz w:val="28"/>
          <w:szCs w:val="28"/>
          <w:lang w:val="ru-RU"/>
        </w:rPr>
        <w:t>.</w:t>
      </w:r>
      <w:r>
        <w:rPr>
          <w:rFonts w:ascii="Times New Roman" w:hAnsi="Times New Roman"/>
          <w:sz w:val="28"/>
          <w:szCs w:val="28"/>
          <w:lang w:val="en-US"/>
        </w:rPr>
        <w:t>gov</w:t>
      </w:r>
      <w:r w:rsidRPr="00C30F32">
        <w:rPr>
          <w:rFonts w:ascii="Times New Roman" w:hAnsi="Times New Roman"/>
          <w:sz w:val="28"/>
          <w:szCs w:val="28"/>
          <w:lang w:val="ru-RU"/>
        </w:rPr>
        <w:t>.</w:t>
      </w:r>
      <w:r>
        <w:rPr>
          <w:rFonts w:ascii="Times New Roman" w:hAnsi="Times New Roman"/>
          <w:sz w:val="28"/>
          <w:szCs w:val="28"/>
          <w:lang w:val="en-US"/>
        </w:rPr>
        <w:t>ua</w:t>
      </w:r>
      <w:r w:rsidRPr="007732D0">
        <w:rPr>
          <w:rFonts w:ascii="Times New Roman" w:hAnsi="Times New Roman"/>
          <w:sz w:val="28"/>
          <w:szCs w:val="28"/>
        </w:rPr>
        <w:t>.</w:t>
      </w:r>
    </w:p>
    <w:p w:rsidR="00B03C8E" w:rsidRPr="00106984" w:rsidRDefault="00B03C8E" w:rsidP="005F4EA6">
      <w:pPr>
        <w:pStyle w:val="ContinuedBodyText"/>
        <w:rPr>
          <w:sz w:val="28"/>
          <w:szCs w:val="28"/>
          <w:lang w:val="uk-UA"/>
        </w:rPr>
      </w:pPr>
    </w:p>
    <w:p w:rsidR="00B03C8E" w:rsidRPr="00106984" w:rsidRDefault="00B03C8E" w:rsidP="00103A66">
      <w:pPr>
        <w:pStyle w:val="ContinuedBodyText"/>
        <w:numPr>
          <w:ilvl w:val="0"/>
          <w:numId w:val="1"/>
        </w:numPr>
        <w:rPr>
          <w:b/>
          <w:sz w:val="28"/>
          <w:szCs w:val="28"/>
          <w:lang w:val="uk-UA"/>
        </w:rPr>
      </w:pPr>
      <w:r w:rsidRPr="00106984">
        <w:rPr>
          <w:b/>
          <w:sz w:val="28"/>
          <w:szCs w:val="28"/>
          <w:lang w:val="uk-UA"/>
        </w:rPr>
        <w:t>Позиція соціальних партнерів</w:t>
      </w:r>
    </w:p>
    <w:p w:rsidR="00B03C8E" w:rsidRPr="00106984" w:rsidRDefault="00B03C8E" w:rsidP="00103A66">
      <w:pPr>
        <w:pStyle w:val="ContinuedBodyText"/>
        <w:ind w:firstLine="567"/>
        <w:rPr>
          <w:sz w:val="28"/>
          <w:szCs w:val="28"/>
          <w:lang w:val="uk-UA"/>
        </w:rPr>
      </w:pPr>
      <w:r w:rsidRPr="00106984">
        <w:rPr>
          <w:sz w:val="28"/>
          <w:szCs w:val="28"/>
          <w:lang w:val="uk-UA"/>
        </w:rPr>
        <w:t>Законопроект не стосується питань соціально-трудової сфери.</w:t>
      </w:r>
    </w:p>
    <w:p w:rsidR="00B03C8E" w:rsidRPr="00106984" w:rsidRDefault="00B03C8E" w:rsidP="005F4EA6">
      <w:pPr>
        <w:pStyle w:val="ContinuedBodyText"/>
        <w:rPr>
          <w:sz w:val="28"/>
          <w:szCs w:val="28"/>
          <w:lang w:val="uk-UA"/>
        </w:rPr>
      </w:pPr>
    </w:p>
    <w:p w:rsidR="00B03C8E" w:rsidRPr="00106984" w:rsidRDefault="00B03C8E" w:rsidP="00103A66">
      <w:pPr>
        <w:pStyle w:val="ContinuedBodyText"/>
        <w:numPr>
          <w:ilvl w:val="0"/>
          <w:numId w:val="1"/>
        </w:numPr>
        <w:rPr>
          <w:b/>
          <w:sz w:val="28"/>
          <w:szCs w:val="28"/>
          <w:lang w:val="uk-UA"/>
        </w:rPr>
      </w:pPr>
      <w:r w:rsidRPr="00106984">
        <w:rPr>
          <w:b/>
          <w:sz w:val="28"/>
          <w:szCs w:val="28"/>
          <w:lang w:val="uk-UA"/>
        </w:rPr>
        <w:t xml:space="preserve"> Оцінка регуляторного впливу</w:t>
      </w:r>
    </w:p>
    <w:p w:rsidR="00B03C8E" w:rsidRPr="00106984" w:rsidRDefault="00B03C8E" w:rsidP="00103A66">
      <w:pPr>
        <w:pStyle w:val="ContinuedBodyText"/>
        <w:ind w:firstLine="567"/>
        <w:rPr>
          <w:sz w:val="28"/>
          <w:szCs w:val="28"/>
          <w:lang w:val="uk-UA"/>
        </w:rPr>
      </w:pPr>
      <w:r w:rsidRPr="00106984">
        <w:rPr>
          <w:sz w:val="28"/>
          <w:szCs w:val="28"/>
          <w:lang w:val="uk-UA"/>
        </w:rPr>
        <w:t>Законопроект є регуляторним актом.</w:t>
      </w:r>
    </w:p>
    <w:p w:rsidR="00B03C8E" w:rsidRPr="00106984" w:rsidRDefault="00B03C8E" w:rsidP="00103A66">
      <w:pPr>
        <w:pStyle w:val="ContinuedBodyText"/>
        <w:ind w:firstLine="567"/>
        <w:rPr>
          <w:sz w:val="28"/>
          <w:szCs w:val="28"/>
          <w:lang w:val="uk-UA"/>
        </w:rPr>
      </w:pPr>
    </w:p>
    <w:p w:rsidR="00B03C8E" w:rsidRPr="00106984" w:rsidRDefault="00B03C8E" w:rsidP="00094951">
      <w:pPr>
        <w:pStyle w:val="ContinuedBodyText"/>
        <w:jc w:val="center"/>
        <w:rPr>
          <w:b/>
          <w:sz w:val="28"/>
          <w:szCs w:val="28"/>
          <w:lang w:val="uk-UA"/>
        </w:rPr>
      </w:pPr>
      <w:r w:rsidRPr="00106984">
        <w:rPr>
          <w:b/>
          <w:sz w:val="28"/>
          <w:szCs w:val="28"/>
          <w:lang w:val="uk-UA"/>
        </w:rPr>
        <w:t>Обґрунтування необхідності державного регулювання шляхом прийняття регуляторного акта</w:t>
      </w:r>
    </w:p>
    <w:p w:rsidR="00B03C8E" w:rsidRPr="00106984" w:rsidRDefault="00B03C8E" w:rsidP="00094951">
      <w:pPr>
        <w:spacing w:line="240" w:lineRule="auto"/>
        <w:ind w:firstLine="709"/>
        <w:jc w:val="center"/>
        <w:rPr>
          <w:b/>
          <w:sz w:val="27"/>
          <w:szCs w:val="27"/>
        </w:rPr>
      </w:pPr>
    </w:p>
    <w:p w:rsidR="00B03C8E" w:rsidRPr="00106984" w:rsidRDefault="00B03C8E" w:rsidP="00094951">
      <w:pPr>
        <w:pStyle w:val="ContinuedBodyText"/>
        <w:ind w:firstLine="567"/>
        <w:rPr>
          <w:sz w:val="28"/>
          <w:szCs w:val="28"/>
          <w:lang w:val="uk-UA"/>
        </w:rPr>
      </w:pPr>
      <w:r w:rsidRPr="00106984">
        <w:rPr>
          <w:sz w:val="28"/>
          <w:szCs w:val="28"/>
          <w:lang w:val="uk-UA"/>
        </w:rPr>
        <w:t>Очікувані результати прийняття цього регуляторного акта визначалися із застосуванням методу аналізу вигод та витрат у простій формі щодо:</w:t>
      </w:r>
    </w:p>
    <w:p w:rsidR="00B03C8E" w:rsidRPr="00106984" w:rsidRDefault="00B03C8E" w:rsidP="00094951">
      <w:pPr>
        <w:pStyle w:val="ContinuedBodyText"/>
        <w:ind w:firstLine="567"/>
        <w:rPr>
          <w:sz w:val="28"/>
          <w:szCs w:val="28"/>
          <w:lang w:val="uk-UA"/>
        </w:rPr>
      </w:pPr>
      <w:r w:rsidRPr="00106984">
        <w:rPr>
          <w:sz w:val="28"/>
          <w:szCs w:val="28"/>
          <w:lang w:val="uk-UA"/>
        </w:rPr>
        <w:t>держави;</w:t>
      </w:r>
    </w:p>
    <w:p w:rsidR="00B03C8E" w:rsidRPr="00106984" w:rsidRDefault="00B03C8E" w:rsidP="00094951">
      <w:pPr>
        <w:pStyle w:val="ContinuedBodyText"/>
        <w:ind w:firstLine="567"/>
        <w:rPr>
          <w:sz w:val="28"/>
          <w:szCs w:val="28"/>
          <w:lang w:val="uk-UA"/>
        </w:rPr>
      </w:pPr>
      <w:r w:rsidRPr="00106984">
        <w:rPr>
          <w:sz w:val="28"/>
          <w:szCs w:val="28"/>
          <w:lang w:val="uk-UA"/>
        </w:rPr>
        <w:t>ринкового середовища, суб’єктів господарювання;</w:t>
      </w:r>
    </w:p>
    <w:p w:rsidR="00B03C8E" w:rsidRPr="00106984" w:rsidRDefault="00B03C8E" w:rsidP="00094951">
      <w:pPr>
        <w:pStyle w:val="ContinuedBodyText"/>
        <w:ind w:firstLine="567"/>
        <w:rPr>
          <w:sz w:val="28"/>
          <w:szCs w:val="28"/>
          <w:lang w:val="uk-UA"/>
        </w:rPr>
      </w:pPr>
      <w:r w:rsidRPr="00106984">
        <w:rPr>
          <w:sz w:val="28"/>
          <w:szCs w:val="28"/>
          <w:lang w:val="uk-UA"/>
        </w:rPr>
        <w:t>громадян.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7"/>
        <w:gridCol w:w="4804"/>
      </w:tblGrid>
      <w:tr w:rsidR="00B03C8E" w:rsidRPr="00106984" w:rsidTr="00EA76E3">
        <w:tc>
          <w:tcPr>
            <w:tcW w:w="4767" w:type="dxa"/>
          </w:tcPr>
          <w:p w:rsidR="00B03C8E" w:rsidRPr="00106984" w:rsidRDefault="00B03C8E" w:rsidP="00EA76E3">
            <w:pPr>
              <w:pStyle w:val="ContinuedBodyText"/>
              <w:spacing w:line="240" w:lineRule="auto"/>
              <w:ind w:firstLine="0"/>
              <w:jc w:val="center"/>
              <w:rPr>
                <w:bCs/>
                <w:iCs/>
                <w:sz w:val="28"/>
                <w:szCs w:val="28"/>
                <w:lang w:val="uk-UA"/>
              </w:rPr>
            </w:pPr>
            <w:r w:rsidRPr="00106984">
              <w:rPr>
                <w:bCs/>
                <w:iCs/>
                <w:sz w:val="28"/>
                <w:szCs w:val="28"/>
                <w:lang w:val="uk-UA"/>
              </w:rPr>
              <w:t>Витрати</w:t>
            </w:r>
          </w:p>
        </w:tc>
        <w:tc>
          <w:tcPr>
            <w:tcW w:w="4804" w:type="dxa"/>
          </w:tcPr>
          <w:p w:rsidR="00B03C8E" w:rsidRPr="00106984" w:rsidRDefault="00B03C8E" w:rsidP="00EA76E3">
            <w:pPr>
              <w:pStyle w:val="ContinuedBodyText"/>
              <w:spacing w:line="240" w:lineRule="auto"/>
              <w:ind w:firstLine="0"/>
              <w:jc w:val="center"/>
              <w:rPr>
                <w:bCs/>
                <w:iCs/>
                <w:sz w:val="28"/>
                <w:szCs w:val="28"/>
                <w:lang w:val="uk-UA"/>
              </w:rPr>
            </w:pPr>
            <w:r w:rsidRPr="00106984">
              <w:rPr>
                <w:bCs/>
                <w:iCs/>
                <w:sz w:val="28"/>
                <w:szCs w:val="28"/>
                <w:lang w:val="uk-UA"/>
              </w:rPr>
              <w:t>Вигоди</w:t>
            </w:r>
          </w:p>
        </w:tc>
      </w:tr>
      <w:tr w:rsidR="00B03C8E" w:rsidRPr="00106984" w:rsidTr="00EA76E3">
        <w:tc>
          <w:tcPr>
            <w:tcW w:w="9571" w:type="dxa"/>
            <w:gridSpan w:val="2"/>
          </w:tcPr>
          <w:p w:rsidR="00B03C8E" w:rsidRPr="00106984" w:rsidRDefault="00B03C8E" w:rsidP="00EA76E3">
            <w:pPr>
              <w:pStyle w:val="ContinuedBodyText"/>
              <w:spacing w:line="240" w:lineRule="auto"/>
              <w:ind w:firstLine="0"/>
              <w:jc w:val="center"/>
              <w:rPr>
                <w:bCs/>
                <w:iCs/>
                <w:sz w:val="28"/>
                <w:szCs w:val="28"/>
                <w:lang w:val="uk-UA"/>
              </w:rPr>
            </w:pPr>
            <w:r w:rsidRPr="00106984">
              <w:rPr>
                <w:bCs/>
                <w:iCs/>
                <w:sz w:val="28"/>
                <w:szCs w:val="28"/>
                <w:lang w:val="uk-UA"/>
              </w:rPr>
              <w:t>Держава</w:t>
            </w:r>
          </w:p>
        </w:tc>
      </w:tr>
      <w:tr w:rsidR="00B03C8E" w:rsidRPr="00106984" w:rsidTr="00EA76E3">
        <w:tc>
          <w:tcPr>
            <w:tcW w:w="476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 xml:space="preserve">Відсутні </w:t>
            </w:r>
          </w:p>
        </w:tc>
        <w:tc>
          <w:tcPr>
            <w:tcW w:w="4804"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Удосконалення системи державного регулювання шляхом поширення дії стимулюючого регулювання на суб’єктів, що провадять діяльність на суміжних ринках</w:t>
            </w:r>
            <w:r>
              <w:rPr>
                <w:bCs/>
                <w:iCs/>
                <w:sz w:val="28"/>
                <w:szCs w:val="28"/>
                <w:lang w:val="uk-UA"/>
              </w:rPr>
              <w:t>,</w:t>
            </w:r>
            <w:r w:rsidRPr="00106984">
              <w:rPr>
                <w:bCs/>
                <w:iCs/>
                <w:sz w:val="28"/>
                <w:szCs w:val="28"/>
                <w:lang w:val="uk-UA"/>
              </w:rPr>
              <w:t xml:space="preserve"> та забезпечення єдиних підходів до визначення  амортизаційних відрахувань як складової тарифів </w:t>
            </w:r>
          </w:p>
        </w:tc>
      </w:tr>
      <w:tr w:rsidR="00B03C8E" w:rsidRPr="00106984" w:rsidTr="00EA76E3">
        <w:tc>
          <w:tcPr>
            <w:tcW w:w="9571" w:type="dxa"/>
            <w:gridSpan w:val="2"/>
          </w:tcPr>
          <w:p w:rsidR="00B03C8E" w:rsidRPr="00106984" w:rsidRDefault="00B03C8E" w:rsidP="00EA76E3">
            <w:pPr>
              <w:pStyle w:val="ContinuedBodyText"/>
              <w:spacing w:line="240" w:lineRule="auto"/>
              <w:ind w:firstLine="0"/>
              <w:jc w:val="center"/>
              <w:rPr>
                <w:bCs/>
                <w:iCs/>
                <w:sz w:val="28"/>
                <w:szCs w:val="28"/>
                <w:lang w:val="uk-UA"/>
              </w:rPr>
            </w:pPr>
            <w:r w:rsidRPr="00106984">
              <w:rPr>
                <w:bCs/>
                <w:iCs/>
                <w:sz w:val="28"/>
                <w:szCs w:val="28"/>
                <w:lang w:val="uk-UA"/>
              </w:rPr>
              <w:t>Ринкове середовище, суб’єкти господарювання</w:t>
            </w:r>
          </w:p>
        </w:tc>
      </w:tr>
      <w:tr w:rsidR="00B03C8E" w:rsidRPr="00106984" w:rsidTr="00EA76E3">
        <w:tc>
          <w:tcPr>
            <w:tcW w:w="476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Відсутні</w:t>
            </w:r>
          </w:p>
        </w:tc>
        <w:tc>
          <w:tcPr>
            <w:tcW w:w="4804"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 xml:space="preserve">Створення стимулів для підвищення </w:t>
            </w:r>
            <w:r>
              <w:rPr>
                <w:bCs/>
                <w:iCs/>
                <w:sz w:val="28"/>
                <w:szCs w:val="28"/>
                <w:lang w:val="uk-UA"/>
              </w:rPr>
              <w:t>енерго</w:t>
            </w:r>
            <w:r w:rsidRPr="00106984">
              <w:rPr>
                <w:bCs/>
                <w:iCs/>
                <w:sz w:val="28"/>
                <w:szCs w:val="28"/>
                <w:lang w:val="uk-UA"/>
              </w:rPr>
              <w:t>ефективності та залучення інвестицій для оновлення основних фондів. Провадження діяльності в умовах чітко визначених підходів до розрахунку амортизаційних відрахувань як складової тарифів</w:t>
            </w:r>
          </w:p>
        </w:tc>
      </w:tr>
      <w:tr w:rsidR="00B03C8E" w:rsidRPr="00106984" w:rsidTr="00EA76E3">
        <w:tc>
          <w:tcPr>
            <w:tcW w:w="9571" w:type="dxa"/>
            <w:gridSpan w:val="2"/>
          </w:tcPr>
          <w:p w:rsidR="00B03C8E" w:rsidRPr="00106984" w:rsidRDefault="00B03C8E" w:rsidP="00EA76E3">
            <w:pPr>
              <w:pStyle w:val="ContinuedBodyText"/>
              <w:spacing w:line="240" w:lineRule="auto"/>
              <w:ind w:firstLine="0"/>
              <w:jc w:val="center"/>
              <w:rPr>
                <w:bCs/>
                <w:iCs/>
                <w:sz w:val="28"/>
                <w:szCs w:val="28"/>
                <w:lang w:val="uk-UA"/>
              </w:rPr>
            </w:pPr>
            <w:r w:rsidRPr="00106984">
              <w:rPr>
                <w:bCs/>
                <w:iCs/>
                <w:sz w:val="28"/>
                <w:szCs w:val="28"/>
                <w:lang w:val="uk-UA"/>
              </w:rPr>
              <w:t>Громадяни</w:t>
            </w:r>
          </w:p>
        </w:tc>
      </w:tr>
      <w:tr w:rsidR="00B03C8E" w:rsidRPr="00106984" w:rsidTr="00EA76E3">
        <w:tc>
          <w:tcPr>
            <w:tcW w:w="476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Відсутні</w:t>
            </w:r>
          </w:p>
        </w:tc>
        <w:tc>
          <w:tcPr>
            <w:tcW w:w="4804" w:type="dxa"/>
            <w:vAlign w:val="center"/>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 xml:space="preserve">Забезпечення захисту інтересів споживачів </w:t>
            </w:r>
          </w:p>
        </w:tc>
      </w:tr>
    </w:tbl>
    <w:p w:rsidR="00B03C8E" w:rsidRPr="00106984" w:rsidRDefault="00B03C8E" w:rsidP="00094951">
      <w:pPr>
        <w:pStyle w:val="ContinuedBodyText"/>
        <w:ind w:firstLine="567"/>
        <w:rPr>
          <w:sz w:val="28"/>
          <w:szCs w:val="28"/>
          <w:lang w:val="uk-UA"/>
        </w:rPr>
      </w:pPr>
    </w:p>
    <w:p w:rsidR="00B03C8E" w:rsidRPr="00106984" w:rsidRDefault="00B03C8E" w:rsidP="00094951">
      <w:pPr>
        <w:pStyle w:val="ContinuedBodyText"/>
        <w:ind w:firstLine="567"/>
        <w:rPr>
          <w:sz w:val="28"/>
          <w:szCs w:val="28"/>
          <w:lang w:val="uk-UA"/>
        </w:rPr>
      </w:pPr>
      <w:r w:rsidRPr="00106984">
        <w:rPr>
          <w:sz w:val="28"/>
          <w:szCs w:val="28"/>
          <w:lang w:val="uk-UA"/>
        </w:rPr>
        <w:t>Ефективність впливу цього регуляторного акта на відповідні суспільні відносини підтверджується перевищенням вигід над витратами.</w:t>
      </w:r>
    </w:p>
    <w:p w:rsidR="00B03C8E" w:rsidRPr="00106984" w:rsidRDefault="00B03C8E" w:rsidP="00094951">
      <w:pPr>
        <w:pStyle w:val="ContinuedBodyText"/>
        <w:ind w:firstLine="567"/>
        <w:rPr>
          <w:sz w:val="28"/>
          <w:szCs w:val="28"/>
          <w:lang w:val="uk-UA"/>
        </w:rPr>
      </w:pPr>
    </w:p>
    <w:p w:rsidR="00B03C8E" w:rsidRPr="00106984" w:rsidRDefault="00B03C8E" w:rsidP="00094951">
      <w:pPr>
        <w:pStyle w:val="ContinuedBodyText"/>
        <w:ind w:firstLine="0"/>
        <w:jc w:val="center"/>
        <w:rPr>
          <w:b/>
          <w:sz w:val="28"/>
          <w:szCs w:val="28"/>
          <w:lang w:val="uk-UA"/>
        </w:rPr>
      </w:pPr>
      <w:r w:rsidRPr="00106984">
        <w:rPr>
          <w:b/>
          <w:sz w:val="28"/>
          <w:szCs w:val="28"/>
          <w:lang w:val="uk-UA"/>
        </w:rPr>
        <w:t>Обґрунтування відповідності проекту регуляторного акта принципам державної регуляторної політики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835"/>
        <w:gridCol w:w="5919"/>
      </w:tblGrid>
      <w:tr w:rsidR="00B03C8E" w:rsidRPr="00106984" w:rsidTr="00EA76E3">
        <w:tc>
          <w:tcPr>
            <w:tcW w:w="81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w:t>
            </w:r>
          </w:p>
        </w:tc>
        <w:tc>
          <w:tcPr>
            <w:tcW w:w="2835"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Принцип державної регуляторної політики</w:t>
            </w:r>
          </w:p>
        </w:tc>
        <w:tc>
          <w:tcPr>
            <w:tcW w:w="5919"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Обґрунтування відповідності проекту принципу державної регуляторної політики</w:t>
            </w:r>
          </w:p>
        </w:tc>
      </w:tr>
      <w:tr w:rsidR="00B03C8E" w:rsidRPr="00106984" w:rsidTr="00EA76E3">
        <w:tc>
          <w:tcPr>
            <w:tcW w:w="81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1.</w:t>
            </w:r>
          </w:p>
        </w:tc>
        <w:tc>
          <w:tcPr>
            <w:tcW w:w="2835"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Доцільність</w:t>
            </w:r>
          </w:p>
        </w:tc>
        <w:tc>
          <w:tcPr>
            <w:tcW w:w="5919"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На сьогодні є доцільним прийняття даного проекту Закону України, що створить відповідні умови для переходу від витратних до стимулюючих методів регулювання суб'єктів господарювання на суміжних ринках, що</w:t>
            </w:r>
            <w:r>
              <w:rPr>
                <w:bCs/>
                <w:iCs/>
                <w:sz w:val="28"/>
                <w:szCs w:val="28"/>
                <w:lang w:val="uk-UA"/>
              </w:rPr>
              <w:t>, в свою чергу,</w:t>
            </w:r>
            <w:r w:rsidRPr="00106984">
              <w:rPr>
                <w:bCs/>
                <w:iCs/>
                <w:sz w:val="28"/>
                <w:szCs w:val="28"/>
                <w:lang w:val="uk-UA"/>
              </w:rPr>
              <w:t xml:space="preserve"> дозволить суттєво покращити їх фінансовий стан, забезпечити їх ресурсами, необхідними для обслуговування та відновлення технічної інфраструктури, здійснення енергоефективних заходів, та підвищить інвестиційну привабливість таких суб’єктів. З іншої сторони, споживачі також отримають вигоду від переходу до стимулюючого регулювання, оскільки компанії отримають стимули до скорочення неефективних витрат і підвищення якості надання послуг.</w:t>
            </w:r>
          </w:p>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Крім того, прийняття даного проекту Закону України дозволить підвищити ефективність державного регулювання, а саме забезпечить збалансування інтересів суб'єктів господарювання та споживачів, та формування і забезпечення прогнозованості цінової і тарифної політики для суб'єктів природних монополій та суб'єктів господарювання на суміжних ринках шляхом установлення підходу до визначення амортизаційних відрахувань, як складової тарифів природних монополій</w:t>
            </w:r>
          </w:p>
        </w:tc>
      </w:tr>
      <w:tr w:rsidR="00B03C8E" w:rsidRPr="00106984" w:rsidTr="00EA76E3">
        <w:tc>
          <w:tcPr>
            <w:tcW w:w="81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2.</w:t>
            </w:r>
          </w:p>
        </w:tc>
        <w:tc>
          <w:tcPr>
            <w:tcW w:w="2835"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Адекватність</w:t>
            </w:r>
          </w:p>
        </w:tc>
        <w:tc>
          <w:tcPr>
            <w:tcW w:w="5919"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Форма та рівень державного регулювання відповідає регламентним вимогам.</w:t>
            </w:r>
          </w:p>
        </w:tc>
      </w:tr>
      <w:tr w:rsidR="00B03C8E" w:rsidRPr="00106984" w:rsidTr="00EA76E3">
        <w:tc>
          <w:tcPr>
            <w:tcW w:w="81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3.</w:t>
            </w:r>
          </w:p>
        </w:tc>
        <w:tc>
          <w:tcPr>
            <w:tcW w:w="2835"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Ефективність</w:t>
            </w:r>
          </w:p>
        </w:tc>
        <w:tc>
          <w:tcPr>
            <w:tcW w:w="5919"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Ефективність впливу цього регуляторного акта на відповідні суспільні відносини підтверджується перевищенням вигід над витратами.</w:t>
            </w:r>
          </w:p>
        </w:tc>
      </w:tr>
      <w:tr w:rsidR="00B03C8E" w:rsidRPr="00106984" w:rsidTr="00EA76E3">
        <w:tc>
          <w:tcPr>
            <w:tcW w:w="81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4.</w:t>
            </w:r>
          </w:p>
        </w:tc>
        <w:tc>
          <w:tcPr>
            <w:tcW w:w="2835"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Збалансованість</w:t>
            </w:r>
          </w:p>
        </w:tc>
        <w:tc>
          <w:tcPr>
            <w:tcW w:w="5919"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Баланс інтересів суб’єктів господарювання, громадян та держави забезпечується завдяки створенн</w:t>
            </w:r>
            <w:r>
              <w:rPr>
                <w:bCs/>
                <w:iCs/>
                <w:sz w:val="28"/>
                <w:szCs w:val="28"/>
                <w:lang w:val="uk-UA"/>
              </w:rPr>
              <w:t>ю</w:t>
            </w:r>
            <w:r w:rsidRPr="00106984">
              <w:rPr>
                <w:bCs/>
                <w:iCs/>
                <w:sz w:val="28"/>
                <w:szCs w:val="28"/>
                <w:lang w:val="uk-UA"/>
              </w:rPr>
              <w:t xml:space="preserve"> стимулів для підвищення ефективності та залучення інвестицій для оновлення основних фондів, здійснення енергоефективних заходів </w:t>
            </w:r>
            <w:r>
              <w:rPr>
                <w:bCs/>
                <w:iCs/>
                <w:sz w:val="28"/>
                <w:szCs w:val="28"/>
                <w:lang w:val="uk-UA"/>
              </w:rPr>
              <w:t>внаслідок</w:t>
            </w:r>
            <w:r w:rsidRPr="00106984">
              <w:rPr>
                <w:bCs/>
                <w:iCs/>
                <w:sz w:val="28"/>
                <w:szCs w:val="28"/>
                <w:lang w:val="uk-UA"/>
              </w:rPr>
              <w:t xml:space="preserve"> переходу на стимулююче регулювання, а також провадження діяльності в умовах чітко визначених підходів до розрахунку амортизаційних відрахувань як складової тарифів</w:t>
            </w:r>
          </w:p>
        </w:tc>
      </w:tr>
      <w:tr w:rsidR="00B03C8E" w:rsidRPr="00106984" w:rsidTr="00EA76E3">
        <w:tc>
          <w:tcPr>
            <w:tcW w:w="81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5.</w:t>
            </w:r>
          </w:p>
        </w:tc>
        <w:tc>
          <w:tcPr>
            <w:tcW w:w="2835"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Передбачуваність</w:t>
            </w:r>
          </w:p>
        </w:tc>
        <w:tc>
          <w:tcPr>
            <w:tcW w:w="5919"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Проект акта засвідчує послідовність державної політики щодо державного регулювання</w:t>
            </w:r>
          </w:p>
        </w:tc>
      </w:tr>
      <w:tr w:rsidR="00B03C8E" w:rsidRPr="00106984" w:rsidTr="00EA76E3">
        <w:tc>
          <w:tcPr>
            <w:tcW w:w="817"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6.</w:t>
            </w:r>
          </w:p>
        </w:tc>
        <w:tc>
          <w:tcPr>
            <w:tcW w:w="2835"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Прозорість та врахування громадської думки</w:t>
            </w:r>
          </w:p>
        </w:tc>
        <w:tc>
          <w:tcPr>
            <w:tcW w:w="5919" w:type="dxa"/>
          </w:tcPr>
          <w:p w:rsidR="00B03C8E" w:rsidRPr="00106984" w:rsidRDefault="00B03C8E" w:rsidP="00EA76E3">
            <w:pPr>
              <w:pStyle w:val="ContinuedBodyText"/>
              <w:spacing w:line="240" w:lineRule="auto"/>
              <w:ind w:firstLine="0"/>
              <w:rPr>
                <w:bCs/>
                <w:iCs/>
                <w:sz w:val="28"/>
                <w:szCs w:val="28"/>
                <w:lang w:val="uk-UA"/>
              </w:rPr>
            </w:pPr>
            <w:r w:rsidRPr="00106984">
              <w:rPr>
                <w:bCs/>
                <w:iCs/>
                <w:sz w:val="28"/>
                <w:szCs w:val="28"/>
                <w:lang w:val="uk-UA"/>
              </w:rPr>
              <w:t xml:space="preserve">Проект Закону України оприлюднено на офіційному веб-сайті </w:t>
            </w:r>
            <w:r>
              <w:rPr>
                <w:bCs/>
                <w:iCs/>
                <w:sz w:val="28"/>
                <w:szCs w:val="28"/>
                <w:lang w:val="uk-UA"/>
              </w:rPr>
              <w:t xml:space="preserve">Мінрегіону </w:t>
            </w:r>
            <w:hyperlink r:id="rId8" w:history="1">
              <w:r w:rsidRPr="00E34653">
                <w:rPr>
                  <w:rStyle w:val="Hyperlink"/>
                  <w:color w:val="auto"/>
                  <w:sz w:val="28"/>
                  <w:szCs w:val="28"/>
                  <w:u w:val="none"/>
                </w:rPr>
                <w:t>www</w:t>
              </w:r>
              <w:r w:rsidRPr="00E34653">
                <w:rPr>
                  <w:rStyle w:val="Hyperlink"/>
                  <w:color w:val="auto"/>
                  <w:sz w:val="28"/>
                  <w:szCs w:val="28"/>
                  <w:u w:val="none"/>
                  <w:lang w:val="ru-RU"/>
                </w:rPr>
                <w:t>.</w:t>
              </w:r>
              <w:r w:rsidRPr="00E34653">
                <w:rPr>
                  <w:rStyle w:val="Hyperlink"/>
                  <w:color w:val="auto"/>
                  <w:sz w:val="28"/>
                  <w:szCs w:val="28"/>
                  <w:u w:val="none"/>
                </w:rPr>
                <w:t>minregion</w:t>
              </w:r>
              <w:r w:rsidRPr="00E34653">
                <w:rPr>
                  <w:rStyle w:val="Hyperlink"/>
                  <w:color w:val="auto"/>
                  <w:sz w:val="28"/>
                  <w:szCs w:val="28"/>
                  <w:u w:val="none"/>
                  <w:lang w:val="ru-RU"/>
                </w:rPr>
                <w:t>.</w:t>
              </w:r>
              <w:r w:rsidRPr="00E34653">
                <w:rPr>
                  <w:rStyle w:val="Hyperlink"/>
                  <w:color w:val="auto"/>
                  <w:sz w:val="28"/>
                  <w:szCs w:val="28"/>
                  <w:u w:val="none"/>
                </w:rPr>
                <w:t>gov</w:t>
              </w:r>
              <w:r w:rsidRPr="00E34653">
                <w:rPr>
                  <w:rStyle w:val="Hyperlink"/>
                  <w:color w:val="auto"/>
                  <w:sz w:val="28"/>
                  <w:szCs w:val="28"/>
                  <w:u w:val="none"/>
                  <w:lang w:val="ru-RU"/>
                </w:rPr>
                <w:t>.</w:t>
              </w:r>
              <w:r w:rsidRPr="00E34653">
                <w:rPr>
                  <w:rStyle w:val="Hyperlink"/>
                  <w:color w:val="auto"/>
                  <w:sz w:val="28"/>
                  <w:szCs w:val="28"/>
                  <w:u w:val="none"/>
                </w:rPr>
                <w:t>ua</w:t>
              </w:r>
            </w:hyperlink>
            <w:r>
              <w:rPr>
                <w:sz w:val="28"/>
                <w:szCs w:val="28"/>
                <w:lang w:val="uk-UA"/>
              </w:rPr>
              <w:t xml:space="preserve"> та </w:t>
            </w:r>
            <w:r>
              <w:rPr>
                <w:bCs/>
                <w:iCs/>
                <w:sz w:val="28"/>
                <w:szCs w:val="28"/>
                <w:lang w:val="uk-UA"/>
              </w:rPr>
              <w:t xml:space="preserve">Держенергоефективності  </w:t>
            </w:r>
            <w:r w:rsidRPr="00106984">
              <w:rPr>
                <w:bCs/>
                <w:iCs/>
                <w:sz w:val="28"/>
                <w:szCs w:val="28"/>
                <w:lang w:val="uk-UA"/>
              </w:rPr>
              <w:t xml:space="preserve"> www.</w:t>
            </w:r>
            <w:r>
              <w:rPr>
                <w:bCs/>
                <w:iCs/>
                <w:sz w:val="28"/>
                <w:szCs w:val="28"/>
              </w:rPr>
              <w:t>saee</w:t>
            </w:r>
            <w:r w:rsidRPr="00106984">
              <w:rPr>
                <w:bCs/>
                <w:iCs/>
                <w:sz w:val="28"/>
                <w:szCs w:val="28"/>
                <w:lang w:val="uk-UA"/>
              </w:rPr>
              <w:t>.gov.ua.</w:t>
            </w:r>
          </w:p>
        </w:tc>
      </w:tr>
    </w:tbl>
    <w:p w:rsidR="00B03C8E" w:rsidRDefault="00B03C8E" w:rsidP="005F4EA6">
      <w:pPr>
        <w:pStyle w:val="ContinuedBodyText"/>
        <w:rPr>
          <w:b/>
          <w:sz w:val="28"/>
          <w:szCs w:val="28"/>
          <w:lang w:val="uk-UA"/>
        </w:rPr>
      </w:pPr>
    </w:p>
    <w:p w:rsidR="00B03C8E" w:rsidRDefault="00B03C8E" w:rsidP="00B97FDF">
      <w:pPr>
        <w:widowControl w:val="0"/>
        <w:autoSpaceDE w:val="0"/>
        <w:autoSpaceDN w:val="0"/>
        <w:adjustRightInd w:val="0"/>
        <w:spacing w:after="0" w:line="240" w:lineRule="auto"/>
        <w:ind w:firstLine="720"/>
        <w:jc w:val="both"/>
        <w:rPr>
          <w:rFonts w:ascii="Times New Roman" w:hAnsi="Times New Roman"/>
          <w:b/>
          <w:sz w:val="28"/>
          <w:szCs w:val="28"/>
        </w:rPr>
      </w:pPr>
      <w:r w:rsidRPr="00D42885">
        <w:rPr>
          <w:rFonts w:ascii="Times New Roman" w:hAnsi="Times New Roman"/>
          <w:b/>
          <w:sz w:val="28"/>
          <w:szCs w:val="28"/>
        </w:rPr>
        <w:t>10</w:t>
      </w:r>
      <w:r w:rsidRPr="0071588B">
        <w:rPr>
          <w:rFonts w:ascii="Times New Roman" w:hAnsi="Times New Roman"/>
          <w:b/>
          <w:sz w:val="28"/>
          <w:szCs w:val="28"/>
          <w:vertAlign w:val="superscript"/>
        </w:rPr>
        <w:t>1</w:t>
      </w:r>
      <w:r w:rsidRPr="00D42885">
        <w:rPr>
          <w:rFonts w:ascii="Times New Roman" w:hAnsi="Times New Roman"/>
          <w:b/>
          <w:sz w:val="28"/>
          <w:szCs w:val="28"/>
        </w:rPr>
        <w:t>. Вплив реалізації акта на ринок праці</w:t>
      </w:r>
    </w:p>
    <w:p w:rsidR="00B03C8E" w:rsidRDefault="00B03C8E" w:rsidP="00B97FDF">
      <w:pPr>
        <w:spacing w:after="0" w:line="240" w:lineRule="auto"/>
        <w:ind w:firstLine="709"/>
        <w:jc w:val="both"/>
        <w:rPr>
          <w:rFonts w:ascii="Times New Roman" w:hAnsi="Times New Roman"/>
          <w:sz w:val="28"/>
          <w:szCs w:val="28"/>
        </w:rPr>
      </w:pPr>
      <w:bookmarkStart w:id="1" w:name="n1317"/>
      <w:bookmarkEnd w:id="1"/>
      <w:r>
        <w:rPr>
          <w:rFonts w:ascii="Times New Roman" w:hAnsi="Times New Roman"/>
          <w:sz w:val="28"/>
          <w:szCs w:val="28"/>
        </w:rPr>
        <w:t>Р</w:t>
      </w:r>
      <w:r w:rsidRPr="004159C0">
        <w:rPr>
          <w:rFonts w:ascii="Times New Roman" w:hAnsi="Times New Roman"/>
          <w:sz w:val="28"/>
          <w:szCs w:val="28"/>
        </w:rPr>
        <w:t>еалізаці</w:t>
      </w:r>
      <w:r>
        <w:rPr>
          <w:rFonts w:ascii="Times New Roman" w:hAnsi="Times New Roman"/>
          <w:sz w:val="28"/>
          <w:szCs w:val="28"/>
        </w:rPr>
        <w:t>я</w:t>
      </w:r>
      <w:r w:rsidRPr="004159C0">
        <w:rPr>
          <w:rFonts w:ascii="Times New Roman" w:hAnsi="Times New Roman"/>
          <w:sz w:val="28"/>
          <w:szCs w:val="28"/>
        </w:rPr>
        <w:t xml:space="preserve"> </w:t>
      </w:r>
      <w:r>
        <w:rPr>
          <w:rFonts w:ascii="Times New Roman" w:hAnsi="Times New Roman"/>
          <w:sz w:val="28"/>
          <w:szCs w:val="28"/>
        </w:rPr>
        <w:t>проекту</w:t>
      </w:r>
      <w:r w:rsidRPr="004159C0">
        <w:rPr>
          <w:rFonts w:ascii="Times New Roman" w:hAnsi="Times New Roman"/>
          <w:sz w:val="28"/>
          <w:szCs w:val="28"/>
        </w:rPr>
        <w:t xml:space="preserve"> </w:t>
      </w:r>
      <w:r>
        <w:rPr>
          <w:rFonts w:ascii="Times New Roman" w:hAnsi="Times New Roman"/>
          <w:sz w:val="28"/>
          <w:szCs w:val="28"/>
        </w:rPr>
        <w:t xml:space="preserve">не впливатиме </w:t>
      </w:r>
      <w:r w:rsidRPr="004159C0">
        <w:rPr>
          <w:rFonts w:ascii="Times New Roman" w:hAnsi="Times New Roman"/>
          <w:sz w:val="28"/>
          <w:szCs w:val="28"/>
        </w:rPr>
        <w:t>на ринок праці</w:t>
      </w:r>
      <w:r>
        <w:rPr>
          <w:rFonts w:ascii="Times New Roman" w:hAnsi="Times New Roman"/>
          <w:sz w:val="28"/>
          <w:szCs w:val="28"/>
        </w:rPr>
        <w:t>.</w:t>
      </w:r>
    </w:p>
    <w:p w:rsidR="00B03C8E" w:rsidRPr="00106984" w:rsidRDefault="00B03C8E" w:rsidP="005F4EA6">
      <w:pPr>
        <w:pStyle w:val="ContinuedBodyText"/>
        <w:rPr>
          <w:b/>
          <w:sz w:val="28"/>
          <w:szCs w:val="28"/>
          <w:lang w:val="uk-UA"/>
        </w:rPr>
      </w:pPr>
    </w:p>
    <w:p w:rsidR="00B03C8E" w:rsidRPr="00106984" w:rsidRDefault="00B03C8E" w:rsidP="00103A66">
      <w:pPr>
        <w:pStyle w:val="ContinuedBodyText"/>
        <w:numPr>
          <w:ilvl w:val="0"/>
          <w:numId w:val="1"/>
        </w:numPr>
        <w:rPr>
          <w:b/>
          <w:sz w:val="28"/>
          <w:szCs w:val="28"/>
          <w:lang w:val="uk-UA"/>
        </w:rPr>
      </w:pPr>
      <w:r w:rsidRPr="00106984">
        <w:rPr>
          <w:b/>
          <w:sz w:val="28"/>
          <w:szCs w:val="28"/>
          <w:lang w:val="uk-UA"/>
        </w:rPr>
        <w:t xml:space="preserve"> Прогноз результатів</w:t>
      </w:r>
    </w:p>
    <w:p w:rsidR="00B03C8E" w:rsidRPr="00106984" w:rsidRDefault="00B03C8E" w:rsidP="00950D1C">
      <w:pPr>
        <w:pStyle w:val="ContinuedBodyText"/>
        <w:spacing w:line="240" w:lineRule="auto"/>
        <w:ind w:firstLine="567"/>
        <w:rPr>
          <w:bCs/>
          <w:iCs/>
          <w:sz w:val="28"/>
          <w:szCs w:val="28"/>
          <w:lang w:val="uk-UA"/>
        </w:rPr>
      </w:pPr>
      <w:r w:rsidRPr="00106984">
        <w:rPr>
          <w:bCs/>
          <w:iCs/>
          <w:sz w:val="28"/>
          <w:szCs w:val="28"/>
          <w:lang w:val="uk-UA"/>
        </w:rPr>
        <w:t xml:space="preserve">Прийняття даного проекту Закону України </w:t>
      </w:r>
      <w:r w:rsidRPr="00106984">
        <w:rPr>
          <w:sz w:val="28"/>
          <w:szCs w:val="28"/>
          <w:lang w:val="uk-UA"/>
        </w:rPr>
        <w:t xml:space="preserve">створить відповідні умови для переходу від витратних до стимулюючих методів регулювання суб'єктів господарювання на суміжних ринках, що дозволить суттєво покращити їх фінансовий стан, забезпечити їх ресурсами, необхідними для обслуговування та відновлення технічної інфраструктури, </w:t>
      </w:r>
      <w:r w:rsidRPr="00106984">
        <w:rPr>
          <w:bCs/>
          <w:iCs/>
          <w:sz w:val="28"/>
          <w:szCs w:val="28"/>
          <w:lang w:val="uk-UA"/>
        </w:rPr>
        <w:t>здійснення енергоефективних заходів та запровадження енергоефективних технологій,</w:t>
      </w:r>
      <w:r w:rsidRPr="00106984">
        <w:rPr>
          <w:sz w:val="28"/>
          <w:szCs w:val="28"/>
          <w:lang w:val="uk-UA"/>
        </w:rPr>
        <w:t xml:space="preserve"> підвищити їх інвестиційну привабливість. З іншої сторони, споживачі також отримають вигоду від переходу до стимулюючого регулювання, оскільки компанії отримають стимули до скорочення неефективних витрат і підвищення якості надання послуг.</w:t>
      </w:r>
    </w:p>
    <w:p w:rsidR="00B03C8E" w:rsidRDefault="00B03C8E" w:rsidP="00950D1C">
      <w:pPr>
        <w:pStyle w:val="ContinuedBodyText"/>
        <w:spacing w:line="240" w:lineRule="auto"/>
        <w:ind w:firstLine="567"/>
        <w:rPr>
          <w:bCs/>
          <w:iCs/>
          <w:sz w:val="28"/>
          <w:szCs w:val="28"/>
          <w:lang w:val="uk-UA"/>
        </w:rPr>
      </w:pPr>
      <w:r w:rsidRPr="00106984">
        <w:rPr>
          <w:bCs/>
          <w:iCs/>
          <w:sz w:val="28"/>
          <w:szCs w:val="28"/>
          <w:lang w:val="uk-UA"/>
        </w:rPr>
        <w:t xml:space="preserve">Крім того, прийняття даного проекту Закону України дозволить підвищити ефективність державного регулювання, а саме забезпечить збалансування інтересів суб'єктів господарювання та споживачів, </w:t>
      </w:r>
      <w:r>
        <w:rPr>
          <w:bCs/>
          <w:iCs/>
          <w:sz w:val="28"/>
          <w:szCs w:val="28"/>
          <w:lang w:val="uk-UA"/>
        </w:rPr>
        <w:t>сформує та забезпечить</w:t>
      </w:r>
      <w:r w:rsidRPr="00106984">
        <w:rPr>
          <w:bCs/>
          <w:iCs/>
          <w:sz w:val="28"/>
          <w:szCs w:val="28"/>
          <w:lang w:val="uk-UA"/>
        </w:rPr>
        <w:t xml:space="preserve"> прогнозован</w:t>
      </w:r>
      <w:r>
        <w:rPr>
          <w:bCs/>
          <w:iCs/>
          <w:sz w:val="28"/>
          <w:szCs w:val="28"/>
          <w:lang w:val="uk-UA"/>
        </w:rPr>
        <w:t xml:space="preserve">ість </w:t>
      </w:r>
      <w:r w:rsidRPr="00106984">
        <w:rPr>
          <w:bCs/>
          <w:iCs/>
          <w:sz w:val="28"/>
          <w:szCs w:val="28"/>
          <w:lang w:val="uk-UA"/>
        </w:rPr>
        <w:t xml:space="preserve">цінової і тарифної політики для </w:t>
      </w:r>
      <w:r w:rsidRPr="00106984">
        <w:rPr>
          <w:sz w:val="28"/>
          <w:szCs w:val="28"/>
          <w:lang w:val="uk-UA"/>
        </w:rPr>
        <w:t>суб'єктів природних монополій та суб'єктів господарювання на суміжних ринках</w:t>
      </w:r>
      <w:r w:rsidRPr="00106984">
        <w:rPr>
          <w:bCs/>
          <w:iCs/>
          <w:sz w:val="28"/>
          <w:szCs w:val="28"/>
          <w:lang w:val="uk-UA"/>
        </w:rPr>
        <w:t xml:space="preserve"> шляхом врегулювання питання щодо визначення амортизаційних відрахувань, як складової </w:t>
      </w:r>
      <w:r>
        <w:rPr>
          <w:bCs/>
          <w:iCs/>
          <w:sz w:val="28"/>
          <w:szCs w:val="28"/>
          <w:lang w:val="uk-UA"/>
        </w:rPr>
        <w:t>відповідних тарифів.</w:t>
      </w:r>
    </w:p>
    <w:p w:rsidR="00B03C8E" w:rsidRPr="00106984" w:rsidRDefault="00B03C8E" w:rsidP="00950D1C">
      <w:pPr>
        <w:pStyle w:val="ContinuedBodyText"/>
        <w:spacing w:line="240" w:lineRule="auto"/>
        <w:ind w:firstLine="567"/>
        <w:rPr>
          <w:bCs/>
          <w:iCs/>
          <w:sz w:val="28"/>
          <w:szCs w:val="28"/>
          <w:lang w:val="uk-UA"/>
        </w:rPr>
      </w:pPr>
    </w:p>
    <w:p w:rsidR="00B03C8E" w:rsidRPr="00106984" w:rsidRDefault="00B03C8E" w:rsidP="00B97FDF">
      <w:pPr>
        <w:pStyle w:val="ContinuedBodyText"/>
        <w:ind w:firstLine="0"/>
        <w:rPr>
          <w:b/>
          <w:sz w:val="28"/>
          <w:szCs w:val="28"/>
          <w:lang w:val="uk-UA"/>
        </w:rPr>
      </w:pPr>
      <w:r w:rsidRPr="00106984">
        <w:rPr>
          <w:b/>
          <w:sz w:val="28"/>
          <w:szCs w:val="28"/>
          <w:lang w:val="uk-UA"/>
        </w:rPr>
        <w:t xml:space="preserve"> </w:t>
      </w:r>
      <w:r>
        <w:rPr>
          <w:b/>
          <w:sz w:val="28"/>
          <w:szCs w:val="28"/>
          <w:lang w:val="uk-UA"/>
        </w:rPr>
        <w:t xml:space="preserve">Голова Держенергоефективності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С. Савчук</w:t>
      </w:r>
      <w:r w:rsidRPr="00106984">
        <w:rPr>
          <w:b/>
          <w:sz w:val="28"/>
          <w:szCs w:val="28"/>
          <w:lang w:val="uk-UA"/>
        </w:rPr>
        <w:t xml:space="preserve"> </w:t>
      </w:r>
    </w:p>
    <w:p w:rsidR="00B03C8E" w:rsidRPr="00195E01" w:rsidRDefault="00B03C8E" w:rsidP="00950D1C">
      <w:pPr>
        <w:pStyle w:val="ContinuedBodyText"/>
        <w:ind w:firstLine="0"/>
        <w:rPr>
          <w:sz w:val="28"/>
          <w:szCs w:val="28"/>
          <w:lang w:val="uk-UA"/>
        </w:rPr>
      </w:pPr>
      <w:r>
        <w:rPr>
          <w:sz w:val="28"/>
          <w:szCs w:val="28"/>
          <w:lang w:val="uk-UA"/>
        </w:rPr>
        <w:t>«______»  ____________2015</w:t>
      </w:r>
      <w:r w:rsidRPr="00195E01">
        <w:rPr>
          <w:sz w:val="28"/>
          <w:szCs w:val="28"/>
          <w:lang w:val="uk-UA"/>
        </w:rPr>
        <w:tab/>
      </w:r>
      <w:r w:rsidRPr="00195E01">
        <w:rPr>
          <w:sz w:val="28"/>
          <w:szCs w:val="28"/>
          <w:lang w:val="uk-UA"/>
        </w:rPr>
        <w:tab/>
        <w:t xml:space="preserve">                  </w:t>
      </w:r>
      <w:r w:rsidRPr="00195E01">
        <w:rPr>
          <w:sz w:val="28"/>
          <w:szCs w:val="28"/>
          <w:lang w:val="uk-UA"/>
        </w:rPr>
        <w:tab/>
      </w:r>
      <w:r w:rsidRPr="00195E01">
        <w:rPr>
          <w:sz w:val="28"/>
          <w:szCs w:val="28"/>
          <w:lang w:val="uk-UA"/>
        </w:rPr>
        <w:tab/>
        <w:t xml:space="preserve">       </w:t>
      </w:r>
      <w:r w:rsidRPr="00195E01">
        <w:rPr>
          <w:sz w:val="28"/>
          <w:szCs w:val="28"/>
          <w:lang w:val="uk-UA"/>
        </w:rPr>
        <w:tab/>
        <w:t xml:space="preserve">            </w:t>
      </w:r>
    </w:p>
    <w:sectPr w:rsidR="00B03C8E" w:rsidRPr="00195E01" w:rsidSect="00B4590B">
      <w:headerReference w:type="even" r:id="rId9"/>
      <w:headerReference w:type="default" r:id="rId10"/>
      <w:pgSz w:w="11906" w:h="16838"/>
      <w:pgMar w:top="850" w:right="850" w:bottom="42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C8E" w:rsidRDefault="00B03C8E">
      <w:r>
        <w:separator/>
      </w:r>
    </w:p>
  </w:endnote>
  <w:endnote w:type="continuationSeparator" w:id="0">
    <w:p w:rsidR="00B03C8E" w:rsidRDefault="00B03C8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altName w:val="Century Gothic"/>
    <w:panose1 w:val="020F0502020204030204"/>
    <w:charset w:val="CC"/>
    <w:family w:val="swiss"/>
    <w:pitch w:val="variable"/>
    <w:sig w:usb0="A00002EF" w:usb1="4000207B" w:usb2="00000000" w:usb3="00000000" w:csb0="0000009F" w:csb1="00000000"/>
  </w:font>
  <w:font w:name="Verdana">
    <w:altName w:val=" Arial"/>
    <w:panose1 w:val="020B0604030504040204"/>
    <w:charset w:val="CC"/>
    <w:family w:val="swiss"/>
    <w:pitch w:val="variable"/>
    <w:sig w:usb0="20000287" w:usb1="00000000" w:usb2="00000000" w:usb3="00000000" w:csb0="0000019F" w:csb1="00000000"/>
  </w:font>
  <w:font w:name="Tahoma">
    <w:altName w:val="Arial"/>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C8E" w:rsidRDefault="00B03C8E">
      <w:r>
        <w:separator/>
      </w:r>
    </w:p>
  </w:footnote>
  <w:footnote w:type="continuationSeparator" w:id="0">
    <w:p w:rsidR="00B03C8E" w:rsidRDefault="00B03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8E" w:rsidRDefault="00B03C8E" w:rsidP="006D5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C8E" w:rsidRDefault="00B03C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C8E" w:rsidRDefault="00B03C8E" w:rsidP="006D5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03C8E" w:rsidRDefault="00B03C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4876"/>
    <w:multiLevelType w:val="hybridMultilevel"/>
    <w:tmpl w:val="D6E83F98"/>
    <w:lvl w:ilvl="0" w:tplc="47201466">
      <w:start w:val="1"/>
      <w:numFmt w:val="decimal"/>
      <w:lvlText w:val="%1."/>
      <w:lvlJc w:val="left"/>
      <w:pPr>
        <w:tabs>
          <w:tab w:val="num" w:pos="1068"/>
        </w:tabs>
        <w:ind w:left="1068" w:hanging="360"/>
      </w:pPr>
      <w:rPr>
        <w:rFonts w:cs="Times New Roman"/>
      </w:rPr>
    </w:lvl>
    <w:lvl w:ilvl="1" w:tplc="04220019">
      <w:start w:val="1"/>
      <w:numFmt w:val="lowerLetter"/>
      <w:lvlText w:val="%2."/>
      <w:lvlJc w:val="left"/>
      <w:pPr>
        <w:tabs>
          <w:tab w:val="num" w:pos="1788"/>
        </w:tabs>
        <w:ind w:left="1788" w:hanging="360"/>
      </w:pPr>
      <w:rPr>
        <w:rFonts w:cs="Times New Roman"/>
      </w:rPr>
    </w:lvl>
    <w:lvl w:ilvl="2" w:tplc="0422001B">
      <w:start w:val="1"/>
      <w:numFmt w:val="lowerRoman"/>
      <w:lvlText w:val="%3."/>
      <w:lvlJc w:val="right"/>
      <w:pPr>
        <w:tabs>
          <w:tab w:val="num" w:pos="2508"/>
        </w:tabs>
        <w:ind w:left="2508" w:hanging="180"/>
      </w:pPr>
      <w:rPr>
        <w:rFonts w:cs="Times New Roman"/>
      </w:rPr>
    </w:lvl>
    <w:lvl w:ilvl="3" w:tplc="0422000F">
      <w:start w:val="1"/>
      <w:numFmt w:val="decimal"/>
      <w:lvlText w:val="%4."/>
      <w:lvlJc w:val="left"/>
      <w:pPr>
        <w:tabs>
          <w:tab w:val="num" w:pos="3228"/>
        </w:tabs>
        <w:ind w:left="3228" w:hanging="360"/>
      </w:pPr>
      <w:rPr>
        <w:rFonts w:cs="Times New Roman"/>
      </w:rPr>
    </w:lvl>
    <w:lvl w:ilvl="4" w:tplc="04220019">
      <w:start w:val="1"/>
      <w:numFmt w:val="lowerLetter"/>
      <w:lvlText w:val="%5."/>
      <w:lvlJc w:val="left"/>
      <w:pPr>
        <w:tabs>
          <w:tab w:val="num" w:pos="3948"/>
        </w:tabs>
        <w:ind w:left="3948" w:hanging="360"/>
      </w:pPr>
      <w:rPr>
        <w:rFonts w:cs="Times New Roman"/>
      </w:rPr>
    </w:lvl>
    <w:lvl w:ilvl="5" w:tplc="0422001B">
      <w:start w:val="1"/>
      <w:numFmt w:val="lowerRoman"/>
      <w:lvlText w:val="%6."/>
      <w:lvlJc w:val="right"/>
      <w:pPr>
        <w:tabs>
          <w:tab w:val="num" w:pos="4668"/>
        </w:tabs>
        <w:ind w:left="4668" w:hanging="180"/>
      </w:pPr>
      <w:rPr>
        <w:rFonts w:cs="Times New Roman"/>
      </w:rPr>
    </w:lvl>
    <w:lvl w:ilvl="6" w:tplc="0422000F">
      <w:start w:val="1"/>
      <w:numFmt w:val="decimal"/>
      <w:lvlText w:val="%7."/>
      <w:lvlJc w:val="left"/>
      <w:pPr>
        <w:tabs>
          <w:tab w:val="num" w:pos="5388"/>
        </w:tabs>
        <w:ind w:left="5388" w:hanging="360"/>
      </w:pPr>
      <w:rPr>
        <w:rFonts w:cs="Times New Roman"/>
      </w:rPr>
    </w:lvl>
    <w:lvl w:ilvl="7" w:tplc="04220019">
      <w:start w:val="1"/>
      <w:numFmt w:val="lowerLetter"/>
      <w:lvlText w:val="%8."/>
      <w:lvlJc w:val="left"/>
      <w:pPr>
        <w:tabs>
          <w:tab w:val="num" w:pos="6108"/>
        </w:tabs>
        <w:ind w:left="6108" w:hanging="360"/>
      </w:pPr>
      <w:rPr>
        <w:rFonts w:cs="Times New Roman"/>
      </w:rPr>
    </w:lvl>
    <w:lvl w:ilvl="8" w:tplc="0422001B">
      <w:start w:val="1"/>
      <w:numFmt w:val="lowerRoman"/>
      <w:lvlText w:val="%9."/>
      <w:lvlJc w:val="right"/>
      <w:pPr>
        <w:tabs>
          <w:tab w:val="num" w:pos="6828"/>
        </w:tabs>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8BC"/>
    <w:rsid w:val="000049B1"/>
    <w:rsid w:val="00037F4E"/>
    <w:rsid w:val="00061D50"/>
    <w:rsid w:val="00072840"/>
    <w:rsid w:val="0009392A"/>
    <w:rsid w:val="00094951"/>
    <w:rsid w:val="000C4E98"/>
    <w:rsid w:val="000C541D"/>
    <w:rsid w:val="00103A66"/>
    <w:rsid w:val="00106984"/>
    <w:rsid w:val="001178D4"/>
    <w:rsid w:val="00194414"/>
    <w:rsid w:val="00195E01"/>
    <w:rsid w:val="001B40D8"/>
    <w:rsid w:val="0021479B"/>
    <w:rsid w:val="0022228A"/>
    <w:rsid w:val="00222387"/>
    <w:rsid w:val="00272AD0"/>
    <w:rsid w:val="002808B8"/>
    <w:rsid w:val="002978AC"/>
    <w:rsid w:val="002E7895"/>
    <w:rsid w:val="002F2585"/>
    <w:rsid w:val="003278EA"/>
    <w:rsid w:val="003A5726"/>
    <w:rsid w:val="003C3ED4"/>
    <w:rsid w:val="003D6083"/>
    <w:rsid w:val="003E3172"/>
    <w:rsid w:val="0040659D"/>
    <w:rsid w:val="00410EDB"/>
    <w:rsid w:val="004159C0"/>
    <w:rsid w:val="00473FC6"/>
    <w:rsid w:val="004C2077"/>
    <w:rsid w:val="004C3BEE"/>
    <w:rsid w:val="00504B83"/>
    <w:rsid w:val="0053298B"/>
    <w:rsid w:val="00535D94"/>
    <w:rsid w:val="005E375A"/>
    <w:rsid w:val="005F4EA6"/>
    <w:rsid w:val="00607047"/>
    <w:rsid w:val="00640D42"/>
    <w:rsid w:val="0066189C"/>
    <w:rsid w:val="00675457"/>
    <w:rsid w:val="006A37AF"/>
    <w:rsid w:val="006D56A5"/>
    <w:rsid w:val="006E421F"/>
    <w:rsid w:val="007136E6"/>
    <w:rsid w:val="0071588B"/>
    <w:rsid w:val="00740474"/>
    <w:rsid w:val="00740DD4"/>
    <w:rsid w:val="00765760"/>
    <w:rsid w:val="00767115"/>
    <w:rsid w:val="007732D0"/>
    <w:rsid w:val="007F2508"/>
    <w:rsid w:val="00806325"/>
    <w:rsid w:val="008768BC"/>
    <w:rsid w:val="00884383"/>
    <w:rsid w:val="008E48DB"/>
    <w:rsid w:val="008F5DB1"/>
    <w:rsid w:val="0090272F"/>
    <w:rsid w:val="00941D88"/>
    <w:rsid w:val="00950D1C"/>
    <w:rsid w:val="009D3BB4"/>
    <w:rsid w:val="009F55D9"/>
    <w:rsid w:val="00A07903"/>
    <w:rsid w:val="00A20DFD"/>
    <w:rsid w:val="00A37F47"/>
    <w:rsid w:val="00A65E63"/>
    <w:rsid w:val="00A7215A"/>
    <w:rsid w:val="00AA14A1"/>
    <w:rsid w:val="00AB20E1"/>
    <w:rsid w:val="00AE371A"/>
    <w:rsid w:val="00AF04DB"/>
    <w:rsid w:val="00B029DA"/>
    <w:rsid w:val="00B03C8E"/>
    <w:rsid w:val="00B05D61"/>
    <w:rsid w:val="00B17B0D"/>
    <w:rsid w:val="00B2344C"/>
    <w:rsid w:val="00B4590B"/>
    <w:rsid w:val="00B46507"/>
    <w:rsid w:val="00B6592A"/>
    <w:rsid w:val="00B97FDF"/>
    <w:rsid w:val="00BD2D9D"/>
    <w:rsid w:val="00C30F32"/>
    <w:rsid w:val="00C519EB"/>
    <w:rsid w:val="00D1390B"/>
    <w:rsid w:val="00D42885"/>
    <w:rsid w:val="00DF0C34"/>
    <w:rsid w:val="00E127B9"/>
    <w:rsid w:val="00E34653"/>
    <w:rsid w:val="00EA76E3"/>
    <w:rsid w:val="00EC24C6"/>
    <w:rsid w:val="00F052D3"/>
    <w:rsid w:val="00F1055B"/>
    <w:rsid w:val="00F27981"/>
    <w:rsid w:val="00F348D9"/>
    <w:rsid w:val="00F47C8C"/>
    <w:rsid w:val="00F57115"/>
    <w:rsid w:val="00F853F0"/>
    <w:rsid w:val="00F920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4A1"/>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BodyText">
    <w:name w:val="Continued Body Text"/>
    <w:basedOn w:val="Normal"/>
    <w:uiPriority w:val="99"/>
    <w:rsid w:val="008768BC"/>
    <w:pPr>
      <w:spacing w:after="0" w:line="288" w:lineRule="auto"/>
      <w:ind w:firstLine="284"/>
      <w:jc w:val="both"/>
    </w:pPr>
    <w:rPr>
      <w:rFonts w:ascii="Times New Roman" w:eastAsia="Times New Roman" w:hAnsi="Times New Roman"/>
      <w:sz w:val="24"/>
      <w:szCs w:val="20"/>
      <w:lang w:val="en-US" w:eastAsia="ru-RU"/>
    </w:rPr>
  </w:style>
  <w:style w:type="paragraph" w:styleId="ListParagraph">
    <w:name w:val="List Paragraph"/>
    <w:basedOn w:val="Normal"/>
    <w:uiPriority w:val="99"/>
    <w:qFormat/>
    <w:rsid w:val="008768BC"/>
    <w:pPr>
      <w:spacing w:after="0"/>
      <w:ind w:left="720"/>
      <w:contextualSpacing/>
      <w:jc w:val="both"/>
    </w:pPr>
    <w:rPr>
      <w:rFonts w:ascii="Times New Roman" w:hAnsi="Times New Roman"/>
      <w:sz w:val="24"/>
      <w:lang w:val="ru-RU"/>
    </w:rPr>
  </w:style>
  <w:style w:type="character" w:styleId="Hyperlink">
    <w:name w:val="Hyperlink"/>
    <w:basedOn w:val="DefaultParagraphFont"/>
    <w:uiPriority w:val="99"/>
    <w:semiHidden/>
    <w:rsid w:val="00950D1C"/>
    <w:rPr>
      <w:rFonts w:cs="Times New Roman"/>
      <w:color w:val="0000FF"/>
      <w:u w:val="single"/>
    </w:rPr>
  </w:style>
  <w:style w:type="paragraph" w:customStyle="1" w:styleId="a">
    <w:name w:val="Знак"/>
    <w:basedOn w:val="Normal"/>
    <w:uiPriority w:val="99"/>
    <w:rsid w:val="00740474"/>
    <w:pPr>
      <w:spacing w:after="0" w:line="240" w:lineRule="auto"/>
    </w:pPr>
    <w:rPr>
      <w:rFonts w:ascii="Verdana" w:eastAsia="Times New Roman" w:hAnsi="Verdana" w:cs="Verdana"/>
      <w:sz w:val="20"/>
      <w:szCs w:val="20"/>
      <w:lang w:val="en-US"/>
    </w:rPr>
  </w:style>
  <w:style w:type="table" w:styleId="TableGrid">
    <w:name w:val="Table Grid"/>
    <w:basedOn w:val="TableNormal"/>
    <w:uiPriority w:val="99"/>
    <w:rsid w:val="000949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Normal"/>
    <w:uiPriority w:val="99"/>
    <w:rsid w:val="00094951"/>
    <w:pPr>
      <w:overflowPunct w:val="0"/>
      <w:autoSpaceDE w:val="0"/>
      <w:autoSpaceDN w:val="0"/>
      <w:adjustRightInd w:val="0"/>
      <w:spacing w:after="0" w:line="240" w:lineRule="auto"/>
      <w:jc w:val="both"/>
      <w:textAlignment w:val="baseline"/>
    </w:pPr>
    <w:rPr>
      <w:rFonts w:ascii="Times New Roman" w:eastAsia="Times New Roman" w:hAnsi="Times New Roman"/>
      <w:b/>
      <w:color w:val="000000"/>
      <w:sz w:val="28"/>
      <w:szCs w:val="20"/>
      <w:lang w:eastAsia="ru-RU"/>
    </w:rPr>
  </w:style>
  <w:style w:type="paragraph" w:customStyle="1" w:styleId="32">
    <w:name w:val="Основной текст 32"/>
    <w:basedOn w:val="Normal"/>
    <w:uiPriority w:val="99"/>
    <w:rsid w:val="00094951"/>
    <w:pPr>
      <w:overflowPunct w:val="0"/>
      <w:autoSpaceDE w:val="0"/>
      <w:autoSpaceDN w:val="0"/>
      <w:adjustRightInd w:val="0"/>
      <w:spacing w:after="0" w:line="240" w:lineRule="auto"/>
      <w:jc w:val="both"/>
      <w:textAlignment w:val="baseline"/>
    </w:pPr>
    <w:rPr>
      <w:rFonts w:ascii="Times New Roman" w:eastAsia="Times New Roman" w:hAnsi="Times New Roman"/>
      <w:b/>
      <w:color w:val="000000"/>
      <w:sz w:val="28"/>
      <w:szCs w:val="20"/>
      <w:lang w:eastAsia="ru-RU"/>
    </w:rPr>
  </w:style>
  <w:style w:type="paragraph" w:styleId="BalloonText">
    <w:name w:val="Balloon Text"/>
    <w:basedOn w:val="Normal"/>
    <w:link w:val="BalloonTextChar"/>
    <w:uiPriority w:val="99"/>
    <w:semiHidden/>
    <w:rsid w:val="000C5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541D"/>
    <w:rPr>
      <w:rFonts w:ascii="Tahoma" w:hAnsi="Tahoma" w:cs="Tahoma"/>
      <w:sz w:val="16"/>
      <w:szCs w:val="16"/>
    </w:rPr>
  </w:style>
  <w:style w:type="paragraph" w:styleId="Header">
    <w:name w:val="header"/>
    <w:basedOn w:val="Normal"/>
    <w:link w:val="HeaderChar"/>
    <w:uiPriority w:val="99"/>
    <w:rsid w:val="00B4590B"/>
    <w:pPr>
      <w:tabs>
        <w:tab w:val="center" w:pos="4677"/>
        <w:tab w:val="right" w:pos="9355"/>
      </w:tabs>
    </w:pPr>
  </w:style>
  <w:style w:type="character" w:customStyle="1" w:styleId="HeaderChar">
    <w:name w:val="Header Char"/>
    <w:basedOn w:val="DefaultParagraphFont"/>
    <w:link w:val="Header"/>
    <w:uiPriority w:val="99"/>
    <w:semiHidden/>
    <w:locked/>
    <w:rsid w:val="006E421F"/>
    <w:rPr>
      <w:rFonts w:cs="Times New Roman"/>
      <w:lang w:val="uk-UA" w:eastAsia="en-US"/>
    </w:rPr>
  </w:style>
  <w:style w:type="character" w:styleId="PageNumber">
    <w:name w:val="page number"/>
    <w:basedOn w:val="DefaultParagraphFont"/>
    <w:uiPriority w:val="99"/>
    <w:rsid w:val="00B4590B"/>
    <w:rPr>
      <w:rFonts w:cs="Times New Roman"/>
    </w:rPr>
  </w:style>
  <w:style w:type="character" w:customStyle="1" w:styleId="rvts0">
    <w:name w:val="rvts0"/>
    <w:basedOn w:val="DefaultParagraphFont"/>
    <w:uiPriority w:val="99"/>
    <w:rsid w:val="00272AD0"/>
    <w:rPr>
      <w:rFonts w:cs="Times New Roman"/>
    </w:rPr>
  </w:style>
  <w:style w:type="character" w:customStyle="1" w:styleId="rvts23">
    <w:name w:val="rvts23"/>
    <w:basedOn w:val="DefaultParagraphFont"/>
    <w:uiPriority w:val="99"/>
    <w:rsid w:val="00272AD0"/>
    <w:rPr>
      <w:rFonts w:cs="Times New Roman"/>
    </w:rPr>
  </w:style>
  <w:style w:type="paragraph" w:styleId="Footer">
    <w:name w:val="footer"/>
    <w:basedOn w:val="Normal"/>
    <w:link w:val="FooterChar"/>
    <w:uiPriority w:val="99"/>
    <w:rsid w:val="00B97FDF"/>
    <w:pPr>
      <w:tabs>
        <w:tab w:val="center" w:pos="4677"/>
        <w:tab w:val="right" w:pos="9355"/>
      </w:tabs>
    </w:pPr>
  </w:style>
  <w:style w:type="character" w:customStyle="1" w:styleId="FooterChar">
    <w:name w:val="Footer Char"/>
    <w:basedOn w:val="DefaultParagraphFont"/>
    <w:link w:val="Footer"/>
    <w:uiPriority w:val="99"/>
    <w:semiHidden/>
    <w:locked/>
    <w:rsid w:val="00072840"/>
    <w:rPr>
      <w:rFonts w:cs="Times New Roman"/>
      <w:lang w:val="uk-UA" w:eastAsia="en-US"/>
    </w:rPr>
  </w:style>
</w:styles>
</file>

<file path=word/webSettings.xml><?xml version="1.0" encoding="utf-8"?>
<w:webSettings xmlns:r="http://schemas.openxmlformats.org/officeDocument/2006/relationships" xmlns:w="http://schemas.openxmlformats.org/wordprocessingml/2006/main">
  <w:divs>
    <w:div w:id="948783117">
      <w:marLeft w:val="0"/>
      <w:marRight w:val="0"/>
      <w:marTop w:val="0"/>
      <w:marBottom w:val="0"/>
      <w:divBdr>
        <w:top w:val="none" w:sz="0" w:space="0" w:color="auto"/>
        <w:left w:val="none" w:sz="0" w:space="0" w:color="auto"/>
        <w:bottom w:val="none" w:sz="0" w:space="0" w:color="auto"/>
        <w:right w:val="none" w:sz="0" w:space="0" w:color="auto"/>
      </w:divBdr>
    </w:div>
    <w:div w:id="948783118">
      <w:marLeft w:val="0"/>
      <w:marRight w:val="0"/>
      <w:marTop w:val="0"/>
      <w:marBottom w:val="0"/>
      <w:divBdr>
        <w:top w:val="none" w:sz="0" w:space="0" w:color="auto"/>
        <w:left w:val="none" w:sz="0" w:space="0" w:color="auto"/>
        <w:bottom w:val="none" w:sz="0" w:space="0" w:color="auto"/>
        <w:right w:val="none" w:sz="0" w:space="0" w:color="auto"/>
      </w:divBdr>
    </w:div>
    <w:div w:id="948783119">
      <w:marLeft w:val="0"/>
      <w:marRight w:val="0"/>
      <w:marTop w:val="0"/>
      <w:marBottom w:val="0"/>
      <w:divBdr>
        <w:top w:val="none" w:sz="0" w:space="0" w:color="auto"/>
        <w:left w:val="none" w:sz="0" w:space="0" w:color="auto"/>
        <w:bottom w:val="none" w:sz="0" w:space="0" w:color="auto"/>
        <w:right w:val="none" w:sz="0" w:space="0" w:color="auto"/>
      </w:divBdr>
    </w:div>
    <w:div w:id="948783120">
      <w:marLeft w:val="0"/>
      <w:marRight w:val="0"/>
      <w:marTop w:val="0"/>
      <w:marBottom w:val="0"/>
      <w:divBdr>
        <w:top w:val="none" w:sz="0" w:space="0" w:color="auto"/>
        <w:left w:val="none" w:sz="0" w:space="0" w:color="auto"/>
        <w:bottom w:val="none" w:sz="0" w:space="0" w:color="auto"/>
        <w:right w:val="none" w:sz="0" w:space="0" w:color="auto"/>
      </w:divBdr>
    </w:div>
    <w:div w:id="948783121">
      <w:marLeft w:val="0"/>
      <w:marRight w:val="0"/>
      <w:marTop w:val="0"/>
      <w:marBottom w:val="0"/>
      <w:divBdr>
        <w:top w:val="none" w:sz="0" w:space="0" w:color="auto"/>
        <w:left w:val="none" w:sz="0" w:space="0" w:color="auto"/>
        <w:bottom w:val="none" w:sz="0" w:space="0" w:color="auto"/>
        <w:right w:val="none" w:sz="0" w:space="0" w:color="auto"/>
      </w:divBdr>
    </w:div>
    <w:div w:id="948783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region.gov.ua" TargetMode="External"/><Relationship Id="rId3" Type="http://schemas.openxmlformats.org/officeDocument/2006/relationships/settings" Target="settings.xml"/><Relationship Id="rId7" Type="http://schemas.openxmlformats.org/officeDocument/2006/relationships/hyperlink" Target="http://www.minregion.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6</Pages>
  <Words>1955</Words>
  <Characters>11145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Плахотнюк Руслана</dc:creator>
  <cp:keywords/>
  <dc:description/>
  <cp:lastModifiedBy>Maxim</cp:lastModifiedBy>
  <cp:revision>7</cp:revision>
  <cp:lastPrinted>2013-02-11T09:12:00Z</cp:lastPrinted>
  <dcterms:created xsi:type="dcterms:W3CDTF">2015-04-03T11:55:00Z</dcterms:created>
  <dcterms:modified xsi:type="dcterms:W3CDTF">2015-04-22T12:53:00Z</dcterms:modified>
</cp:coreProperties>
</file>