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A2" w:rsidRPr="006809CB" w:rsidRDefault="00595C5B">
      <w:pPr>
        <w:spacing w:after="0" w:line="240" w:lineRule="auto"/>
        <w:jc w:val="center"/>
        <w:rPr>
          <w:rFonts w:ascii="Times New Roman" w:eastAsia="Times New Roman" w:hAnsi="Times New Roman" w:cs="Times New Roman"/>
          <w:b/>
          <w:smallCaps/>
          <w:sz w:val="28"/>
          <w:szCs w:val="28"/>
        </w:rPr>
      </w:pPr>
      <w:bookmarkStart w:id="0" w:name="_heading=h.gjdgxs" w:colFirst="0" w:colLast="0"/>
      <w:bookmarkEnd w:id="0"/>
      <w:r w:rsidRPr="006809CB">
        <w:rPr>
          <w:rFonts w:ascii="Times New Roman" w:eastAsia="Times New Roman" w:hAnsi="Times New Roman" w:cs="Times New Roman"/>
          <w:b/>
          <w:smallCaps/>
          <w:sz w:val="28"/>
          <w:szCs w:val="28"/>
        </w:rPr>
        <w:t>АНАЛІЗ РЕГУЛЯТОРНОГО ВПЛИВУ</w:t>
      </w:r>
    </w:p>
    <w:p w:rsidR="0049645A" w:rsidRPr="006809CB" w:rsidRDefault="0049645A" w:rsidP="0049645A">
      <w:pPr>
        <w:shd w:val="clear" w:color="auto" w:fill="FFFFFF"/>
        <w:spacing w:after="0"/>
        <w:jc w:val="center"/>
        <w:rPr>
          <w:rFonts w:ascii="Times New Roman" w:eastAsia="Times New Roman" w:hAnsi="Times New Roman" w:cs="Times New Roman"/>
          <w:b/>
          <w:color w:val="000000"/>
          <w:sz w:val="28"/>
          <w:szCs w:val="28"/>
        </w:rPr>
      </w:pPr>
      <w:r w:rsidRPr="006809CB">
        <w:rPr>
          <w:rFonts w:ascii="Times New Roman" w:eastAsia="Times New Roman" w:hAnsi="Times New Roman" w:cs="Times New Roman"/>
          <w:b/>
          <w:color w:val="000000"/>
          <w:sz w:val="28"/>
          <w:szCs w:val="28"/>
        </w:rPr>
        <w:t xml:space="preserve">проекту постанови Кабінету Міністрів України </w:t>
      </w:r>
    </w:p>
    <w:p w:rsidR="0049645A" w:rsidRPr="006809CB" w:rsidRDefault="0049645A" w:rsidP="0049645A">
      <w:pPr>
        <w:shd w:val="clear" w:color="auto" w:fill="FFFFFF"/>
        <w:spacing w:after="0"/>
        <w:jc w:val="center"/>
        <w:rPr>
          <w:rFonts w:ascii="Times New Roman" w:hAnsi="Times New Roman" w:cs="Times New Roman"/>
          <w:b/>
          <w:color w:val="000000"/>
          <w:sz w:val="28"/>
          <w:szCs w:val="28"/>
        </w:rPr>
      </w:pPr>
      <w:r w:rsidRPr="006809CB">
        <w:rPr>
          <w:rFonts w:ascii="Times New Roman" w:eastAsia="Times New Roman" w:hAnsi="Times New Roman" w:cs="Times New Roman"/>
          <w:b/>
          <w:color w:val="000000"/>
          <w:sz w:val="28"/>
          <w:szCs w:val="28"/>
        </w:rPr>
        <w:t>«</w:t>
      </w:r>
      <w:r w:rsidRPr="006809CB">
        <w:rPr>
          <w:rFonts w:ascii="Times New Roman" w:hAnsi="Times New Roman" w:cs="Times New Roman"/>
          <w:b/>
          <w:color w:val="333333"/>
          <w:sz w:val="28"/>
          <w:szCs w:val="28"/>
        </w:rPr>
        <w:t>Про затвердження Порядку підтвердження кваліфікації осіб, які мають намір провадити діяльність із здійснення енергетичних аудитів процесів, транспорту, та кваліфікаційних вимог до енергетичних аудиторів»</w:t>
      </w:r>
    </w:p>
    <w:p w:rsidR="00A05CA2" w:rsidRPr="006809CB" w:rsidRDefault="00A05CA2">
      <w:pPr>
        <w:spacing w:after="0" w:line="240" w:lineRule="auto"/>
        <w:jc w:val="center"/>
        <w:rPr>
          <w:rFonts w:ascii="Times New Roman" w:eastAsia="Times New Roman" w:hAnsi="Times New Roman" w:cs="Times New Roman"/>
          <w:b/>
          <w:sz w:val="28"/>
          <w:szCs w:val="28"/>
        </w:rPr>
      </w:pPr>
    </w:p>
    <w:p w:rsidR="00A05CA2" w:rsidRPr="006809CB" w:rsidRDefault="00595C5B" w:rsidP="00CF0484">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 xml:space="preserve">I. Визначення проблеми </w:t>
      </w:r>
    </w:p>
    <w:p w:rsidR="0049645A" w:rsidRPr="006809CB" w:rsidRDefault="0049645A" w:rsidP="0049645A">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Проект акта розроблено Державним агентством з енергоефективності та енергозбереження України у зв’язку з необхідністю забезпечення належної кількості кваліфікованих належним чином осіб, які мають намір провадити діяльність із здійснення енергетичних аудитів процесів та енергетичних аудитів транспорту, у відповідності з гармонізованими із європейськими національними стандартами. </w:t>
      </w:r>
    </w:p>
    <w:p w:rsidR="0049645A" w:rsidRPr="006809CB" w:rsidRDefault="0049645A" w:rsidP="0049645A">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Для розвитку системи енергетичного аудиту, у першу чергу, необхідно встановити відомості щодо осіб, які пройшли підтвердження кваліфікації, анулювання кваліфікаційного сертифіката, яким відмовлено у видачі кваліфікаційного сертифіката за напрямками процеси та транспорт.</w:t>
      </w:r>
    </w:p>
    <w:p w:rsidR="0049645A" w:rsidRPr="006809CB" w:rsidRDefault="0049645A" w:rsidP="0049645A">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Інформація про стан присвоєння/підтвердження професійної кваліфікації та відмову у видачі, анулювання кваліфікаційних сертифікатів надається кваліфікаційними організаціями (кваліфікаційними центрами) до Державного агентства з енергоефективності та енергозбереження України відповідно до затвердженого згідно з абзацом другим частини дев’ятої статті 11 Закону України “Про енергетичну ефективність”</w:t>
      </w:r>
      <w:r w:rsidR="009E225D" w:rsidRPr="006809CB">
        <w:rPr>
          <w:rFonts w:ascii="Times New Roman" w:eastAsia="Times New Roman" w:hAnsi="Times New Roman" w:cs="Times New Roman"/>
          <w:sz w:val="28"/>
          <w:szCs w:val="28"/>
        </w:rPr>
        <w:t xml:space="preserve"> (далі – Закон)</w:t>
      </w:r>
      <w:r w:rsidRPr="006809CB">
        <w:rPr>
          <w:rFonts w:ascii="Times New Roman" w:eastAsia="Times New Roman" w:hAnsi="Times New Roman" w:cs="Times New Roman"/>
          <w:sz w:val="28"/>
          <w:szCs w:val="28"/>
        </w:rPr>
        <w:t xml:space="preserve"> </w:t>
      </w:r>
      <w:r w:rsidR="009E225D" w:rsidRPr="006809CB">
        <w:rPr>
          <w:rFonts w:ascii="Times New Roman" w:eastAsia="Times New Roman" w:hAnsi="Times New Roman" w:cs="Times New Roman"/>
          <w:sz w:val="28"/>
          <w:szCs w:val="28"/>
        </w:rPr>
        <w:t>п</w:t>
      </w:r>
      <w:r w:rsidRPr="006809CB">
        <w:rPr>
          <w:rFonts w:ascii="Times New Roman" w:eastAsia="Times New Roman" w:hAnsi="Times New Roman" w:cs="Times New Roman"/>
          <w:sz w:val="28"/>
          <w:szCs w:val="28"/>
        </w:rPr>
        <w:t>орядку обміну інформацією між центральним органом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та кваліфікаційними організаціями.</w:t>
      </w:r>
    </w:p>
    <w:p w:rsidR="0049645A" w:rsidRPr="006809CB" w:rsidRDefault="0049645A" w:rsidP="0049645A">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Для узагальнення інформації від усіх кваліфікаційних організацій (кваліфікаційних центрів), що проводять підтвердження професійної кваліфікації осіб, які мають намір провадити діяльність із здійснення енергетичного аудиту за відповідним напрямом (процеси, транспорт), Державне агентство з енергоефективності та енергозбереження України формує та оновлює інформаційну базу даних енергетичних аудиторів відповідно до порядку ведення та оприлюднення бази даних енергетичних аудиторів, затвердженого центральним органом виконавчої влади, що забезпечує формування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 згідно з частиною сьомою статті 11 Закону</w:t>
      </w:r>
      <w:r w:rsidR="009E225D" w:rsidRPr="006809CB">
        <w:rPr>
          <w:rFonts w:ascii="Times New Roman" w:eastAsia="Times New Roman" w:hAnsi="Times New Roman" w:cs="Times New Roman"/>
          <w:sz w:val="28"/>
          <w:szCs w:val="28"/>
        </w:rPr>
        <w:t>.</w:t>
      </w:r>
    </w:p>
    <w:p w:rsidR="0049645A" w:rsidRPr="006809CB" w:rsidRDefault="0049645A" w:rsidP="0049645A">
      <w:pPr>
        <w:spacing w:after="0" w:line="240" w:lineRule="auto"/>
        <w:ind w:firstLine="567"/>
        <w:jc w:val="both"/>
        <w:rPr>
          <w:rFonts w:ascii="Times New Roman" w:hAnsi="Times New Roman" w:cs="Times New Roman"/>
          <w:sz w:val="28"/>
          <w:szCs w:val="28"/>
          <w:highlight w:val="white"/>
        </w:rPr>
      </w:pPr>
      <w:r w:rsidRPr="006809CB">
        <w:rPr>
          <w:rFonts w:ascii="Times New Roman" w:eastAsia="Times New Roman" w:hAnsi="Times New Roman" w:cs="Times New Roman"/>
          <w:sz w:val="28"/>
          <w:szCs w:val="28"/>
        </w:rPr>
        <w:t xml:space="preserve">Проект акта розроблено на виконання абзацу другого частини першої статті 11 Закону, яким визначено, що </w:t>
      </w:r>
      <w:r w:rsidR="009E225D" w:rsidRPr="006809CB">
        <w:rPr>
          <w:rFonts w:ascii="Times New Roman" w:eastAsia="Times New Roman" w:hAnsi="Times New Roman" w:cs="Times New Roman"/>
          <w:sz w:val="28"/>
          <w:szCs w:val="28"/>
        </w:rPr>
        <w:t>п</w:t>
      </w:r>
      <w:r w:rsidRPr="006809CB">
        <w:rPr>
          <w:rFonts w:ascii="Times New Roman" w:hAnsi="Times New Roman" w:cs="Times New Roman"/>
          <w:sz w:val="28"/>
          <w:szCs w:val="28"/>
          <w:highlight w:val="white"/>
        </w:rPr>
        <w:t>орядок підтвердження кваліфікації осіб, які мають намір провадити діяльність із здійснення енергетичних аудитів, та кваліфікаційні вимоги до енергетичних аудиторів затверджується</w:t>
      </w:r>
      <w:r w:rsidRPr="006809CB">
        <w:rPr>
          <w:sz w:val="26"/>
          <w:szCs w:val="26"/>
        </w:rPr>
        <w:t xml:space="preserve"> </w:t>
      </w:r>
      <w:r w:rsidRPr="006809CB">
        <w:rPr>
          <w:rFonts w:ascii="Times New Roman" w:hAnsi="Times New Roman" w:cs="Times New Roman"/>
          <w:sz w:val="28"/>
          <w:szCs w:val="28"/>
        </w:rPr>
        <w:t>Кабінетом Міністрів України та передбачає</w:t>
      </w:r>
      <w:r w:rsidRPr="006809CB">
        <w:rPr>
          <w:rFonts w:ascii="Times New Roman" w:hAnsi="Times New Roman" w:cs="Times New Roman"/>
          <w:sz w:val="28"/>
          <w:szCs w:val="28"/>
          <w:highlight w:val="white"/>
        </w:rPr>
        <w:t>:</w:t>
      </w:r>
    </w:p>
    <w:p w:rsidR="0049645A" w:rsidRPr="006809CB" w:rsidRDefault="0049645A" w:rsidP="0049645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проведення кваліфікаційного іспиту осіб, які мають намір провадити діяльність із здійснення енергетичного аудиту;</w:t>
      </w:r>
    </w:p>
    <w:p w:rsidR="0049645A" w:rsidRPr="006809CB" w:rsidRDefault="0049645A" w:rsidP="0049645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bookmarkStart w:id="1" w:name="bookmark=id.gjdgxs" w:colFirst="0" w:colLast="0"/>
      <w:bookmarkEnd w:id="1"/>
      <w:r w:rsidRPr="006809CB">
        <w:rPr>
          <w:rFonts w:ascii="Times New Roman" w:eastAsia="Times New Roman" w:hAnsi="Times New Roman" w:cs="Times New Roman"/>
          <w:sz w:val="28"/>
          <w:szCs w:val="28"/>
        </w:rPr>
        <w:lastRenderedPageBreak/>
        <w:t>розмежування кваліфікаційних вимог до енергетичних аудитів будівель, процесів та транспорту;</w:t>
      </w:r>
    </w:p>
    <w:p w:rsidR="0049645A" w:rsidRPr="006809CB" w:rsidRDefault="0049645A" w:rsidP="0049645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вимоги до повторного підтвердження кваліфікації осіб;</w:t>
      </w:r>
    </w:p>
    <w:p w:rsidR="0049645A" w:rsidRPr="006809CB" w:rsidRDefault="0049645A" w:rsidP="0049645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вимоги та процедуру анулювання кваліфікаційного сертифіката енергетичного аудитора;</w:t>
      </w:r>
    </w:p>
    <w:p w:rsidR="0049645A" w:rsidRPr="006809CB" w:rsidRDefault="0049645A" w:rsidP="0049645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інші вимоги до підтвердження кваліфікації осіб.</w:t>
      </w:r>
    </w:p>
    <w:p w:rsidR="0049645A" w:rsidRPr="006809CB" w:rsidRDefault="0049645A" w:rsidP="0049645A">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rPr>
      </w:pPr>
      <w:r w:rsidRPr="006809CB">
        <w:rPr>
          <w:rFonts w:ascii="Times New Roman" w:hAnsi="Times New Roman" w:cs="Times New Roman"/>
          <w:sz w:val="28"/>
          <w:szCs w:val="28"/>
        </w:rPr>
        <w:t>Зазначені питання не можуть бути розв’язані за допомогою інших діючих регуляторних актів, а тому потребує прийняття п</w:t>
      </w:r>
      <w:r w:rsidRPr="006809CB">
        <w:rPr>
          <w:rFonts w:ascii="Times New Roman" w:eastAsia="Times New Roman" w:hAnsi="Times New Roman" w:cs="Times New Roman"/>
          <w:sz w:val="28"/>
          <w:szCs w:val="28"/>
        </w:rPr>
        <w:t>роекту акта, яким визначатимуться механізми присвоєння/підтвердження кваліфікаційними організаціями (кваліфікаційними центрами) професійної кваліфікації особам, які мають намір провадити діяльність із здійснення енергетичних аудитів процесів та енергетичних аудитів транспорту, а також встановлюватимуться кваліфікаційні вимоги до енергетичних аудиторів процесів та транспорту.</w:t>
      </w:r>
    </w:p>
    <w:p w:rsidR="00B043C3" w:rsidRPr="006809CB" w:rsidRDefault="00B043C3" w:rsidP="00CF0484">
      <w:pPr>
        <w:spacing w:after="0" w:line="276" w:lineRule="auto"/>
        <w:ind w:firstLine="567"/>
        <w:jc w:val="both"/>
        <w:rPr>
          <w:rFonts w:ascii="Times New Roman" w:eastAsia="Times New Roman" w:hAnsi="Times New Roman" w:cs="Times New Roman"/>
          <w:sz w:val="28"/>
          <w:szCs w:val="28"/>
        </w:rPr>
      </w:pPr>
    </w:p>
    <w:p w:rsidR="00A05CA2" w:rsidRPr="006809CB" w:rsidRDefault="00595C5B" w:rsidP="00CF0484">
      <w:pPr>
        <w:spacing w:after="0" w:line="276"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Основні групи (підгрупи), на які проблема впливає: </w:t>
      </w:r>
    </w:p>
    <w:p w:rsidR="005C0C9B" w:rsidRPr="006809CB" w:rsidRDefault="005C0C9B">
      <w:pPr>
        <w:spacing w:after="0" w:line="276" w:lineRule="auto"/>
        <w:ind w:firstLine="720"/>
        <w:jc w:val="both"/>
        <w:rPr>
          <w:rFonts w:ascii="Times New Roman" w:eastAsia="Times New Roman" w:hAnsi="Times New Roman" w:cs="Times New Roman"/>
          <w:sz w:val="28"/>
          <w:szCs w:val="28"/>
        </w:rPr>
      </w:pPr>
    </w:p>
    <w:tbl>
      <w:tblPr>
        <w:tblStyle w:val="af0"/>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5"/>
        <w:gridCol w:w="1702"/>
        <w:gridCol w:w="1848"/>
      </w:tblGrid>
      <w:tr w:rsidR="00A05CA2" w:rsidRPr="006809CB">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76" w:lineRule="auto"/>
              <w:ind w:firstLine="25"/>
              <w:jc w:val="center"/>
              <w:rPr>
                <w:rFonts w:ascii="Times New Roman" w:eastAsia="Times New Roman" w:hAnsi="Times New Roman" w:cs="Times New Roman"/>
                <w:b/>
                <w:sz w:val="26"/>
                <w:szCs w:val="26"/>
              </w:rPr>
            </w:pPr>
            <w:r w:rsidRPr="006809CB">
              <w:rPr>
                <w:rFonts w:ascii="Times New Roman" w:eastAsia="Times New Roman" w:hAnsi="Times New Roman" w:cs="Times New Roman"/>
                <w:b/>
                <w:sz w:val="26"/>
                <w:szCs w:val="26"/>
              </w:rPr>
              <w:t>Групи (підгрупи)</w:t>
            </w:r>
          </w:p>
        </w:tc>
        <w:tc>
          <w:tcPr>
            <w:tcW w:w="170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76" w:lineRule="auto"/>
              <w:ind w:firstLine="310"/>
              <w:jc w:val="center"/>
              <w:rPr>
                <w:rFonts w:ascii="Times New Roman" w:eastAsia="Times New Roman" w:hAnsi="Times New Roman" w:cs="Times New Roman"/>
                <w:b/>
                <w:sz w:val="26"/>
                <w:szCs w:val="26"/>
              </w:rPr>
            </w:pPr>
            <w:r w:rsidRPr="006809CB">
              <w:rPr>
                <w:rFonts w:ascii="Times New Roman" w:eastAsia="Times New Roman" w:hAnsi="Times New Roman" w:cs="Times New Roman"/>
                <w:b/>
                <w:sz w:val="26"/>
                <w:szCs w:val="26"/>
              </w:rPr>
              <w:t>Так</w:t>
            </w:r>
          </w:p>
        </w:tc>
        <w:tc>
          <w:tcPr>
            <w:tcW w:w="1848"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76" w:lineRule="auto"/>
              <w:ind w:firstLine="310"/>
              <w:jc w:val="center"/>
              <w:rPr>
                <w:rFonts w:ascii="Times New Roman" w:eastAsia="Times New Roman" w:hAnsi="Times New Roman" w:cs="Times New Roman"/>
                <w:b/>
                <w:sz w:val="26"/>
                <w:szCs w:val="26"/>
              </w:rPr>
            </w:pPr>
            <w:r w:rsidRPr="006809CB">
              <w:rPr>
                <w:rFonts w:ascii="Times New Roman" w:eastAsia="Times New Roman" w:hAnsi="Times New Roman" w:cs="Times New Roman"/>
                <w:b/>
                <w:sz w:val="26"/>
                <w:szCs w:val="26"/>
              </w:rPr>
              <w:t>Ні</w:t>
            </w:r>
          </w:p>
        </w:tc>
      </w:tr>
      <w:tr w:rsidR="00A05CA2" w:rsidRPr="006809CB">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200" w:line="276" w:lineRule="auto"/>
              <w:ind w:firstLine="25"/>
              <w:jc w:val="both"/>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 xml:space="preserve">Громадяни </w:t>
            </w:r>
          </w:p>
        </w:tc>
        <w:tc>
          <w:tcPr>
            <w:tcW w:w="1702" w:type="dxa"/>
            <w:tcBorders>
              <w:top w:val="single" w:sz="4" w:space="0" w:color="000000"/>
              <w:left w:val="single" w:sz="4" w:space="0" w:color="000000"/>
              <w:bottom w:val="single" w:sz="4" w:space="0" w:color="000000"/>
              <w:right w:val="single" w:sz="4" w:space="0" w:color="000000"/>
            </w:tcBorders>
          </w:tcPr>
          <w:p w:rsidR="00A05CA2" w:rsidRPr="006809CB" w:rsidRDefault="0049645A">
            <w:pPr>
              <w:spacing w:after="200" w:line="276" w:lineRule="auto"/>
              <w:ind w:firstLine="45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w:t>
            </w:r>
          </w:p>
        </w:tc>
        <w:tc>
          <w:tcPr>
            <w:tcW w:w="1848" w:type="dxa"/>
            <w:tcBorders>
              <w:top w:val="single" w:sz="4" w:space="0" w:color="000000"/>
              <w:left w:val="single" w:sz="4" w:space="0" w:color="000000"/>
              <w:bottom w:val="single" w:sz="4" w:space="0" w:color="000000"/>
              <w:right w:val="single" w:sz="4" w:space="0" w:color="000000"/>
            </w:tcBorders>
          </w:tcPr>
          <w:p w:rsidR="00A05CA2" w:rsidRPr="006809CB" w:rsidRDefault="0049645A">
            <w:pPr>
              <w:spacing w:after="200" w:line="276" w:lineRule="auto"/>
              <w:ind w:firstLine="45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w:t>
            </w:r>
          </w:p>
        </w:tc>
      </w:tr>
      <w:tr w:rsidR="00A05CA2" w:rsidRPr="006809CB">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200" w:line="276" w:lineRule="auto"/>
              <w:ind w:firstLine="25"/>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Держава </w:t>
            </w:r>
          </w:p>
        </w:tc>
        <w:tc>
          <w:tcPr>
            <w:tcW w:w="1702" w:type="dxa"/>
            <w:tcBorders>
              <w:top w:val="single" w:sz="4" w:space="0" w:color="000000"/>
              <w:left w:val="single" w:sz="4" w:space="0" w:color="000000"/>
              <w:bottom w:val="single" w:sz="4" w:space="0" w:color="000000"/>
              <w:right w:val="single" w:sz="4" w:space="0" w:color="000000"/>
            </w:tcBorders>
          </w:tcPr>
          <w:p w:rsidR="00A05CA2" w:rsidRPr="006809CB" w:rsidRDefault="00181F5A">
            <w:pPr>
              <w:spacing w:after="200" w:line="276" w:lineRule="auto"/>
              <w:ind w:firstLine="45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w:t>
            </w:r>
          </w:p>
        </w:tc>
        <w:tc>
          <w:tcPr>
            <w:tcW w:w="1848"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200" w:line="276" w:lineRule="auto"/>
              <w:ind w:firstLine="45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w:t>
            </w:r>
          </w:p>
        </w:tc>
      </w:tr>
      <w:tr w:rsidR="00A05CA2" w:rsidRPr="006809CB">
        <w:trPr>
          <w:jc w:val="center"/>
        </w:trPr>
        <w:tc>
          <w:tcPr>
            <w:tcW w:w="6095"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200" w:line="276" w:lineRule="auto"/>
              <w:ind w:firstLine="25"/>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Суб’єкти господарювання (суб’єкти великого підприємництва)</w:t>
            </w:r>
          </w:p>
        </w:tc>
        <w:tc>
          <w:tcPr>
            <w:tcW w:w="1702" w:type="dxa"/>
            <w:tcBorders>
              <w:top w:val="single" w:sz="4" w:space="0" w:color="000000"/>
              <w:left w:val="single" w:sz="4" w:space="0" w:color="000000"/>
              <w:bottom w:val="single" w:sz="4" w:space="0" w:color="000000"/>
              <w:right w:val="single" w:sz="4" w:space="0" w:color="000000"/>
            </w:tcBorders>
          </w:tcPr>
          <w:p w:rsidR="00A05CA2" w:rsidRPr="006809CB" w:rsidRDefault="00181F5A">
            <w:pPr>
              <w:spacing w:after="200" w:line="276" w:lineRule="auto"/>
              <w:ind w:firstLine="45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w:t>
            </w:r>
          </w:p>
        </w:tc>
        <w:tc>
          <w:tcPr>
            <w:tcW w:w="1848" w:type="dxa"/>
            <w:tcBorders>
              <w:top w:val="single" w:sz="4" w:space="0" w:color="000000"/>
              <w:left w:val="single" w:sz="4" w:space="0" w:color="000000"/>
              <w:bottom w:val="single" w:sz="4" w:space="0" w:color="000000"/>
              <w:right w:val="single" w:sz="4" w:space="0" w:color="000000"/>
            </w:tcBorders>
          </w:tcPr>
          <w:p w:rsidR="00A05CA2" w:rsidRPr="006809CB" w:rsidRDefault="00017E4C">
            <w:pPr>
              <w:spacing w:after="200" w:line="276" w:lineRule="auto"/>
              <w:ind w:firstLine="45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w:t>
            </w:r>
          </w:p>
        </w:tc>
      </w:tr>
    </w:tbl>
    <w:p w:rsidR="00CF0484" w:rsidRPr="006809CB" w:rsidRDefault="00CF0484" w:rsidP="00C92FD8">
      <w:pPr>
        <w:spacing w:after="0" w:line="276" w:lineRule="auto"/>
        <w:ind w:firstLine="566"/>
        <w:jc w:val="both"/>
        <w:rPr>
          <w:rFonts w:ascii="Times New Roman" w:eastAsia="Times New Roman" w:hAnsi="Times New Roman" w:cs="Times New Roman"/>
          <w:sz w:val="20"/>
          <w:szCs w:val="20"/>
        </w:rPr>
      </w:pPr>
    </w:p>
    <w:p w:rsidR="00C92FD8" w:rsidRPr="006809CB" w:rsidRDefault="00C92FD8" w:rsidP="00CF0484">
      <w:pP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Визначена проблема не може бути розв</w:t>
      </w:r>
      <w:r w:rsidR="00CF0484" w:rsidRPr="006809CB">
        <w:rPr>
          <w:rFonts w:ascii="Times New Roman" w:eastAsia="Times New Roman" w:hAnsi="Times New Roman" w:cs="Times New Roman"/>
          <w:sz w:val="28"/>
          <w:szCs w:val="28"/>
        </w:rPr>
        <w:t>’</w:t>
      </w:r>
      <w:r w:rsidRPr="006809CB">
        <w:rPr>
          <w:rFonts w:ascii="Times New Roman" w:eastAsia="Times New Roman" w:hAnsi="Times New Roman" w:cs="Times New Roman"/>
          <w:sz w:val="28"/>
          <w:szCs w:val="28"/>
        </w:rPr>
        <w:t xml:space="preserve">язана за допомогою ринкових механізмів, оскільки питання встановлення </w:t>
      </w:r>
      <w:r w:rsidR="0049645A" w:rsidRPr="006809CB">
        <w:rPr>
          <w:rFonts w:ascii="Times New Roman" w:eastAsia="Times New Roman" w:hAnsi="Times New Roman" w:cs="Times New Roman"/>
          <w:sz w:val="28"/>
          <w:szCs w:val="28"/>
        </w:rPr>
        <w:t xml:space="preserve">порядку </w:t>
      </w:r>
      <w:r w:rsidR="0049645A" w:rsidRPr="006809CB">
        <w:rPr>
          <w:rFonts w:ascii="Times New Roman" w:hAnsi="Times New Roman" w:cs="Times New Roman"/>
          <w:sz w:val="28"/>
          <w:szCs w:val="28"/>
          <w:highlight w:val="white"/>
        </w:rPr>
        <w:t>підтвердження кваліфікації осіб, які мають намір провадити діяльність із здійснення енергетичних аудитів, та кваліфікаційних вимог до енергетичних аудиторів</w:t>
      </w:r>
      <w:r w:rsidRPr="006809CB">
        <w:rPr>
          <w:rFonts w:ascii="Times New Roman" w:eastAsia="Times New Roman" w:hAnsi="Times New Roman" w:cs="Times New Roman"/>
          <w:sz w:val="28"/>
          <w:szCs w:val="28"/>
        </w:rPr>
        <w:t xml:space="preserve"> потребує державного регулювання. Діючі регуляторні акти, які могли б врегулювати проблему ˗ відсутні.</w:t>
      </w:r>
    </w:p>
    <w:p w:rsidR="0049645A" w:rsidRPr="006809CB" w:rsidRDefault="0049645A" w:rsidP="00CF0484">
      <w:pP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Встановлення вимог до процедур оцінювання та присвоєння (підтвердження, визнання) професійних кваліфікацій стосуватиметься суб'єктів, що отримали відповідну підготовку і підтвердили спроможність реалізувати процес </w:t>
      </w:r>
      <w:proofErr w:type="spellStart"/>
      <w:r w:rsidRPr="006809CB">
        <w:rPr>
          <w:rFonts w:ascii="Times New Roman" w:eastAsia="Times New Roman" w:hAnsi="Times New Roman" w:cs="Times New Roman"/>
          <w:sz w:val="28"/>
          <w:szCs w:val="28"/>
        </w:rPr>
        <w:t>енергоаудиту</w:t>
      </w:r>
      <w:proofErr w:type="spellEnd"/>
      <w:r w:rsidRPr="006809CB">
        <w:rPr>
          <w:rFonts w:ascii="Times New Roman" w:eastAsia="Times New Roman" w:hAnsi="Times New Roman" w:cs="Times New Roman"/>
          <w:sz w:val="28"/>
          <w:szCs w:val="28"/>
        </w:rPr>
        <w:t xml:space="preserve"> процесів та транспорту якісно.</w:t>
      </w:r>
    </w:p>
    <w:p w:rsidR="00CF0484" w:rsidRPr="006809CB" w:rsidRDefault="00CF0484" w:rsidP="00CF0484">
      <w:pPr>
        <w:spacing w:after="0" w:line="240" w:lineRule="auto"/>
        <w:ind w:firstLine="566"/>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Прийняття проекту акта забезпечить виконання абзацу </w:t>
      </w:r>
      <w:r w:rsidR="0049645A" w:rsidRPr="006809CB">
        <w:rPr>
          <w:rFonts w:ascii="Times New Roman" w:eastAsia="Times New Roman" w:hAnsi="Times New Roman" w:cs="Times New Roman"/>
          <w:sz w:val="28"/>
          <w:szCs w:val="28"/>
        </w:rPr>
        <w:t>другого частини першої стаття 11</w:t>
      </w:r>
      <w:r w:rsidRPr="006809CB">
        <w:rPr>
          <w:rFonts w:ascii="Times New Roman" w:eastAsia="Times New Roman" w:hAnsi="Times New Roman" w:cs="Times New Roman"/>
          <w:sz w:val="28"/>
          <w:szCs w:val="28"/>
        </w:rPr>
        <w:t xml:space="preserve"> Закону та дозволить врегулювати механізм</w:t>
      </w:r>
      <w:r w:rsidR="009E225D" w:rsidRPr="006809CB">
        <w:rPr>
          <w:rFonts w:ascii="Times New Roman" w:eastAsia="Times New Roman" w:hAnsi="Times New Roman" w:cs="Times New Roman"/>
          <w:sz w:val="28"/>
          <w:szCs w:val="28"/>
        </w:rPr>
        <w:t>и</w:t>
      </w:r>
      <w:r w:rsidRPr="006809CB">
        <w:rPr>
          <w:rFonts w:ascii="Times New Roman" w:eastAsia="Times New Roman" w:hAnsi="Times New Roman" w:cs="Times New Roman"/>
          <w:sz w:val="28"/>
          <w:szCs w:val="28"/>
        </w:rPr>
        <w:t xml:space="preserve"> </w:t>
      </w:r>
      <w:r w:rsidR="009E225D" w:rsidRPr="006809CB">
        <w:rPr>
          <w:rFonts w:ascii="Times New Roman" w:hAnsi="Times New Roman" w:cs="Times New Roman"/>
          <w:sz w:val="28"/>
          <w:szCs w:val="28"/>
          <w:highlight w:val="white"/>
        </w:rPr>
        <w:t>підтвердження кваліфікації осіб, які мають намір провадити діяльність із здійснення енергетичних аудитів, та кваліфікаційні вимоги до енергетичних аудиторів</w:t>
      </w:r>
      <w:r w:rsidRPr="006809CB">
        <w:rPr>
          <w:rFonts w:ascii="Times New Roman" w:eastAsia="Times New Roman" w:hAnsi="Times New Roman" w:cs="Times New Roman"/>
          <w:sz w:val="28"/>
          <w:szCs w:val="28"/>
        </w:rPr>
        <w:t>.</w:t>
      </w:r>
    </w:p>
    <w:p w:rsidR="002B135E" w:rsidRPr="006809CB" w:rsidRDefault="002B135E" w:rsidP="00CF0484">
      <w:pPr>
        <w:spacing w:after="0" w:line="240" w:lineRule="auto"/>
        <w:jc w:val="both"/>
        <w:rPr>
          <w:rFonts w:ascii="Times New Roman" w:eastAsia="Times New Roman" w:hAnsi="Times New Roman" w:cs="Times New Roman"/>
          <w:sz w:val="28"/>
          <w:szCs w:val="28"/>
        </w:rPr>
      </w:pPr>
    </w:p>
    <w:p w:rsidR="00A05CA2" w:rsidRPr="006809CB" w:rsidRDefault="00595C5B" w:rsidP="00CF0484">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 xml:space="preserve">II. Цілі державного регулювання </w:t>
      </w:r>
    </w:p>
    <w:p w:rsidR="00A05CA2" w:rsidRPr="006809CB" w:rsidRDefault="00595C5B" w:rsidP="00CF0484">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Ціллю державного регулювання є</w:t>
      </w:r>
      <w:r w:rsidR="00CF0484" w:rsidRPr="006809CB">
        <w:rPr>
          <w:rFonts w:ascii="Times New Roman" w:eastAsia="Times New Roman" w:hAnsi="Times New Roman" w:cs="Times New Roman"/>
          <w:sz w:val="28"/>
          <w:szCs w:val="28"/>
        </w:rPr>
        <w:t xml:space="preserve"> </w:t>
      </w:r>
      <w:r w:rsidR="00E83D63" w:rsidRPr="006809CB">
        <w:rPr>
          <w:rFonts w:ascii="Times New Roman" w:eastAsia="Times New Roman" w:hAnsi="Times New Roman" w:cs="Times New Roman"/>
          <w:sz w:val="28"/>
          <w:szCs w:val="28"/>
        </w:rPr>
        <w:t xml:space="preserve">виконання вимог </w:t>
      </w:r>
      <w:r w:rsidR="00CF0484" w:rsidRPr="006809CB">
        <w:rPr>
          <w:rFonts w:ascii="Times New Roman" w:eastAsia="Times New Roman" w:hAnsi="Times New Roman" w:cs="Times New Roman"/>
          <w:sz w:val="28"/>
          <w:szCs w:val="28"/>
        </w:rPr>
        <w:t xml:space="preserve">абзацу </w:t>
      </w:r>
      <w:r w:rsidR="009E225D" w:rsidRPr="006809CB">
        <w:rPr>
          <w:rFonts w:ascii="Times New Roman" w:eastAsia="Times New Roman" w:hAnsi="Times New Roman" w:cs="Times New Roman"/>
          <w:sz w:val="28"/>
          <w:szCs w:val="28"/>
        </w:rPr>
        <w:t xml:space="preserve">другого частини першої статті 11 Закону та встановлення </w:t>
      </w:r>
      <w:bookmarkStart w:id="2" w:name="bookmark=id.30j0zll" w:colFirst="0" w:colLast="0"/>
      <w:bookmarkEnd w:id="2"/>
      <w:r w:rsidR="009E225D" w:rsidRPr="006809CB">
        <w:rPr>
          <w:rFonts w:ascii="Times New Roman" w:eastAsia="Times New Roman" w:hAnsi="Times New Roman" w:cs="Times New Roman"/>
          <w:sz w:val="28"/>
          <w:szCs w:val="28"/>
        </w:rPr>
        <w:t xml:space="preserve">механізмів </w:t>
      </w:r>
      <w:r w:rsidR="009E225D" w:rsidRPr="006809CB">
        <w:rPr>
          <w:rFonts w:ascii="Times New Roman" w:hAnsi="Times New Roman" w:cs="Times New Roman"/>
          <w:sz w:val="28"/>
          <w:szCs w:val="28"/>
          <w:highlight w:val="white"/>
        </w:rPr>
        <w:t>підтвердження кваліфікації осіб, які мають намір провадити діяльність із здійснення енергетичних аудитів, та кваліфікаційних вимог до енергетичних аудиторів</w:t>
      </w:r>
      <w:r w:rsidR="00437EA9" w:rsidRPr="006809CB">
        <w:rPr>
          <w:rFonts w:ascii="Times New Roman" w:eastAsia="Times New Roman" w:hAnsi="Times New Roman" w:cs="Times New Roman"/>
          <w:sz w:val="28"/>
          <w:szCs w:val="28"/>
        </w:rPr>
        <w:t>.</w:t>
      </w:r>
    </w:p>
    <w:p w:rsidR="00A05CA2" w:rsidRPr="006809CB" w:rsidRDefault="00A05CA2" w:rsidP="00CF0484">
      <w:pPr>
        <w:spacing w:after="0" w:line="240" w:lineRule="auto"/>
        <w:ind w:firstLine="567"/>
        <w:jc w:val="both"/>
        <w:rPr>
          <w:rFonts w:ascii="Times New Roman" w:eastAsia="Times New Roman" w:hAnsi="Times New Roman" w:cs="Times New Roman"/>
          <w:sz w:val="28"/>
          <w:szCs w:val="28"/>
        </w:rPr>
      </w:pPr>
    </w:p>
    <w:p w:rsidR="00A05CA2" w:rsidRPr="006809CB" w:rsidRDefault="00595C5B" w:rsidP="00CF0484">
      <w:pPr>
        <w:tabs>
          <w:tab w:val="left" w:pos="567"/>
        </w:tabs>
        <w:spacing w:after="0" w:line="240" w:lineRule="auto"/>
        <w:ind w:firstLine="567"/>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lastRenderedPageBreak/>
        <w:t>III. Визначення та оцінка альтернативних способів досягнення цілей</w:t>
      </w:r>
    </w:p>
    <w:p w:rsidR="00437EA9" w:rsidRPr="006809CB" w:rsidRDefault="00437EA9" w:rsidP="00CF0484">
      <w:pPr>
        <w:tabs>
          <w:tab w:val="left" w:pos="567"/>
        </w:tabs>
        <w:spacing w:after="0" w:line="240" w:lineRule="auto"/>
        <w:ind w:firstLine="567"/>
        <w:rPr>
          <w:rFonts w:ascii="Times New Roman" w:eastAsia="Times New Roman" w:hAnsi="Times New Roman" w:cs="Times New Roman"/>
          <w:bCs/>
          <w:sz w:val="20"/>
          <w:szCs w:val="20"/>
        </w:rPr>
      </w:pPr>
    </w:p>
    <w:p w:rsidR="00A05CA2" w:rsidRPr="006809CB" w:rsidRDefault="00437EA9" w:rsidP="00437EA9">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1. </w:t>
      </w:r>
      <w:r w:rsidR="00595C5B" w:rsidRPr="006809CB">
        <w:rPr>
          <w:rFonts w:ascii="Times New Roman" w:eastAsia="Times New Roman" w:hAnsi="Times New Roman" w:cs="Times New Roman"/>
          <w:sz w:val="28"/>
          <w:szCs w:val="28"/>
        </w:rPr>
        <w:t>Визначення альтернативних способів</w:t>
      </w:r>
    </w:p>
    <w:p w:rsidR="00A05CA2" w:rsidRPr="006809CB" w:rsidRDefault="00A05CA2">
      <w:pPr>
        <w:spacing w:after="0" w:line="240" w:lineRule="auto"/>
        <w:ind w:firstLine="709"/>
        <w:jc w:val="both"/>
        <w:rPr>
          <w:rFonts w:ascii="Times New Roman" w:eastAsia="Times New Roman" w:hAnsi="Times New Roman" w:cs="Times New Roman"/>
          <w:sz w:val="14"/>
          <w:szCs w:val="14"/>
        </w:rPr>
      </w:pPr>
    </w:p>
    <w:tbl>
      <w:tblPr>
        <w:tblStyle w:val="af1"/>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2"/>
        <w:gridCol w:w="7483"/>
      </w:tblGrid>
      <w:tr w:rsidR="00A05CA2" w:rsidRPr="006809CB">
        <w:trPr>
          <w:jc w:val="center"/>
        </w:trPr>
        <w:tc>
          <w:tcPr>
            <w:tcW w:w="216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Вид альтернативи</w:t>
            </w:r>
          </w:p>
        </w:tc>
        <w:tc>
          <w:tcPr>
            <w:tcW w:w="7483"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Опис альтернативи</w:t>
            </w:r>
          </w:p>
        </w:tc>
      </w:tr>
      <w:tr w:rsidR="004A0072" w:rsidRPr="006809CB">
        <w:trPr>
          <w:jc w:val="center"/>
        </w:trPr>
        <w:tc>
          <w:tcPr>
            <w:tcW w:w="2162" w:type="dxa"/>
            <w:tcBorders>
              <w:top w:val="single" w:sz="4" w:space="0" w:color="000000"/>
              <w:left w:val="single" w:sz="4" w:space="0" w:color="000000"/>
              <w:bottom w:val="single" w:sz="4" w:space="0" w:color="000000"/>
              <w:right w:val="single" w:sz="4" w:space="0" w:color="000000"/>
            </w:tcBorders>
          </w:tcPr>
          <w:p w:rsidR="00702258" w:rsidRPr="006809CB" w:rsidRDefault="00702258" w:rsidP="00702258">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1</w:t>
            </w:r>
          </w:p>
          <w:p w:rsidR="00702258" w:rsidRPr="006809CB" w:rsidRDefault="00702258" w:rsidP="008B4931">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Існуюча ситуація залишається без змін</w:t>
            </w:r>
          </w:p>
        </w:tc>
        <w:tc>
          <w:tcPr>
            <w:tcW w:w="7483" w:type="dxa"/>
            <w:tcBorders>
              <w:top w:val="single" w:sz="4" w:space="0" w:color="000000"/>
              <w:left w:val="single" w:sz="4" w:space="0" w:color="000000"/>
              <w:bottom w:val="single" w:sz="4" w:space="0" w:color="000000"/>
              <w:right w:val="single" w:sz="4" w:space="0" w:color="000000"/>
            </w:tcBorders>
          </w:tcPr>
          <w:p w:rsidR="00702258" w:rsidRPr="006809CB" w:rsidRDefault="00702258" w:rsidP="009E225D">
            <w:pPr>
              <w:spacing w:after="0" w:line="240" w:lineRule="auto"/>
              <w:ind w:firstLine="272"/>
              <w:jc w:val="both"/>
              <w:rPr>
                <w:rFonts w:ascii="Times New Roman" w:eastAsia="Times New Roman" w:hAnsi="Times New Roman" w:cs="Times New Roman"/>
                <w:sz w:val="26"/>
                <w:szCs w:val="26"/>
              </w:rPr>
            </w:pPr>
            <w:r w:rsidRPr="006809CB">
              <w:rPr>
                <w:rFonts w:ascii="Times New Roman" w:hAnsi="Times New Roman" w:cs="Times New Roman"/>
                <w:sz w:val="26"/>
                <w:szCs w:val="26"/>
                <w:highlight w:val="white"/>
              </w:rPr>
              <w:t>Залишити регулювання без змін. Ця альтернатива є недоцільною, оскільки визначені цілі державного регулювання не будуть досягнуті, не буде</w:t>
            </w:r>
            <w:r w:rsidRPr="006809CB">
              <w:rPr>
                <w:rFonts w:ascii="Times New Roman" w:eastAsia="Times New Roman" w:hAnsi="Times New Roman" w:cs="Times New Roman"/>
                <w:sz w:val="26"/>
                <w:szCs w:val="26"/>
              </w:rPr>
              <w:t xml:space="preserve"> забезпечено виконання абзацу </w:t>
            </w:r>
            <w:r w:rsidR="009E225D" w:rsidRPr="006809CB">
              <w:rPr>
                <w:rFonts w:ascii="Times New Roman" w:eastAsia="Times New Roman" w:hAnsi="Times New Roman" w:cs="Times New Roman"/>
                <w:sz w:val="26"/>
                <w:szCs w:val="26"/>
              </w:rPr>
              <w:t>другого частини першої статті 11</w:t>
            </w:r>
            <w:r w:rsidRPr="006809CB">
              <w:rPr>
                <w:rFonts w:ascii="Times New Roman" w:eastAsia="Times New Roman" w:hAnsi="Times New Roman" w:cs="Times New Roman"/>
                <w:sz w:val="26"/>
                <w:szCs w:val="26"/>
              </w:rPr>
              <w:t xml:space="preserve"> Закону</w:t>
            </w:r>
            <w:r w:rsidR="009E225D" w:rsidRPr="006809CB">
              <w:rPr>
                <w:rFonts w:ascii="Times New Roman" w:eastAsia="Times New Roman" w:hAnsi="Times New Roman" w:cs="Times New Roman"/>
                <w:sz w:val="26"/>
                <w:szCs w:val="26"/>
              </w:rPr>
              <w:t>.</w:t>
            </w:r>
            <w:r w:rsidRPr="006809CB">
              <w:rPr>
                <w:rFonts w:ascii="Times New Roman" w:eastAsia="Times New Roman" w:hAnsi="Times New Roman" w:cs="Times New Roman"/>
                <w:sz w:val="26"/>
                <w:szCs w:val="26"/>
              </w:rPr>
              <w:t xml:space="preserve"> </w:t>
            </w:r>
          </w:p>
          <w:p w:rsidR="009E225D" w:rsidRPr="006809CB" w:rsidRDefault="009E225D" w:rsidP="009E225D">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Результати навчання здобуті в системі неформальної освіти або шляхом самоосвіти не визнаються на офіційному ринку праці і не можуть конвертуватися у відповідні кваліфікації. Система формальної освіти не забезпечить швидку зміну змісту підготовки фахівців відповідно до вимог ринку праці через встановлені законодавством строки підготовки, вимоги до освітніх програм інші об'єктивні і суб'єктивні чинники</w:t>
            </w:r>
          </w:p>
        </w:tc>
      </w:tr>
      <w:tr w:rsidR="008B4931" w:rsidRPr="006809CB">
        <w:trPr>
          <w:jc w:val="center"/>
        </w:trPr>
        <w:tc>
          <w:tcPr>
            <w:tcW w:w="2162" w:type="dxa"/>
            <w:tcBorders>
              <w:top w:val="single" w:sz="4" w:space="0" w:color="000000"/>
              <w:left w:val="single" w:sz="4" w:space="0" w:color="000000"/>
              <w:bottom w:val="single" w:sz="4" w:space="0" w:color="000000"/>
              <w:right w:val="single" w:sz="4" w:space="0" w:color="000000"/>
            </w:tcBorders>
          </w:tcPr>
          <w:p w:rsidR="008B4931" w:rsidRPr="006809CB" w:rsidRDefault="008B4931" w:rsidP="00702258">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2</w:t>
            </w:r>
          </w:p>
          <w:p w:rsidR="008B4931" w:rsidRPr="006809CB" w:rsidRDefault="008B4931" w:rsidP="008B4931">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Прийняття проекту акта</w:t>
            </w:r>
          </w:p>
        </w:tc>
        <w:tc>
          <w:tcPr>
            <w:tcW w:w="7483" w:type="dxa"/>
            <w:tcBorders>
              <w:top w:val="single" w:sz="4" w:space="0" w:color="000000"/>
              <w:left w:val="single" w:sz="4" w:space="0" w:color="000000"/>
              <w:bottom w:val="single" w:sz="4" w:space="0" w:color="000000"/>
              <w:right w:val="single" w:sz="4" w:space="0" w:color="000000"/>
            </w:tcBorders>
          </w:tcPr>
          <w:p w:rsidR="008B4931" w:rsidRPr="006809CB" w:rsidRDefault="008B4931" w:rsidP="008B4931">
            <w:pPr>
              <w:spacing w:after="0" w:line="240" w:lineRule="auto"/>
              <w:ind w:firstLine="272"/>
              <w:jc w:val="both"/>
              <w:rPr>
                <w:rFonts w:ascii="Times New Roman" w:eastAsia="Times New Roman" w:hAnsi="Times New Roman" w:cs="Times New Roman"/>
                <w:sz w:val="26"/>
                <w:szCs w:val="26"/>
              </w:rPr>
            </w:pPr>
            <w:r w:rsidRPr="006809CB">
              <w:rPr>
                <w:rFonts w:ascii="Times New Roman" w:hAnsi="Times New Roman" w:cs="Times New Roman"/>
                <w:sz w:val="26"/>
                <w:szCs w:val="26"/>
                <w:highlight w:val="white"/>
              </w:rPr>
              <w:t>Прийняття регуляторного акта є оптимальним способом вирішення зазначеної проблеми. Визначені цілі державного регулювання будуть досягнуті. Прийняття проекту акта забезпечить</w:t>
            </w:r>
            <w:r w:rsidRPr="006809CB">
              <w:rPr>
                <w:rFonts w:ascii="Times New Roman" w:eastAsia="Times New Roman" w:hAnsi="Times New Roman" w:cs="Times New Roman"/>
                <w:sz w:val="26"/>
                <w:szCs w:val="26"/>
              </w:rPr>
              <w:t xml:space="preserve"> виконання абзацу </w:t>
            </w:r>
            <w:r w:rsidR="004A0072" w:rsidRPr="006809CB">
              <w:rPr>
                <w:rFonts w:ascii="Times New Roman" w:eastAsia="Times New Roman" w:hAnsi="Times New Roman" w:cs="Times New Roman"/>
                <w:sz w:val="26"/>
                <w:szCs w:val="26"/>
              </w:rPr>
              <w:t>другого частини першої статті 11</w:t>
            </w:r>
            <w:r w:rsidRPr="006809CB">
              <w:rPr>
                <w:rFonts w:ascii="Times New Roman" w:eastAsia="Times New Roman" w:hAnsi="Times New Roman" w:cs="Times New Roman"/>
                <w:sz w:val="26"/>
                <w:szCs w:val="26"/>
              </w:rPr>
              <w:t xml:space="preserve"> Закону та врегулювання механізму </w:t>
            </w:r>
            <w:r w:rsidR="004A0072" w:rsidRPr="006809CB">
              <w:rPr>
                <w:rFonts w:ascii="Times New Roman" w:hAnsi="Times New Roman" w:cs="Times New Roman"/>
                <w:sz w:val="26"/>
                <w:szCs w:val="26"/>
                <w:highlight w:val="white"/>
              </w:rPr>
              <w:t>підтвердження кваліфікації осіб, які мають намір провадити діяльність із здійснення енергетичних аудитів, встановлення кваліфікаційних вимог до енергетичних аудиторів</w:t>
            </w:r>
            <w:r w:rsidRPr="006809CB">
              <w:rPr>
                <w:rFonts w:ascii="Times New Roman" w:eastAsia="Times New Roman" w:hAnsi="Times New Roman" w:cs="Times New Roman"/>
                <w:sz w:val="26"/>
                <w:szCs w:val="26"/>
              </w:rPr>
              <w:t>.</w:t>
            </w:r>
          </w:p>
          <w:p w:rsidR="004A0072" w:rsidRPr="006809CB" w:rsidRDefault="004A0072" w:rsidP="008B4931">
            <w:pPr>
              <w:spacing w:after="0" w:line="240" w:lineRule="auto"/>
              <w:ind w:firstLine="272"/>
              <w:jc w:val="both"/>
              <w:rPr>
                <w:rFonts w:ascii="Times New Roman" w:eastAsia="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Прийняття проекту акта забезпечить визнання неформальної освіти та самоосвіти, розширить можливості працівників до працевлаштування і самореалізації, зробить ринок робочої сили більш гнучким і чутливим до вимог ринку праці, стимулюватиме розширенню мережі неформальної освіти, якості надання відповідних освітніх послуг.</w:t>
            </w:r>
          </w:p>
          <w:p w:rsidR="008B4931" w:rsidRPr="006809CB" w:rsidRDefault="00467B2E" w:rsidP="008B4931">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Проект акта в</w:t>
            </w:r>
            <w:r w:rsidR="008B4931" w:rsidRPr="006809CB">
              <w:rPr>
                <w:rFonts w:ascii="Times New Roman" w:eastAsia="Times New Roman" w:hAnsi="Times New Roman" w:cs="Times New Roman"/>
                <w:sz w:val="26"/>
                <w:szCs w:val="26"/>
              </w:rPr>
              <w:t>ідповідає принципу адекватності регуляторної діяльності, вимогам часу та євроінтеграційним процесам в Україні.</w:t>
            </w:r>
          </w:p>
          <w:p w:rsidR="008B4931" w:rsidRPr="006809CB" w:rsidRDefault="008B4931" w:rsidP="008B4931">
            <w:pPr>
              <w:spacing w:after="0" w:line="240" w:lineRule="auto"/>
              <w:ind w:firstLine="272"/>
              <w:jc w:val="both"/>
              <w:rPr>
                <w:rFonts w:ascii="Times New Roman" w:hAnsi="Times New Roman" w:cs="Times New Roman"/>
                <w:sz w:val="26"/>
                <w:szCs w:val="26"/>
                <w:highlight w:val="white"/>
              </w:rPr>
            </w:pPr>
            <w:r w:rsidRPr="006809CB">
              <w:rPr>
                <w:rFonts w:ascii="Times New Roman" w:eastAsia="Times New Roman" w:hAnsi="Times New Roman" w:cs="Times New Roman"/>
                <w:sz w:val="26"/>
                <w:szCs w:val="26"/>
              </w:rPr>
              <w:t>Обраний спосіб забезпечує досягнення цілей державного регулювання</w:t>
            </w:r>
          </w:p>
        </w:tc>
      </w:tr>
    </w:tbl>
    <w:p w:rsidR="00A05CA2" w:rsidRPr="006809CB" w:rsidRDefault="00A05CA2">
      <w:pPr>
        <w:spacing w:after="0" w:line="240" w:lineRule="auto"/>
        <w:jc w:val="both"/>
        <w:rPr>
          <w:rFonts w:ascii="Times New Roman" w:eastAsia="Times New Roman" w:hAnsi="Times New Roman" w:cs="Times New Roman"/>
          <w:sz w:val="28"/>
          <w:szCs w:val="28"/>
        </w:rPr>
      </w:pPr>
    </w:p>
    <w:p w:rsidR="00A05CA2" w:rsidRPr="006809CB" w:rsidRDefault="00467B2E" w:rsidP="008E3574">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2. </w:t>
      </w:r>
      <w:r w:rsidR="00595C5B" w:rsidRPr="006809CB">
        <w:rPr>
          <w:rFonts w:ascii="Times New Roman" w:eastAsia="Times New Roman" w:hAnsi="Times New Roman" w:cs="Times New Roman"/>
          <w:sz w:val="28"/>
          <w:szCs w:val="28"/>
        </w:rPr>
        <w:t>Оцінка вибраних альтернативних способів досягнення цілей</w:t>
      </w:r>
    </w:p>
    <w:p w:rsidR="00FD1011" w:rsidRPr="006809CB" w:rsidRDefault="00FD1011" w:rsidP="00FD1011">
      <w:pPr>
        <w:pStyle w:val="af9"/>
        <w:spacing w:after="0" w:line="240" w:lineRule="auto"/>
        <w:ind w:left="1069"/>
        <w:jc w:val="both"/>
        <w:rPr>
          <w:rFonts w:ascii="Times New Roman" w:eastAsia="Times New Roman" w:hAnsi="Times New Roman" w:cs="Times New Roman"/>
          <w:sz w:val="20"/>
          <w:szCs w:val="20"/>
        </w:rPr>
      </w:pPr>
    </w:p>
    <w:p w:rsidR="00A05CA2" w:rsidRPr="006809CB" w:rsidRDefault="00595C5B" w:rsidP="008E3574">
      <w:pPr>
        <w:spacing w:after="0" w:line="240" w:lineRule="auto"/>
        <w:ind w:firstLine="567"/>
        <w:jc w:val="both"/>
        <w:rPr>
          <w:rFonts w:ascii="Times New Roman" w:eastAsia="Times New Roman" w:hAnsi="Times New Roman" w:cs="Times New Roman"/>
          <w:i/>
          <w:iCs/>
          <w:sz w:val="28"/>
          <w:szCs w:val="28"/>
        </w:rPr>
      </w:pPr>
      <w:r w:rsidRPr="006809CB">
        <w:rPr>
          <w:rFonts w:ascii="Times New Roman" w:eastAsia="Times New Roman" w:hAnsi="Times New Roman" w:cs="Times New Roman"/>
          <w:i/>
          <w:iCs/>
          <w:sz w:val="28"/>
          <w:szCs w:val="28"/>
        </w:rPr>
        <w:t>Оцінка впливу на сферу інтересів держави</w:t>
      </w:r>
    </w:p>
    <w:p w:rsidR="00A05CA2" w:rsidRPr="006809CB" w:rsidRDefault="00A05CA2">
      <w:pPr>
        <w:spacing w:after="0" w:line="240" w:lineRule="auto"/>
        <w:ind w:firstLine="709"/>
        <w:jc w:val="both"/>
        <w:rPr>
          <w:rFonts w:ascii="Times New Roman" w:eastAsia="Times New Roman" w:hAnsi="Times New Roman" w:cs="Times New Roman"/>
          <w:sz w:val="14"/>
          <w:szCs w:val="14"/>
        </w:rPr>
      </w:pPr>
    </w:p>
    <w:tbl>
      <w:tblPr>
        <w:tblStyle w:val="af2"/>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3"/>
        <w:gridCol w:w="4553"/>
        <w:gridCol w:w="2979"/>
      </w:tblGrid>
      <w:tr w:rsidR="00A05CA2" w:rsidRPr="006809CB" w:rsidTr="008E3574">
        <w:trPr>
          <w:jc w:val="center"/>
        </w:trPr>
        <w:tc>
          <w:tcPr>
            <w:tcW w:w="2113"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Вид альтернативи</w:t>
            </w:r>
          </w:p>
        </w:tc>
        <w:tc>
          <w:tcPr>
            <w:tcW w:w="4553"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Вигоди</w:t>
            </w:r>
          </w:p>
        </w:tc>
        <w:tc>
          <w:tcPr>
            <w:tcW w:w="2979"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Витрати</w:t>
            </w:r>
          </w:p>
        </w:tc>
      </w:tr>
      <w:tr w:rsidR="00A05CA2" w:rsidRPr="006809CB" w:rsidTr="008E3574">
        <w:trPr>
          <w:jc w:val="center"/>
        </w:trPr>
        <w:tc>
          <w:tcPr>
            <w:tcW w:w="2113" w:type="dxa"/>
            <w:tcBorders>
              <w:top w:val="single" w:sz="4" w:space="0" w:color="000000"/>
              <w:left w:val="single" w:sz="4" w:space="0" w:color="000000"/>
              <w:bottom w:val="single" w:sz="4" w:space="0" w:color="000000"/>
              <w:right w:val="single" w:sz="4" w:space="0" w:color="000000"/>
            </w:tcBorders>
          </w:tcPr>
          <w:p w:rsidR="00A05CA2" w:rsidRPr="006809CB" w:rsidRDefault="00595C5B" w:rsidP="008E3574">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1</w:t>
            </w:r>
          </w:p>
          <w:p w:rsidR="008E3574" w:rsidRPr="006809CB" w:rsidRDefault="008E3574" w:rsidP="008E3574">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t>Існуюча ситуація залишається без змін</w:t>
            </w:r>
          </w:p>
        </w:tc>
        <w:tc>
          <w:tcPr>
            <w:tcW w:w="4553" w:type="dxa"/>
            <w:tcBorders>
              <w:top w:val="single" w:sz="4" w:space="0" w:color="000000"/>
              <w:left w:val="single" w:sz="4" w:space="0" w:color="000000"/>
              <w:bottom w:val="single" w:sz="4" w:space="0" w:color="000000"/>
              <w:right w:val="single" w:sz="4" w:space="0" w:color="000000"/>
            </w:tcBorders>
          </w:tcPr>
          <w:p w:rsidR="00DE3761" w:rsidRPr="006809CB" w:rsidRDefault="00DE3761" w:rsidP="00467B2E">
            <w:pPr>
              <w:tabs>
                <w:tab w:val="left" w:pos="327"/>
                <w:tab w:val="left" w:pos="1080"/>
              </w:tabs>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w:t>
            </w:r>
            <w:r w:rsidR="00595C5B" w:rsidRPr="006809CB">
              <w:rPr>
                <w:rFonts w:ascii="Times New Roman" w:eastAsia="Times New Roman" w:hAnsi="Times New Roman" w:cs="Times New Roman"/>
                <w:sz w:val="26"/>
                <w:szCs w:val="26"/>
              </w:rPr>
              <w:t>ідсутні</w:t>
            </w:r>
          </w:p>
          <w:p w:rsidR="00467B2E" w:rsidRPr="006809CB" w:rsidRDefault="00467B2E" w:rsidP="00467B2E">
            <w:pPr>
              <w:spacing w:after="0" w:line="240" w:lineRule="auto"/>
              <w:ind w:firstLine="272"/>
              <w:jc w:val="both"/>
              <w:rPr>
                <w:rFonts w:ascii="Times New Roman" w:eastAsia="Times New Roman" w:hAnsi="Times New Roman" w:cs="Times New Roman"/>
                <w:sz w:val="26"/>
                <w:szCs w:val="26"/>
              </w:rPr>
            </w:pPr>
            <w:r w:rsidRPr="006809CB">
              <w:rPr>
                <w:rFonts w:ascii="Times New Roman" w:hAnsi="Times New Roman" w:cs="Times New Roman"/>
                <w:sz w:val="26"/>
                <w:szCs w:val="26"/>
                <w:highlight w:val="white"/>
              </w:rPr>
              <w:t>Ц</w:t>
            </w:r>
            <w:r w:rsidRPr="006809CB">
              <w:rPr>
                <w:rFonts w:ascii="Times New Roman" w:hAnsi="Times New Roman" w:cs="Times New Roman"/>
                <w:color w:val="000000"/>
                <w:sz w:val="26"/>
                <w:szCs w:val="26"/>
                <w:highlight w:val="white"/>
              </w:rPr>
              <w:t>я альтернатива є недоцільною, оскільки визначені цілі державного регулювання не будуть дос</w:t>
            </w:r>
            <w:r w:rsidRPr="006809CB">
              <w:rPr>
                <w:rFonts w:ascii="Times New Roman" w:hAnsi="Times New Roman" w:cs="Times New Roman"/>
                <w:sz w:val="26"/>
                <w:szCs w:val="26"/>
                <w:highlight w:val="white"/>
              </w:rPr>
              <w:t>я</w:t>
            </w:r>
            <w:r w:rsidRPr="006809CB">
              <w:rPr>
                <w:rFonts w:ascii="Times New Roman" w:hAnsi="Times New Roman" w:cs="Times New Roman"/>
                <w:color w:val="000000"/>
                <w:sz w:val="26"/>
                <w:szCs w:val="26"/>
                <w:highlight w:val="white"/>
              </w:rPr>
              <w:t>гнуті, не буде</w:t>
            </w:r>
            <w:r w:rsidRPr="006809CB">
              <w:rPr>
                <w:rFonts w:ascii="Times New Roman" w:eastAsia="Times New Roman" w:hAnsi="Times New Roman" w:cs="Times New Roman"/>
                <w:sz w:val="26"/>
                <w:szCs w:val="26"/>
              </w:rPr>
              <w:t xml:space="preserve"> забезпечено виконання абзацу </w:t>
            </w:r>
            <w:r w:rsidR="004A0072" w:rsidRPr="006809CB">
              <w:rPr>
                <w:rFonts w:ascii="Times New Roman" w:eastAsia="Times New Roman" w:hAnsi="Times New Roman" w:cs="Times New Roman"/>
                <w:sz w:val="26"/>
                <w:szCs w:val="26"/>
              </w:rPr>
              <w:t>другого частини першої статті 11</w:t>
            </w:r>
            <w:r w:rsidRPr="006809CB">
              <w:rPr>
                <w:rFonts w:ascii="Times New Roman" w:eastAsia="Times New Roman" w:hAnsi="Times New Roman" w:cs="Times New Roman"/>
                <w:sz w:val="26"/>
                <w:szCs w:val="26"/>
              </w:rPr>
              <w:t xml:space="preserve"> Закону</w:t>
            </w:r>
            <w:r w:rsidR="004A0072" w:rsidRPr="006809CB">
              <w:rPr>
                <w:rFonts w:ascii="Times New Roman" w:eastAsia="Times New Roman" w:hAnsi="Times New Roman" w:cs="Times New Roman"/>
                <w:sz w:val="26"/>
                <w:szCs w:val="26"/>
              </w:rPr>
              <w:t xml:space="preserve">. </w:t>
            </w:r>
          </w:p>
          <w:p w:rsidR="004A0072" w:rsidRPr="006809CB" w:rsidRDefault="00B44261" w:rsidP="00B44261">
            <w:pPr>
              <w:pBdr>
                <w:top w:val="nil"/>
                <w:left w:val="nil"/>
                <w:bottom w:val="nil"/>
                <w:right w:val="nil"/>
                <w:between w:val="nil"/>
              </w:pBdr>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lastRenderedPageBreak/>
              <w:t xml:space="preserve">Збереження існуючого становища </w:t>
            </w:r>
            <w:r w:rsidR="004A0072" w:rsidRPr="006809CB">
              <w:rPr>
                <w:rFonts w:ascii="Times New Roman" w:eastAsia="Times New Roman" w:hAnsi="Times New Roman" w:cs="Times New Roman"/>
                <w:color w:val="000000"/>
                <w:sz w:val="26"/>
                <w:szCs w:val="26"/>
              </w:rPr>
              <w:t>поглиблюватиме дисбаланс потреб ринку праці та можливостей ринку робочої сили і сфери освіти, гальмуватиме розвиток економіки</w:t>
            </w:r>
          </w:p>
          <w:p w:rsidR="00A05CA2" w:rsidRPr="006809CB" w:rsidRDefault="00A05CA2" w:rsidP="00DE3761">
            <w:pPr>
              <w:tabs>
                <w:tab w:val="left" w:pos="327"/>
                <w:tab w:val="left" w:pos="1080"/>
              </w:tabs>
              <w:spacing w:after="0" w:line="240" w:lineRule="auto"/>
              <w:jc w:val="both"/>
              <w:rPr>
                <w:rFonts w:ascii="Times New Roman" w:eastAsia="Times New Roman" w:hAnsi="Times New Roman" w:cs="Times New Roman"/>
                <w:sz w:val="26"/>
                <w:szCs w:val="26"/>
              </w:rPr>
            </w:pPr>
          </w:p>
        </w:tc>
        <w:tc>
          <w:tcPr>
            <w:tcW w:w="2979" w:type="dxa"/>
            <w:tcBorders>
              <w:top w:val="single" w:sz="4" w:space="0" w:color="000000"/>
              <w:left w:val="single" w:sz="4" w:space="0" w:color="000000"/>
              <w:bottom w:val="single" w:sz="4" w:space="0" w:color="000000"/>
              <w:right w:val="single" w:sz="4" w:space="0" w:color="000000"/>
            </w:tcBorders>
          </w:tcPr>
          <w:p w:rsidR="00970F37" w:rsidRPr="006809CB" w:rsidRDefault="00970F37" w:rsidP="00467B2E">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lastRenderedPageBreak/>
              <w:t>Відсутні</w:t>
            </w:r>
          </w:p>
          <w:p w:rsidR="00A05CA2" w:rsidRPr="006809CB" w:rsidRDefault="00A05CA2" w:rsidP="00970F37">
            <w:pPr>
              <w:spacing w:after="0" w:line="240" w:lineRule="auto"/>
              <w:ind w:firstLine="2"/>
              <w:jc w:val="both"/>
              <w:rPr>
                <w:rFonts w:ascii="Times New Roman" w:eastAsia="Times New Roman" w:hAnsi="Times New Roman" w:cs="Times New Roman"/>
                <w:sz w:val="26"/>
                <w:szCs w:val="26"/>
              </w:rPr>
            </w:pPr>
          </w:p>
        </w:tc>
      </w:tr>
      <w:tr w:rsidR="00A05CA2" w:rsidRPr="006809CB" w:rsidTr="008E3574">
        <w:trPr>
          <w:jc w:val="center"/>
        </w:trPr>
        <w:tc>
          <w:tcPr>
            <w:tcW w:w="2113" w:type="dxa"/>
            <w:tcBorders>
              <w:top w:val="single" w:sz="4" w:space="0" w:color="000000"/>
              <w:left w:val="single" w:sz="4" w:space="0" w:color="000000"/>
              <w:bottom w:val="single" w:sz="4" w:space="0" w:color="000000"/>
              <w:right w:val="single" w:sz="4" w:space="0" w:color="000000"/>
            </w:tcBorders>
          </w:tcPr>
          <w:p w:rsidR="00A05CA2" w:rsidRPr="006809CB" w:rsidRDefault="00595C5B" w:rsidP="008E3574">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lastRenderedPageBreak/>
              <w:t>Альтернатива</w:t>
            </w:r>
            <w:r w:rsidR="00467B2E" w:rsidRPr="006809CB">
              <w:rPr>
                <w:rFonts w:ascii="Times New Roman" w:eastAsia="Times New Roman" w:hAnsi="Times New Roman" w:cs="Times New Roman"/>
                <w:sz w:val="26"/>
                <w:szCs w:val="26"/>
              </w:rPr>
              <w:t xml:space="preserve"> 2</w:t>
            </w:r>
          </w:p>
          <w:p w:rsidR="008E3574" w:rsidRPr="006809CB" w:rsidRDefault="008E3574" w:rsidP="008E3574">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t>Прийняття проекту акта</w:t>
            </w:r>
          </w:p>
        </w:tc>
        <w:tc>
          <w:tcPr>
            <w:tcW w:w="4553" w:type="dxa"/>
            <w:tcBorders>
              <w:top w:val="single" w:sz="4" w:space="0" w:color="000000"/>
              <w:left w:val="single" w:sz="4" w:space="0" w:color="000000"/>
              <w:bottom w:val="single" w:sz="4" w:space="0" w:color="000000"/>
              <w:right w:val="single" w:sz="4" w:space="0" w:color="000000"/>
            </w:tcBorders>
          </w:tcPr>
          <w:p w:rsidR="004259F8" w:rsidRPr="006809CB" w:rsidRDefault="008E3574" w:rsidP="008E3574">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Високі</w:t>
            </w:r>
          </w:p>
          <w:p w:rsidR="00B44261" w:rsidRPr="006809CB" w:rsidRDefault="008E3574" w:rsidP="00B44261">
            <w:pPr>
              <w:spacing w:after="0" w:line="240" w:lineRule="auto"/>
              <w:ind w:firstLine="272"/>
              <w:jc w:val="both"/>
              <w:rPr>
                <w:rFonts w:ascii="Times New Roman" w:eastAsia="Times New Roman" w:hAnsi="Times New Roman" w:cs="Times New Roman"/>
                <w:sz w:val="26"/>
                <w:szCs w:val="26"/>
              </w:rPr>
            </w:pPr>
            <w:r w:rsidRPr="006809CB">
              <w:rPr>
                <w:rFonts w:ascii="Times New Roman" w:hAnsi="Times New Roman" w:cs="Times New Roman"/>
                <w:color w:val="000000"/>
                <w:sz w:val="26"/>
                <w:szCs w:val="26"/>
                <w:highlight w:val="white"/>
              </w:rPr>
              <w:t>Прийняття проекту акта забезпечить</w:t>
            </w:r>
            <w:r w:rsidRPr="006809CB">
              <w:rPr>
                <w:rFonts w:ascii="Times New Roman" w:eastAsia="Times New Roman" w:hAnsi="Times New Roman" w:cs="Times New Roman"/>
                <w:sz w:val="26"/>
                <w:szCs w:val="26"/>
              </w:rPr>
              <w:t xml:space="preserve"> виконання абзацу шостого частини сьомої статті 10 Закону</w:t>
            </w:r>
            <w:r w:rsidR="00B44261" w:rsidRPr="006809CB">
              <w:rPr>
                <w:rFonts w:ascii="Times New Roman" w:eastAsia="Times New Roman" w:hAnsi="Times New Roman" w:cs="Times New Roman"/>
                <w:sz w:val="26"/>
                <w:szCs w:val="26"/>
              </w:rPr>
              <w:t>,</w:t>
            </w:r>
            <w:r w:rsidR="00B44261" w:rsidRPr="006809CB">
              <w:rPr>
                <w:rFonts w:ascii="Times New Roman" w:eastAsia="Times New Roman" w:hAnsi="Times New Roman" w:cs="Times New Roman"/>
                <w:color w:val="000000"/>
                <w:sz w:val="26"/>
                <w:szCs w:val="26"/>
              </w:rPr>
              <w:t xml:space="preserve"> дозволить розв’язати визначені проблеми в цілому, сприятиме розвитку системи кваліфікацій, перерозподілу функцій між видами освіти, посиленню зв’язків між сферою економіки і освіти</w:t>
            </w:r>
          </w:p>
          <w:p w:rsidR="008E3574" w:rsidRPr="006809CB" w:rsidRDefault="008E3574" w:rsidP="008E3574">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A05CA2" w:rsidRPr="006809CB" w:rsidRDefault="008E3574" w:rsidP="008E3574">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Обраний спосіб забезпечує досягнення цілей державного регулювання</w:t>
            </w:r>
          </w:p>
        </w:tc>
        <w:tc>
          <w:tcPr>
            <w:tcW w:w="2979" w:type="dxa"/>
            <w:tcBorders>
              <w:top w:val="single" w:sz="4" w:space="0" w:color="000000"/>
              <w:left w:val="single" w:sz="4" w:space="0" w:color="000000"/>
              <w:bottom w:val="single" w:sz="4" w:space="0" w:color="000000"/>
              <w:right w:val="single" w:sz="4" w:space="0" w:color="000000"/>
            </w:tcBorders>
          </w:tcPr>
          <w:p w:rsidR="004259F8" w:rsidRPr="006809CB" w:rsidRDefault="004259F8" w:rsidP="008E3574">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Відсутні</w:t>
            </w:r>
          </w:p>
          <w:p w:rsidR="00A05CA2" w:rsidRPr="006809CB" w:rsidRDefault="00A05CA2" w:rsidP="004259F8">
            <w:pPr>
              <w:spacing w:after="0" w:line="240" w:lineRule="auto"/>
              <w:ind w:firstLine="2"/>
              <w:jc w:val="both"/>
              <w:rPr>
                <w:rFonts w:ascii="Times New Roman" w:eastAsia="Times New Roman" w:hAnsi="Times New Roman" w:cs="Times New Roman"/>
                <w:sz w:val="26"/>
                <w:szCs w:val="26"/>
              </w:rPr>
            </w:pPr>
          </w:p>
        </w:tc>
      </w:tr>
    </w:tbl>
    <w:p w:rsidR="008E3574" w:rsidRPr="006809CB" w:rsidRDefault="008E3574" w:rsidP="008E3574">
      <w:pPr>
        <w:pBdr>
          <w:top w:val="nil"/>
          <w:left w:val="nil"/>
          <w:bottom w:val="nil"/>
          <w:right w:val="nil"/>
          <w:between w:val="nil"/>
        </w:pBdr>
        <w:tabs>
          <w:tab w:val="left" w:pos="1406"/>
        </w:tabs>
        <w:spacing w:after="0"/>
        <w:ind w:firstLine="709"/>
        <w:jc w:val="both"/>
        <w:rPr>
          <w:rFonts w:ascii="Times New Roman" w:hAnsi="Times New Roman" w:cs="Times New Roman"/>
          <w:i/>
          <w:color w:val="000000"/>
          <w:sz w:val="28"/>
          <w:szCs w:val="28"/>
        </w:rPr>
      </w:pPr>
    </w:p>
    <w:p w:rsidR="008E3574" w:rsidRPr="006809CB" w:rsidRDefault="008E3574" w:rsidP="008E3574">
      <w:pPr>
        <w:pBdr>
          <w:top w:val="nil"/>
          <w:left w:val="nil"/>
          <w:bottom w:val="nil"/>
          <w:right w:val="nil"/>
          <w:between w:val="nil"/>
        </w:pBdr>
        <w:tabs>
          <w:tab w:val="left" w:pos="1406"/>
        </w:tabs>
        <w:spacing w:after="0"/>
        <w:ind w:firstLine="709"/>
        <w:jc w:val="both"/>
        <w:rPr>
          <w:rFonts w:ascii="Times New Roman" w:hAnsi="Times New Roman" w:cs="Times New Roman"/>
          <w:color w:val="000000"/>
          <w:sz w:val="28"/>
          <w:szCs w:val="28"/>
        </w:rPr>
      </w:pPr>
      <w:r w:rsidRPr="006809CB">
        <w:rPr>
          <w:rFonts w:ascii="Times New Roman" w:hAnsi="Times New Roman" w:cs="Times New Roman"/>
          <w:i/>
          <w:color w:val="000000"/>
          <w:sz w:val="28"/>
          <w:szCs w:val="28"/>
        </w:rPr>
        <w:t>Оцінка впливу на сферу інтересів громадян</w:t>
      </w:r>
      <w:r w:rsidRPr="006809CB">
        <w:rPr>
          <w:rFonts w:ascii="Times New Roman" w:hAnsi="Times New Roman" w:cs="Times New Roman"/>
          <w:color w:val="000000"/>
          <w:sz w:val="28"/>
          <w:szCs w:val="28"/>
        </w:rPr>
        <w:t xml:space="preserve"> </w:t>
      </w:r>
    </w:p>
    <w:p w:rsidR="008E3574" w:rsidRPr="006809CB" w:rsidRDefault="008E3574" w:rsidP="008E3574">
      <w:pPr>
        <w:pBdr>
          <w:top w:val="nil"/>
          <w:left w:val="nil"/>
          <w:bottom w:val="nil"/>
          <w:right w:val="nil"/>
          <w:between w:val="nil"/>
        </w:pBdr>
        <w:tabs>
          <w:tab w:val="left" w:pos="1406"/>
        </w:tabs>
        <w:spacing w:after="0"/>
        <w:ind w:firstLine="709"/>
        <w:jc w:val="both"/>
        <w:rPr>
          <w:rFonts w:ascii="Times New Roman" w:hAnsi="Times New Roman" w:cs="Times New Roman"/>
          <w:color w:val="000000"/>
          <w:sz w:val="16"/>
          <w:szCs w:val="16"/>
        </w:rPr>
      </w:pPr>
    </w:p>
    <w:tbl>
      <w:tblPr>
        <w:tblStyle w:val="a7"/>
        <w:tblW w:w="9615" w:type="dxa"/>
        <w:tblInd w:w="115" w:type="dxa"/>
        <w:tblLayout w:type="fixed"/>
        <w:tblLook w:val="0000" w:firstRow="0" w:lastRow="0" w:firstColumn="0" w:lastColumn="0" w:noHBand="0" w:noVBand="0"/>
      </w:tblPr>
      <w:tblGrid>
        <w:gridCol w:w="2040"/>
        <w:gridCol w:w="3810"/>
        <w:gridCol w:w="3765"/>
      </w:tblGrid>
      <w:tr w:rsidR="008E3574" w:rsidRPr="006809CB" w:rsidTr="008E3574">
        <w:tc>
          <w:tcPr>
            <w:tcW w:w="2040" w:type="dxa"/>
            <w:tcBorders>
              <w:top w:val="single" w:sz="4" w:space="0" w:color="000000"/>
              <w:left w:val="single" w:sz="4" w:space="0" w:color="000000"/>
              <w:bottom w:val="single" w:sz="4" w:space="0" w:color="000000"/>
            </w:tcBorders>
            <w:shd w:val="clear" w:color="auto" w:fill="auto"/>
          </w:tcPr>
          <w:p w:rsidR="008E3574" w:rsidRPr="006809CB" w:rsidRDefault="008E3574" w:rsidP="002F518B">
            <w:pPr>
              <w:pBdr>
                <w:top w:val="nil"/>
                <w:left w:val="nil"/>
                <w:bottom w:val="nil"/>
                <w:right w:val="nil"/>
                <w:between w:val="nil"/>
              </w:pBdr>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Вид альтернатив</w:t>
            </w:r>
          </w:p>
        </w:tc>
        <w:tc>
          <w:tcPr>
            <w:tcW w:w="3810" w:type="dxa"/>
            <w:tcBorders>
              <w:top w:val="single" w:sz="4" w:space="0" w:color="000000"/>
              <w:left w:val="single" w:sz="4" w:space="0" w:color="000000"/>
              <w:bottom w:val="single" w:sz="4" w:space="0" w:color="000000"/>
            </w:tcBorders>
            <w:shd w:val="clear" w:color="auto" w:fill="auto"/>
          </w:tcPr>
          <w:p w:rsidR="008E3574" w:rsidRPr="006809CB"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Вигоди</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8E3574" w:rsidRPr="006809CB"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Витрати</w:t>
            </w:r>
          </w:p>
        </w:tc>
      </w:tr>
      <w:tr w:rsidR="008E3574" w:rsidRPr="006809CB" w:rsidTr="008E3574">
        <w:tc>
          <w:tcPr>
            <w:tcW w:w="2040" w:type="dxa"/>
            <w:tcBorders>
              <w:top w:val="single" w:sz="4" w:space="0" w:color="000000"/>
              <w:left w:val="single" w:sz="4" w:space="0" w:color="000000"/>
              <w:bottom w:val="single" w:sz="4" w:space="0" w:color="000000"/>
            </w:tcBorders>
            <w:shd w:val="clear" w:color="auto" w:fill="auto"/>
          </w:tcPr>
          <w:p w:rsidR="008E3574" w:rsidRPr="006809CB" w:rsidRDefault="008E3574" w:rsidP="008E3574">
            <w:pPr>
              <w:spacing w:after="0" w:line="240" w:lineRule="auto"/>
              <w:jc w:val="center"/>
              <w:rPr>
                <w:rFonts w:ascii="Times New Roman" w:eastAsia="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Альтернатива 1</w:t>
            </w:r>
          </w:p>
          <w:p w:rsidR="008E3574" w:rsidRPr="006809CB" w:rsidRDefault="008E3574" w:rsidP="008E3574">
            <w:pPr>
              <w:pBdr>
                <w:top w:val="nil"/>
                <w:left w:val="nil"/>
                <w:bottom w:val="nil"/>
                <w:right w:val="nil"/>
                <w:between w:val="nil"/>
              </w:pBdr>
              <w:jc w:val="center"/>
              <w:rPr>
                <w:rFonts w:ascii="Times New Roman" w:hAnsi="Times New Roman" w:cs="Times New Roman"/>
                <w:color w:val="000000"/>
                <w:sz w:val="26"/>
                <w:szCs w:val="26"/>
              </w:rPr>
            </w:pPr>
            <w:r w:rsidRPr="006809CB">
              <w:rPr>
                <w:rFonts w:ascii="Times New Roman" w:eastAsia="Times New Roman" w:hAnsi="Times New Roman" w:cs="Times New Roman"/>
                <w:color w:val="000000"/>
                <w:sz w:val="26"/>
                <w:szCs w:val="26"/>
              </w:rPr>
              <w:t>Існуюча ситуація залишається без змін</w:t>
            </w:r>
          </w:p>
        </w:tc>
        <w:tc>
          <w:tcPr>
            <w:tcW w:w="3810" w:type="dxa"/>
            <w:tcBorders>
              <w:top w:val="single" w:sz="4" w:space="0" w:color="000000"/>
              <w:left w:val="single" w:sz="4" w:space="0" w:color="000000"/>
              <w:bottom w:val="single" w:sz="4" w:space="0" w:color="000000"/>
            </w:tcBorders>
            <w:shd w:val="clear" w:color="auto" w:fill="auto"/>
          </w:tcPr>
          <w:p w:rsidR="008E3574" w:rsidRPr="006809CB"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Відсутні</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8E3574" w:rsidRPr="006809CB" w:rsidRDefault="008E3574" w:rsidP="002F518B">
            <w:pPr>
              <w:pBdr>
                <w:top w:val="nil"/>
                <w:left w:val="nil"/>
                <w:bottom w:val="nil"/>
                <w:right w:val="nil"/>
                <w:between w:val="nil"/>
              </w:pBdr>
              <w:tabs>
                <w:tab w:val="left" w:pos="1406"/>
              </w:tabs>
              <w:jc w:val="center"/>
              <w:rPr>
                <w:rFonts w:ascii="Times New Roman" w:hAnsi="Times New Roman" w:cs="Times New Roman"/>
                <w:color w:val="000000"/>
                <w:sz w:val="26"/>
                <w:szCs w:val="26"/>
              </w:rPr>
            </w:pPr>
            <w:r w:rsidRPr="006809CB">
              <w:rPr>
                <w:rFonts w:ascii="Times New Roman" w:hAnsi="Times New Roman" w:cs="Times New Roman"/>
                <w:sz w:val="26"/>
                <w:szCs w:val="26"/>
              </w:rPr>
              <w:t>Відсутні</w:t>
            </w:r>
          </w:p>
        </w:tc>
      </w:tr>
      <w:tr w:rsidR="008E3574" w:rsidRPr="006809CB" w:rsidTr="008E3574">
        <w:tc>
          <w:tcPr>
            <w:tcW w:w="2040" w:type="dxa"/>
            <w:tcBorders>
              <w:top w:val="single" w:sz="4" w:space="0" w:color="000000"/>
              <w:left w:val="single" w:sz="4" w:space="0" w:color="000000"/>
              <w:bottom w:val="single" w:sz="4" w:space="0" w:color="000000"/>
            </w:tcBorders>
            <w:shd w:val="clear" w:color="auto" w:fill="auto"/>
          </w:tcPr>
          <w:p w:rsidR="008E3574" w:rsidRPr="006809CB" w:rsidRDefault="008E3574" w:rsidP="008E3574">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2</w:t>
            </w:r>
          </w:p>
          <w:p w:rsidR="008E3574" w:rsidRPr="006809CB" w:rsidRDefault="008E3574" w:rsidP="008E3574">
            <w:pPr>
              <w:pBdr>
                <w:top w:val="nil"/>
                <w:left w:val="nil"/>
                <w:bottom w:val="nil"/>
                <w:right w:val="nil"/>
                <w:between w:val="nil"/>
              </w:pBdr>
              <w:jc w:val="center"/>
              <w:rPr>
                <w:rFonts w:ascii="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Прийняття проекту акта</w:t>
            </w:r>
          </w:p>
        </w:tc>
        <w:tc>
          <w:tcPr>
            <w:tcW w:w="3810" w:type="dxa"/>
            <w:tcBorders>
              <w:top w:val="single" w:sz="4" w:space="0" w:color="000000"/>
              <w:left w:val="single" w:sz="4" w:space="0" w:color="000000"/>
              <w:bottom w:val="single" w:sz="4" w:space="0" w:color="000000"/>
            </w:tcBorders>
            <w:shd w:val="clear" w:color="auto" w:fill="auto"/>
          </w:tcPr>
          <w:p w:rsidR="008E3574" w:rsidRPr="006809CB" w:rsidRDefault="00B44261" w:rsidP="00B44261">
            <w:pPr>
              <w:pBdr>
                <w:top w:val="nil"/>
                <w:left w:val="nil"/>
                <w:bottom w:val="nil"/>
                <w:right w:val="nil"/>
                <w:between w:val="nil"/>
              </w:pBdr>
              <w:ind w:firstLine="250"/>
              <w:jc w:val="both"/>
              <w:rPr>
                <w:rFonts w:ascii="Times New Roman" w:hAnsi="Times New Roman" w:cs="Times New Roman"/>
                <w:sz w:val="26"/>
                <w:szCs w:val="26"/>
                <w:highlight w:val="white"/>
              </w:rPr>
            </w:pPr>
            <w:r w:rsidRPr="006809CB">
              <w:rPr>
                <w:rFonts w:ascii="Times New Roman" w:eastAsia="Times New Roman" w:hAnsi="Times New Roman" w:cs="Times New Roman"/>
                <w:color w:val="000000"/>
                <w:sz w:val="26"/>
                <w:szCs w:val="26"/>
              </w:rPr>
              <w:t>Створюється умови для швидкого здобуття необхідної кваліфікації, посилюється конкурентоспроможність працівника на ринку праці, можливість для зростання заробітної плати</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8E3574" w:rsidRPr="006809CB" w:rsidRDefault="0009099A" w:rsidP="002F518B">
            <w:pPr>
              <w:pBdr>
                <w:top w:val="nil"/>
                <w:left w:val="nil"/>
                <w:bottom w:val="nil"/>
                <w:right w:val="nil"/>
                <w:between w:val="nil"/>
              </w:pBdr>
              <w:jc w:val="center"/>
              <w:rPr>
                <w:rFonts w:ascii="Times New Roman" w:hAnsi="Times New Roman" w:cs="Times New Roman"/>
                <w:color w:val="000000"/>
                <w:sz w:val="26"/>
                <w:szCs w:val="26"/>
                <w:highlight w:val="yellow"/>
              </w:rPr>
            </w:pPr>
            <w:r w:rsidRPr="006809CB">
              <w:rPr>
                <w:rFonts w:ascii="Times New Roman" w:hAnsi="Times New Roman" w:cs="Times New Roman"/>
                <w:sz w:val="26"/>
                <w:szCs w:val="26"/>
              </w:rPr>
              <w:t xml:space="preserve">Залежно від потреб проведення кваліфікаційного іспиту </w:t>
            </w:r>
          </w:p>
        </w:tc>
      </w:tr>
    </w:tbl>
    <w:p w:rsidR="007A7C97" w:rsidRPr="006809CB" w:rsidRDefault="007A7C97">
      <w:pPr>
        <w:spacing w:after="0" w:line="240" w:lineRule="auto"/>
        <w:ind w:firstLine="709"/>
        <w:jc w:val="both"/>
        <w:rPr>
          <w:rFonts w:ascii="Times New Roman" w:eastAsia="Times New Roman" w:hAnsi="Times New Roman" w:cs="Times New Roman"/>
          <w:color w:val="0000FF"/>
          <w:sz w:val="28"/>
          <w:szCs w:val="28"/>
          <w:highlight w:val="yellow"/>
        </w:rPr>
      </w:pPr>
    </w:p>
    <w:p w:rsidR="00A05CA2" w:rsidRPr="006809CB" w:rsidRDefault="00595C5B" w:rsidP="008E3574">
      <w:pPr>
        <w:spacing w:after="0" w:line="240" w:lineRule="auto"/>
        <w:ind w:firstLine="567"/>
        <w:jc w:val="both"/>
        <w:rPr>
          <w:rFonts w:ascii="Times New Roman" w:eastAsia="Times New Roman" w:hAnsi="Times New Roman" w:cs="Times New Roman"/>
          <w:i/>
          <w:iCs/>
          <w:sz w:val="28"/>
          <w:szCs w:val="28"/>
        </w:rPr>
      </w:pPr>
      <w:r w:rsidRPr="006809CB">
        <w:rPr>
          <w:rFonts w:ascii="Times New Roman" w:eastAsia="Times New Roman" w:hAnsi="Times New Roman" w:cs="Times New Roman"/>
          <w:i/>
          <w:iCs/>
          <w:sz w:val="28"/>
          <w:szCs w:val="28"/>
        </w:rPr>
        <w:t>Оцінка впливу на сферу інтересів суб’єктів господарювання</w:t>
      </w:r>
    </w:p>
    <w:p w:rsidR="00A05CA2" w:rsidRPr="006809CB" w:rsidRDefault="00A05CA2">
      <w:pPr>
        <w:spacing w:after="0" w:line="240" w:lineRule="auto"/>
        <w:ind w:firstLine="709"/>
        <w:jc w:val="both"/>
        <w:rPr>
          <w:rFonts w:ascii="Times New Roman" w:eastAsia="Times New Roman" w:hAnsi="Times New Roman" w:cs="Times New Roman"/>
          <w:sz w:val="26"/>
          <w:szCs w:val="26"/>
        </w:rPr>
      </w:pPr>
    </w:p>
    <w:tbl>
      <w:tblPr>
        <w:tblStyle w:val="af3"/>
        <w:tblW w:w="96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7"/>
        <w:gridCol w:w="1092"/>
        <w:gridCol w:w="1112"/>
        <w:gridCol w:w="1074"/>
        <w:gridCol w:w="1094"/>
        <w:gridCol w:w="1094"/>
      </w:tblGrid>
      <w:tr w:rsidR="00A05CA2" w:rsidRPr="006809CB" w:rsidTr="009F492F">
        <w:trPr>
          <w:jc w:val="center"/>
        </w:trPr>
        <w:tc>
          <w:tcPr>
            <w:tcW w:w="4177"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Показник</w:t>
            </w:r>
          </w:p>
        </w:tc>
        <w:tc>
          <w:tcPr>
            <w:tcW w:w="109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Великі </w:t>
            </w:r>
          </w:p>
        </w:tc>
        <w:tc>
          <w:tcPr>
            <w:tcW w:w="111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Середні</w:t>
            </w:r>
          </w:p>
        </w:tc>
        <w:tc>
          <w:tcPr>
            <w:tcW w:w="107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Малі</w:t>
            </w:r>
          </w:p>
        </w:tc>
        <w:tc>
          <w:tcPr>
            <w:tcW w:w="109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Мікро</w:t>
            </w:r>
          </w:p>
        </w:tc>
        <w:tc>
          <w:tcPr>
            <w:tcW w:w="109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Разом</w:t>
            </w:r>
          </w:p>
        </w:tc>
      </w:tr>
      <w:tr w:rsidR="00A05CA2" w:rsidRPr="006809CB" w:rsidTr="009F492F">
        <w:trPr>
          <w:jc w:val="center"/>
        </w:trPr>
        <w:tc>
          <w:tcPr>
            <w:tcW w:w="4177"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lastRenderedPageBreak/>
              <w:t>Кількість суб’єктів господарювання, що підпадають під дію регулювання, одиниць</w:t>
            </w:r>
          </w:p>
        </w:tc>
        <w:tc>
          <w:tcPr>
            <w:tcW w:w="109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512</w:t>
            </w:r>
          </w:p>
        </w:tc>
        <w:tc>
          <w:tcPr>
            <w:tcW w:w="111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0</w:t>
            </w:r>
          </w:p>
        </w:tc>
        <w:tc>
          <w:tcPr>
            <w:tcW w:w="107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512*</w:t>
            </w:r>
          </w:p>
        </w:tc>
      </w:tr>
      <w:tr w:rsidR="00A05CA2" w:rsidRPr="006809CB" w:rsidTr="009F492F">
        <w:trPr>
          <w:jc w:val="center"/>
        </w:trPr>
        <w:tc>
          <w:tcPr>
            <w:tcW w:w="4177"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Питома вага групи у загальній кількості, відсотків</w:t>
            </w:r>
          </w:p>
        </w:tc>
        <w:tc>
          <w:tcPr>
            <w:tcW w:w="109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100%</w:t>
            </w:r>
          </w:p>
        </w:tc>
        <w:tc>
          <w:tcPr>
            <w:tcW w:w="111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0%</w:t>
            </w:r>
          </w:p>
        </w:tc>
        <w:tc>
          <w:tcPr>
            <w:tcW w:w="107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0%</w:t>
            </w:r>
          </w:p>
        </w:tc>
        <w:tc>
          <w:tcPr>
            <w:tcW w:w="1094"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100%</w:t>
            </w:r>
          </w:p>
        </w:tc>
      </w:tr>
    </w:tbl>
    <w:p w:rsidR="009F492F" w:rsidRPr="006809CB" w:rsidRDefault="009F492F" w:rsidP="009F492F">
      <w:pPr>
        <w:spacing w:after="0" w:line="240" w:lineRule="auto"/>
        <w:ind w:firstLine="567"/>
        <w:jc w:val="both"/>
        <w:rPr>
          <w:rFonts w:ascii="Times New Roman" w:eastAsia="Times New Roman" w:hAnsi="Times New Roman" w:cs="Times New Roman"/>
          <w:sz w:val="24"/>
          <w:szCs w:val="24"/>
        </w:rPr>
      </w:pPr>
    </w:p>
    <w:p w:rsidR="00A05CA2" w:rsidRPr="006809CB" w:rsidRDefault="00595C5B" w:rsidP="009F492F">
      <w:pPr>
        <w:spacing w:after="0" w:line="240" w:lineRule="auto"/>
        <w:ind w:firstLine="567"/>
        <w:jc w:val="both"/>
        <w:rPr>
          <w:rFonts w:ascii="Times New Roman" w:eastAsia="Times New Roman" w:hAnsi="Times New Roman" w:cs="Times New Roman"/>
          <w:sz w:val="24"/>
          <w:szCs w:val="24"/>
        </w:rPr>
      </w:pPr>
      <w:r w:rsidRPr="006809CB">
        <w:rPr>
          <w:rFonts w:ascii="Times New Roman" w:eastAsia="Times New Roman" w:hAnsi="Times New Roman" w:cs="Times New Roman"/>
          <w:sz w:val="24"/>
          <w:szCs w:val="24"/>
        </w:rPr>
        <w:t>*- за даними Держстату</w:t>
      </w:r>
      <w:bookmarkStart w:id="3" w:name="_GoBack"/>
      <w:r w:rsidRPr="006809CB">
        <w:rPr>
          <w:rFonts w:ascii="Times New Roman" w:eastAsia="Times New Roman" w:hAnsi="Times New Roman" w:cs="Times New Roman"/>
          <w:sz w:val="24"/>
          <w:szCs w:val="24"/>
        </w:rPr>
        <w:t xml:space="preserve"> </w:t>
      </w:r>
      <w:hyperlink r:id="rId9">
        <w:r w:rsidRPr="006809CB">
          <w:rPr>
            <w:rFonts w:ascii="Times New Roman" w:eastAsia="Times New Roman" w:hAnsi="Times New Roman" w:cs="Times New Roman"/>
            <w:sz w:val="24"/>
            <w:szCs w:val="24"/>
          </w:rPr>
          <w:t>https://ukrstat.gov.ua/operativ/menu/menu_u/sze_20.htm</w:t>
        </w:r>
      </w:hyperlink>
      <w:bookmarkEnd w:id="3"/>
    </w:p>
    <w:p w:rsidR="00A05CA2" w:rsidRPr="006809CB" w:rsidRDefault="00A05CA2">
      <w:pPr>
        <w:spacing w:after="0" w:line="240" w:lineRule="auto"/>
        <w:ind w:firstLine="709"/>
        <w:jc w:val="both"/>
        <w:rPr>
          <w:rFonts w:ascii="Times New Roman" w:eastAsia="Times New Roman" w:hAnsi="Times New Roman" w:cs="Times New Roman"/>
          <w:color w:val="0000FF"/>
          <w:sz w:val="24"/>
          <w:szCs w:val="24"/>
          <w:highlight w:val="yellow"/>
        </w:rPr>
      </w:pPr>
    </w:p>
    <w:p w:rsidR="009F492F" w:rsidRPr="006809CB" w:rsidRDefault="009F492F" w:rsidP="009F492F">
      <w:pPr>
        <w:tabs>
          <w:tab w:val="left" w:pos="1406"/>
        </w:tabs>
        <w:spacing w:after="0"/>
        <w:jc w:val="center"/>
        <w:rPr>
          <w:rFonts w:ascii="Times New Roman" w:hAnsi="Times New Roman" w:cs="Times New Roman"/>
          <w:b/>
          <w:sz w:val="28"/>
          <w:szCs w:val="28"/>
          <w:highlight w:val="white"/>
        </w:rPr>
      </w:pPr>
      <w:r w:rsidRPr="006809CB">
        <w:rPr>
          <w:rFonts w:ascii="Times New Roman" w:hAnsi="Times New Roman" w:cs="Times New Roman"/>
          <w:b/>
          <w:sz w:val="28"/>
          <w:szCs w:val="28"/>
          <w:highlight w:val="white"/>
        </w:rPr>
        <w:t>ВИТРАТИ</w:t>
      </w:r>
    </w:p>
    <w:p w:rsidR="009F492F" w:rsidRPr="006809CB" w:rsidRDefault="009F492F" w:rsidP="009F492F">
      <w:pPr>
        <w:tabs>
          <w:tab w:val="left" w:pos="1406"/>
        </w:tabs>
        <w:spacing w:after="0"/>
        <w:jc w:val="center"/>
        <w:rPr>
          <w:rFonts w:ascii="Times New Roman" w:hAnsi="Times New Roman" w:cs="Times New Roman"/>
          <w:b/>
          <w:sz w:val="28"/>
          <w:szCs w:val="28"/>
          <w:highlight w:val="white"/>
        </w:rPr>
      </w:pPr>
      <w:r w:rsidRPr="006809CB">
        <w:rPr>
          <w:rFonts w:ascii="Times New Roman" w:hAnsi="Times New Roman" w:cs="Times New Roman"/>
          <w:b/>
          <w:sz w:val="28"/>
          <w:szCs w:val="28"/>
          <w:highlight w:val="white"/>
        </w:rPr>
        <w:t>на одного суб’єкта господарювання великого і середнього підприємництва, які виникають внаслідок дії регуляторного акта</w:t>
      </w:r>
    </w:p>
    <w:p w:rsidR="009F492F" w:rsidRPr="006809CB" w:rsidRDefault="009F492F" w:rsidP="009F492F">
      <w:pPr>
        <w:tabs>
          <w:tab w:val="left" w:pos="1406"/>
        </w:tabs>
        <w:spacing w:after="0"/>
        <w:jc w:val="center"/>
        <w:rPr>
          <w:rFonts w:ascii="Times New Roman" w:hAnsi="Times New Roman" w:cs="Times New Roman"/>
          <w:b/>
          <w:sz w:val="28"/>
          <w:szCs w:val="28"/>
          <w:highlight w:val="white"/>
        </w:rPr>
      </w:pPr>
    </w:p>
    <w:tbl>
      <w:tblPr>
        <w:tblW w:w="963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5"/>
        <w:gridCol w:w="4830"/>
        <w:gridCol w:w="1725"/>
        <w:gridCol w:w="1789"/>
      </w:tblGrid>
      <w:tr w:rsidR="009F492F" w:rsidRPr="006809CB" w:rsidTr="009F492F">
        <w:trPr>
          <w:trHeight w:val="455"/>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9F492F">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Порядковий номер</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За перший рік</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За п’ять років</w:t>
            </w:r>
          </w:p>
        </w:tc>
      </w:tr>
      <w:tr w:rsidR="009F492F" w:rsidRPr="006809CB" w:rsidTr="009F492F">
        <w:trPr>
          <w:trHeight w:val="165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1</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відсутні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відсутні</w:t>
            </w:r>
          </w:p>
        </w:tc>
      </w:tr>
      <w:tr w:rsidR="009F492F" w:rsidRPr="006809CB" w:rsidTr="009F492F">
        <w:trPr>
          <w:trHeight w:val="11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2</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Податки та збори (зміна розміру податків/зборів, виникнення необхідності у сплаті податків/зборів),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315984" w:rsidP="002F518B">
            <w:pPr>
              <w:tabs>
                <w:tab w:val="left" w:pos="1540"/>
              </w:tabs>
              <w:ind w:left="20" w:right="-44" w:hanging="161"/>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540"/>
              </w:tabs>
              <w:ind w:left="20" w:right="-44" w:hanging="161"/>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r w:rsidR="009F492F" w:rsidRPr="006809CB" w:rsidTr="009F492F">
        <w:trPr>
          <w:trHeight w:val="11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3</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пов’язані із веденням обліку, підготовкою та поданням звітності державним органам,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54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54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r w:rsidR="009F492F" w:rsidRPr="006809CB" w:rsidTr="009F492F">
        <w:trPr>
          <w:trHeight w:val="14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4</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54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54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r w:rsidR="009F492F" w:rsidRPr="006809CB" w:rsidTr="009F492F">
        <w:trPr>
          <w:trHeight w:val="2675"/>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5</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69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69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r w:rsidR="009F492F" w:rsidRPr="006809CB" w:rsidTr="009F492F">
        <w:trPr>
          <w:trHeight w:val="8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lastRenderedPageBreak/>
              <w:t>6</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оборотні активи (матеріали, канцелярські товари тощо),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69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відсутні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690"/>
              </w:tabs>
              <w:ind w:left="20" w:right="-44"/>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відсутні</w:t>
            </w:r>
          </w:p>
        </w:tc>
      </w:tr>
      <w:tr w:rsidR="009F492F" w:rsidRPr="006809CB" w:rsidTr="009F492F">
        <w:trPr>
          <w:trHeight w:val="81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7</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 xml:space="preserve">Витрати, пов’язані із </w:t>
            </w:r>
            <w:proofErr w:type="spellStart"/>
            <w:r w:rsidRPr="006809CB">
              <w:rPr>
                <w:rFonts w:ascii="Times New Roman" w:hAnsi="Times New Roman" w:cs="Times New Roman"/>
                <w:sz w:val="26"/>
                <w:szCs w:val="26"/>
                <w:highlight w:val="white"/>
              </w:rPr>
              <w:t>наймом</w:t>
            </w:r>
            <w:proofErr w:type="spellEnd"/>
            <w:r w:rsidRPr="006809CB">
              <w:rPr>
                <w:rFonts w:ascii="Times New Roman" w:hAnsi="Times New Roman" w:cs="Times New Roman"/>
                <w:sz w:val="26"/>
                <w:szCs w:val="26"/>
                <w:highlight w:val="white"/>
              </w:rPr>
              <w:t xml:space="preserve"> додаткового персоналу,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5984" w:rsidRPr="006809CB" w:rsidRDefault="009F492F" w:rsidP="00315984">
            <w:pPr>
              <w:tabs>
                <w:tab w:val="left" w:pos="1569"/>
              </w:tabs>
              <w:ind w:left="-132" w:right="-185"/>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 xml:space="preserve">не </w:t>
            </w:r>
          </w:p>
          <w:p w:rsidR="009F492F" w:rsidRPr="006809CB" w:rsidRDefault="009F492F" w:rsidP="00315984">
            <w:pPr>
              <w:tabs>
                <w:tab w:val="left" w:pos="1569"/>
              </w:tabs>
              <w:ind w:right="-185"/>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передбачені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15984" w:rsidRPr="006809CB" w:rsidRDefault="009F492F" w:rsidP="002F518B">
            <w:pPr>
              <w:tabs>
                <w:tab w:val="left" w:pos="1406"/>
              </w:tabs>
              <w:ind w:right="-185"/>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 xml:space="preserve">не </w:t>
            </w:r>
          </w:p>
          <w:p w:rsidR="009F492F" w:rsidRPr="006809CB" w:rsidRDefault="009F492F" w:rsidP="002F518B">
            <w:pPr>
              <w:tabs>
                <w:tab w:val="left" w:pos="1406"/>
              </w:tabs>
              <w:ind w:right="-185"/>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передбачені</w:t>
            </w:r>
          </w:p>
        </w:tc>
      </w:tr>
      <w:tr w:rsidR="009F492F" w:rsidRPr="006809CB" w:rsidTr="009F492F">
        <w:trPr>
          <w:trHeight w:val="5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8</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Інше (уточнити),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B44261"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r w:rsidR="00C441FA" w:rsidRPr="006809CB">
              <w:rPr>
                <w:rFonts w:ascii="Times New Roman" w:hAnsi="Times New Roman" w:cs="Times New Roman"/>
                <w:sz w:val="26"/>
                <w:szCs w:val="26"/>
                <w:highlight w:val="white"/>
              </w:rPr>
              <w:t xml:space="preserve"> </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B44261"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r w:rsidR="00C441FA" w:rsidRPr="006809CB">
              <w:rPr>
                <w:rFonts w:ascii="Times New Roman" w:hAnsi="Times New Roman" w:cs="Times New Roman"/>
                <w:sz w:val="26"/>
                <w:szCs w:val="26"/>
                <w:highlight w:val="white"/>
              </w:rPr>
              <w:t xml:space="preserve"> </w:t>
            </w:r>
          </w:p>
        </w:tc>
      </w:tr>
      <w:tr w:rsidR="009F492F" w:rsidRPr="006809CB" w:rsidTr="009F492F">
        <w:trPr>
          <w:trHeight w:val="89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9</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РАЗОМ (сума рядків: 1 + 2 + 3 + 4 + 5 + 6 + 7 + 8),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B44261"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r w:rsidR="00C441FA" w:rsidRPr="006809CB">
              <w:rPr>
                <w:rFonts w:ascii="Times New Roman" w:hAnsi="Times New Roman" w:cs="Times New Roman"/>
                <w:sz w:val="26"/>
                <w:szCs w:val="26"/>
                <w:highlight w:val="white"/>
              </w:rPr>
              <w:t xml:space="preserve"> </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B44261"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r>
      <w:tr w:rsidR="009F492F" w:rsidRPr="006809CB" w:rsidTr="009F492F">
        <w:trPr>
          <w:trHeight w:val="65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10</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Кількість суб’єктів господарювання великого та середнього підприємництва, на яких буде поширено регулювання, одиниць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 xml:space="preserve">суб’єкти великого підприємництва </w:t>
            </w:r>
            <w:r w:rsidR="00315984" w:rsidRPr="006809CB">
              <w:rPr>
                <w:rFonts w:ascii="Times New Roman" w:hAnsi="Times New Roman" w:cs="Times New Roman"/>
                <w:sz w:val="26"/>
                <w:szCs w:val="26"/>
                <w:highlight w:val="white"/>
              </w:rPr>
              <w:t>–</w:t>
            </w:r>
            <w:r w:rsidRPr="006809CB">
              <w:rPr>
                <w:rFonts w:ascii="Times New Roman" w:hAnsi="Times New Roman" w:cs="Times New Roman"/>
                <w:sz w:val="26"/>
                <w:szCs w:val="26"/>
                <w:highlight w:val="white"/>
              </w:rPr>
              <w:t xml:space="preserve"> </w:t>
            </w:r>
            <w:r w:rsidR="00315984" w:rsidRPr="006809CB">
              <w:rPr>
                <w:rFonts w:ascii="Times New Roman" w:hAnsi="Times New Roman" w:cs="Times New Roman"/>
                <w:sz w:val="26"/>
                <w:szCs w:val="26"/>
                <w:highlight w:val="white"/>
              </w:rPr>
              <w:t>512</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315984" w:rsidP="00315984">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w:t>
            </w:r>
          </w:p>
        </w:tc>
      </w:tr>
      <w:tr w:rsidR="009F492F" w:rsidRPr="006809CB" w:rsidTr="009F492F">
        <w:trPr>
          <w:trHeight w:val="1920"/>
        </w:trPr>
        <w:tc>
          <w:tcPr>
            <w:tcW w:w="1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11</w:t>
            </w:r>
          </w:p>
        </w:tc>
        <w:tc>
          <w:tcPr>
            <w:tcW w:w="4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ind w:left="20"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7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B44261"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c>
          <w:tcPr>
            <w:tcW w:w="17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B44261" w:rsidP="002F518B">
            <w:pPr>
              <w:tabs>
                <w:tab w:val="left" w:pos="1406"/>
              </w:tabs>
              <w:ind w:left="20"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r w:rsidR="009F492F" w:rsidRPr="006809CB">
              <w:rPr>
                <w:rFonts w:ascii="Times New Roman" w:hAnsi="Times New Roman" w:cs="Times New Roman"/>
                <w:sz w:val="26"/>
                <w:szCs w:val="26"/>
                <w:highlight w:val="white"/>
              </w:rPr>
              <w:t xml:space="preserve"> </w:t>
            </w:r>
          </w:p>
        </w:tc>
      </w:tr>
    </w:tbl>
    <w:p w:rsidR="009F492F" w:rsidRPr="006809CB" w:rsidRDefault="009F492F" w:rsidP="00315984">
      <w:pPr>
        <w:tabs>
          <w:tab w:val="left" w:pos="1406"/>
        </w:tabs>
        <w:spacing w:after="0"/>
        <w:ind w:firstLine="720"/>
        <w:jc w:val="both"/>
        <w:rPr>
          <w:rFonts w:ascii="Times New Roman" w:hAnsi="Times New Roman" w:cs="Times New Roman"/>
          <w:sz w:val="26"/>
          <w:szCs w:val="26"/>
          <w:highlight w:val="white"/>
        </w:rPr>
      </w:pPr>
    </w:p>
    <w:p w:rsidR="009F492F" w:rsidRPr="006809CB" w:rsidRDefault="009F492F" w:rsidP="00315984">
      <w:pPr>
        <w:tabs>
          <w:tab w:val="left" w:pos="0"/>
        </w:tabs>
        <w:spacing w:after="0"/>
        <w:ind w:firstLine="567"/>
        <w:rPr>
          <w:rFonts w:ascii="Times New Roman" w:hAnsi="Times New Roman" w:cs="Times New Roman"/>
          <w:sz w:val="28"/>
          <w:szCs w:val="28"/>
          <w:highlight w:val="white"/>
        </w:rPr>
      </w:pPr>
      <w:bookmarkStart w:id="4" w:name="_vgxqn4hk3mmz" w:colFirst="0" w:colLast="0"/>
      <w:bookmarkEnd w:id="4"/>
      <w:r w:rsidRPr="006809CB">
        <w:rPr>
          <w:rFonts w:ascii="Times New Roman" w:hAnsi="Times New Roman" w:cs="Times New Roman"/>
          <w:sz w:val="28"/>
          <w:szCs w:val="28"/>
          <w:highlight w:val="white"/>
        </w:rPr>
        <w:t>Розрахунок відповідних витрат на одного суб’єкта господарювання</w:t>
      </w:r>
    </w:p>
    <w:p w:rsidR="009F492F" w:rsidRPr="006809CB" w:rsidRDefault="009F492F" w:rsidP="00315984">
      <w:pPr>
        <w:tabs>
          <w:tab w:val="left" w:pos="1406"/>
        </w:tabs>
        <w:spacing w:after="0"/>
        <w:ind w:firstLine="720"/>
        <w:jc w:val="both"/>
        <w:rPr>
          <w:rFonts w:ascii="Times New Roman" w:hAnsi="Times New Roman" w:cs="Times New Roman"/>
          <w:sz w:val="26"/>
          <w:szCs w:val="26"/>
          <w:highlight w:val="white"/>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1770"/>
        <w:gridCol w:w="1665"/>
        <w:gridCol w:w="1875"/>
      </w:tblGrid>
      <w:tr w:rsidR="009F492F" w:rsidRPr="006809CB" w:rsidTr="002F518B">
        <w:trPr>
          <w:trHeight w:val="8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Вид витрат</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У перший рік</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Періодичні (за рік)</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1790"/>
        </w:trPr>
        <w:tc>
          <w:tcPr>
            <w:tcW w:w="4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7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6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bl>
    <w:p w:rsidR="009F492F" w:rsidRPr="006809CB" w:rsidRDefault="009F492F" w:rsidP="009F492F">
      <w:pPr>
        <w:tabs>
          <w:tab w:val="left" w:pos="1406"/>
        </w:tabs>
        <w:jc w:val="both"/>
        <w:rPr>
          <w:rFonts w:ascii="Times New Roman" w:hAnsi="Times New Roman" w:cs="Times New Roman"/>
          <w:sz w:val="26"/>
          <w:szCs w:val="26"/>
          <w:highlight w:val="white"/>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26"/>
        <w:gridCol w:w="3530"/>
        <w:gridCol w:w="1988"/>
      </w:tblGrid>
      <w:tr w:rsidR="009F492F" w:rsidRPr="006809CB" w:rsidTr="002F518B">
        <w:trPr>
          <w:trHeight w:val="1080"/>
        </w:trPr>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Вид витрат</w:t>
            </w:r>
          </w:p>
        </w:tc>
        <w:tc>
          <w:tcPr>
            <w:tcW w:w="35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сплату податків та зборів (змінених/ нововведених) (за рік)</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1490"/>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lastRenderedPageBreak/>
              <w:t>Податки та збори (зміна розміру податків/зборів, виникнення необхідності у сплаті податків/зборів)</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bl>
    <w:p w:rsidR="009F492F" w:rsidRPr="006809CB" w:rsidRDefault="009F492F" w:rsidP="009F492F">
      <w:pPr>
        <w:tabs>
          <w:tab w:val="left" w:pos="1406"/>
        </w:tabs>
        <w:jc w:val="both"/>
        <w:rPr>
          <w:rFonts w:ascii="Times New Roman" w:hAnsi="Times New Roman" w:cs="Times New Roman"/>
          <w:sz w:val="26"/>
          <w:szCs w:val="26"/>
          <w:highlight w:val="white"/>
        </w:rPr>
      </w:pPr>
      <w:bookmarkStart w:id="5" w:name="_e2xyhjn16rtm" w:colFirst="0" w:colLast="0"/>
      <w:bookmarkEnd w:id="5"/>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2"/>
        <w:gridCol w:w="1545"/>
        <w:gridCol w:w="1920"/>
        <w:gridCol w:w="1433"/>
        <w:gridCol w:w="1485"/>
      </w:tblGrid>
      <w:tr w:rsidR="009F492F" w:rsidRPr="006809CB" w:rsidTr="002F518B">
        <w:trPr>
          <w:trHeight w:val="2070"/>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Вид витрат</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ведення обліку, підготовку та подання звітності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оплату штрафних санкцій за рік</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Разом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2295"/>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пов’язані із веденням обліку, підготовкою та поданням звітності державним органам (витрати часу персоналу)</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bl>
    <w:p w:rsidR="009F492F" w:rsidRPr="006809CB" w:rsidRDefault="009F492F" w:rsidP="009F492F">
      <w:pPr>
        <w:tabs>
          <w:tab w:val="left" w:pos="1406"/>
        </w:tabs>
        <w:jc w:val="both"/>
        <w:rPr>
          <w:rFonts w:ascii="Times New Roman" w:hAnsi="Times New Roman" w:cs="Times New Roman"/>
          <w:sz w:val="26"/>
          <w:szCs w:val="26"/>
          <w:highlight w:val="white"/>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15"/>
        <w:gridCol w:w="2190"/>
        <w:gridCol w:w="1920"/>
        <w:gridCol w:w="1485"/>
        <w:gridCol w:w="1327"/>
      </w:tblGrid>
      <w:tr w:rsidR="009F492F" w:rsidRPr="006809CB" w:rsidTr="002F518B">
        <w:trPr>
          <w:trHeight w:val="2505"/>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Вид витрат</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адміністрування заходів державного нагляду (контролю) (за рік)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оплату штрафних санкцій та усунення виявлених порушень (за рік)</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Разом за рік</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2390"/>
        </w:trPr>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w:t>
            </w:r>
          </w:p>
        </w:tc>
      </w:tr>
    </w:tbl>
    <w:p w:rsidR="009F492F" w:rsidRPr="006809CB" w:rsidRDefault="009F492F" w:rsidP="009F492F">
      <w:pPr>
        <w:pBdr>
          <w:top w:val="nil"/>
          <w:left w:val="nil"/>
          <w:bottom w:val="nil"/>
          <w:right w:val="nil"/>
          <w:between w:val="nil"/>
        </w:pBdr>
        <w:tabs>
          <w:tab w:val="left" w:pos="1406"/>
        </w:tabs>
        <w:jc w:val="both"/>
        <w:rPr>
          <w:rFonts w:ascii="Times New Roman" w:hAnsi="Times New Roman" w:cs="Times New Roman"/>
          <w:sz w:val="26"/>
          <w:szCs w:val="26"/>
          <w:highlight w:val="white"/>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75"/>
        <w:gridCol w:w="2310"/>
        <w:gridCol w:w="2010"/>
        <w:gridCol w:w="1425"/>
        <w:gridCol w:w="1410"/>
      </w:tblGrid>
      <w:tr w:rsidR="009F492F" w:rsidRPr="006809CB" w:rsidTr="002F518B">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lastRenderedPageBreak/>
              <w:t>Вид витрат</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проходження відповідних процедур (витрати часу, витрати на експертизи, тощо)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безпосередньо на дозволи, ліцензії, сертифікати, страхові поліси (за рік - стартовий)</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Разом за рік (стартовий)</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2250"/>
        </w:trPr>
        <w:tc>
          <w:tcPr>
            <w:tcW w:w="24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both"/>
              <w:rPr>
                <w:rFonts w:ascii="Times New Roman" w:hAnsi="Times New Roman" w:cs="Times New Roman"/>
                <w:sz w:val="26"/>
                <w:szCs w:val="26"/>
                <w:highlight w:val="white"/>
              </w:rPr>
            </w:pPr>
            <w:bookmarkStart w:id="6" w:name="_7mt8lgvklv7n" w:colFirst="0" w:colLast="0"/>
            <w:bookmarkEnd w:id="6"/>
            <w:r w:rsidRPr="006809CB">
              <w:rPr>
                <w:rFonts w:ascii="Times New Roman" w:hAnsi="Times New Roman" w:cs="Times New Roman"/>
                <w:sz w:val="26"/>
                <w:szCs w:val="26"/>
                <w:highlight w:val="white"/>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p w:rsidR="009F492F" w:rsidRPr="006809CB" w:rsidRDefault="009F492F" w:rsidP="002F518B">
            <w:pPr>
              <w:tabs>
                <w:tab w:val="left" w:pos="1406"/>
              </w:tabs>
              <w:ind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r>
    </w:tbl>
    <w:p w:rsidR="009F492F" w:rsidRPr="006809CB" w:rsidRDefault="009F492F" w:rsidP="009F492F">
      <w:pPr>
        <w:tabs>
          <w:tab w:val="left" w:pos="1406"/>
        </w:tabs>
        <w:jc w:val="both"/>
        <w:rPr>
          <w:rFonts w:ascii="Times New Roman" w:hAnsi="Times New Roman" w:cs="Times New Roman"/>
          <w:sz w:val="26"/>
          <w:szCs w:val="26"/>
          <w:highlight w:val="white"/>
        </w:rPr>
      </w:pPr>
      <w:bookmarkStart w:id="7" w:name="_x4xp565rxkda" w:colFirst="0" w:colLast="0"/>
      <w:bookmarkEnd w:id="7"/>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0"/>
        <w:gridCol w:w="1770"/>
        <w:gridCol w:w="2580"/>
        <w:gridCol w:w="2730"/>
      </w:tblGrid>
      <w:tr w:rsidR="009F492F" w:rsidRPr="006809CB" w:rsidTr="002F518B">
        <w:trPr>
          <w:trHeight w:val="8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Вид витрат</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За рік (стартовий)</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Періодичні (за наступний рік)</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1790"/>
        </w:trPr>
        <w:tc>
          <w:tcPr>
            <w:tcW w:w="25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оборотні активи (матеріали, канцелярські товари тощо)</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відсутні</w:t>
            </w:r>
          </w:p>
        </w:tc>
      </w:tr>
    </w:tbl>
    <w:p w:rsidR="009F492F" w:rsidRPr="006809CB" w:rsidRDefault="009F492F" w:rsidP="009F492F">
      <w:pPr>
        <w:pBdr>
          <w:top w:val="nil"/>
          <w:left w:val="nil"/>
          <w:bottom w:val="nil"/>
          <w:right w:val="nil"/>
          <w:between w:val="nil"/>
        </w:pBdr>
        <w:tabs>
          <w:tab w:val="left" w:pos="1406"/>
        </w:tabs>
        <w:jc w:val="both"/>
        <w:rPr>
          <w:rFonts w:ascii="Times New Roman" w:hAnsi="Times New Roman" w:cs="Times New Roman"/>
          <w:sz w:val="26"/>
          <w:szCs w:val="26"/>
          <w:highlight w:val="white"/>
        </w:rPr>
      </w:pPr>
      <w:bookmarkStart w:id="8" w:name="_tdp6uvway7ux" w:colFirst="0" w:colLast="0"/>
      <w:bookmarkEnd w:id="8"/>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69"/>
        <w:gridCol w:w="3470"/>
        <w:gridCol w:w="3499"/>
      </w:tblGrid>
      <w:tr w:rsidR="009F492F" w:rsidRPr="006809CB" w:rsidTr="002F518B">
        <w:trPr>
          <w:trHeight w:val="11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lastRenderedPageBreak/>
              <w:t>Вид витрат</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на оплату праці додатково найманого персоналу (за рік)</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Витрати за п’ять років</w:t>
            </w:r>
          </w:p>
        </w:tc>
      </w:tr>
      <w:tr w:rsidR="009F492F" w:rsidRPr="006809CB" w:rsidTr="002F518B">
        <w:trPr>
          <w:trHeight w:val="1490"/>
        </w:trPr>
        <w:tc>
          <w:tcPr>
            <w:tcW w:w="26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2F518B">
            <w:pPr>
              <w:tabs>
                <w:tab w:val="left" w:pos="1406"/>
              </w:tabs>
              <w:ind w:right="100"/>
              <w:jc w:val="both"/>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 xml:space="preserve">Витрати, пов’язані із </w:t>
            </w:r>
            <w:proofErr w:type="spellStart"/>
            <w:r w:rsidRPr="006809CB">
              <w:rPr>
                <w:rFonts w:ascii="Times New Roman" w:hAnsi="Times New Roman" w:cs="Times New Roman"/>
                <w:sz w:val="26"/>
                <w:szCs w:val="26"/>
                <w:highlight w:val="white"/>
              </w:rPr>
              <w:t>наймом</w:t>
            </w:r>
            <w:proofErr w:type="spellEnd"/>
            <w:r w:rsidRPr="006809CB">
              <w:rPr>
                <w:rFonts w:ascii="Times New Roman" w:hAnsi="Times New Roman" w:cs="Times New Roman"/>
                <w:sz w:val="26"/>
                <w:szCs w:val="26"/>
                <w:highlight w:val="white"/>
              </w:rPr>
              <w:t xml:space="preserve"> додаткового персоналу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r w:rsidRPr="006809CB">
              <w:rPr>
                <w:rFonts w:ascii="Times New Roman" w:hAnsi="Times New Roman" w:cs="Times New Roman"/>
                <w:sz w:val="26"/>
                <w:szCs w:val="26"/>
                <w:highlight w:val="white"/>
              </w:rPr>
              <w:t>не передбачені, не потребує найму додаткового персоналу</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F492F" w:rsidRPr="006809CB" w:rsidRDefault="009F492F" w:rsidP="00315984">
            <w:pPr>
              <w:tabs>
                <w:tab w:val="left" w:pos="1406"/>
              </w:tabs>
              <w:ind w:right="100"/>
              <w:jc w:val="center"/>
              <w:rPr>
                <w:rFonts w:ascii="Times New Roman" w:hAnsi="Times New Roman" w:cs="Times New Roman"/>
                <w:sz w:val="26"/>
                <w:szCs w:val="26"/>
                <w:highlight w:val="white"/>
              </w:rPr>
            </w:pPr>
            <w:bookmarkStart w:id="9" w:name="_30j0zll" w:colFirst="0" w:colLast="0"/>
            <w:bookmarkEnd w:id="9"/>
            <w:r w:rsidRPr="006809CB">
              <w:rPr>
                <w:rFonts w:ascii="Times New Roman" w:hAnsi="Times New Roman" w:cs="Times New Roman"/>
                <w:sz w:val="26"/>
                <w:szCs w:val="26"/>
                <w:highlight w:val="white"/>
              </w:rPr>
              <w:t>не передбачені, не потребує найму додаткового персоналу</w:t>
            </w:r>
          </w:p>
        </w:tc>
      </w:tr>
    </w:tbl>
    <w:p w:rsidR="009F492F" w:rsidRPr="006809CB" w:rsidRDefault="009F492F" w:rsidP="009F492F">
      <w:pPr>
        <w:pBdr>
          <w:top w:val="nil"/>
          <w:left w:val="nil"/>
          <w:bottom w:val="nil"/>
          <w:right w:val="nil"/>
          <w:between w:val="nil"/>
        </w:pBdr>
        <w:tabs>
          <w:tab w:val="left" w:pos="1406"/>
        </w:tabs>
        <w:ind w:left="-284" w:right="140"/>
        <w:jc w:val="both"/>
        <w:rPr>
          <w:rFonts w:ascii="Times New Roman" w:hAnsi="Times New Roman" w:cs="Times New Roman"/>
          <w:color w:val="000000"/>
          <w:sz w:val="26"/>
          <w:szCs w:val="26"/>
        </w:rPr>
      </w:pPr>
    </w:p>
    <w:tbl>
      <w:tblPr>
        <w:tblW w:w="9615" w:type="dxa"/>
        <w:tblInd w:w="130" w:type="dxa"/>
        <w:tblLayout w:type="fixed"/>
        <w:tblLook w:val="0000" w:firstRow="0" w:lastRow="0" w:firstColumn="0" w:lastColumn="0" w:noHBand="0" w:noVBand="0"/>
      </w:tblPr>
      <w:tblGrid>
        <w:gridCol w:w="2145"/>
        <w:gridCol w:w="4170"/>
        <w:gridCol w:w="3300"/>
      </w:tblGrid>
      <w:tr w:rsidR="009F492F" w:rsidRPr="006809CB" w:rsidTr="002F518B">
        <w:trPr>
          <w:trHeight w:val="229"/>
        </w:trPr>
        <w:tc>
          <w:tcPr>
            <w:tcW w:w="2145" w:type="dxa"/>
            <w:tcBorders>
              <w:top w:val="single" w:sz="4" w:space="0" w:color="000000"/>
              <w:left w:val="single" w:sz="4" w:space="0" w:color="000000"/>
              <w:bottom w:val="single" w:sz="4" w:space="0" w:color="000000"/>
            </w:tcBorders>
            <w:shd w:val="clear" w:color="auto" w:fill="auto"/>
          </w:tcPr>
          <w:p w:rsidR="009F492F" w:rsidRPr="006809CB" w:rsidRDefault="009F492F"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Вид альтернатив</w:t>
            </w:r>
          </w:p>
        </w:tc>
        <w:tc>
          <w:tcPr>
            <w:tcW w:w="4170" w:type="dxa"/>
            <w:tcBorders>
              <w:top w:val="single" w:sz="4" w:space="0" w:color="000000"/>
              <w:left w:val="single" w:sz="4" w:space="0" w:color="000000"/>
              <w:bottom w:val="single" w:sz="4" w:space="0" w:color="000000"/>
            </w:tcBorders>
            <w:shd w:val="clear" w:color="auto" w:fill="auto"/>
          </w:tcPr>
          <w:p w:rsidR="009F492F" w:rsidRPr="006809CB" w:rsidRDefault="009F492F" w:rsidP="002F518B">
            <w:pPr>
              <w:pBdr>
                <w:top w:val="nil"/>
                <w:left w:val="nil"/>
                <w:bottom w:val="nil"/>
                <w:right w:val="nil"/>
                <w:between w:val="nil"/>
              </w:pBdr>
              <w:tabs>
                <w:tab w:val="left" w:pos="1406"/>
              </w:tabs>
              <w:ind w:left="10" w:right="33"/>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Вигоди</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F492F" w:rsidRPr="006809CB" w:rsidRDefault="009F492F"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Витрати</w:t>
            </w:r>
          </w:p>
        </w:tc>
      </w:tr>
      <w:tr w:rsidR="009F492F" w:rsidRPr="006809CB" w:rsidTr="002F518B">
        <w:tc>
          <w:tcPr>
            <w:tcW w:w="2145" w:type="dxa"/>
            <w:tcBorders>
              <w:top w:val="single" w:sz="4" w:space="0" w:color="000000"/>
              <w:left w:val="single" w:sz="4" w:space="0" w:color="000000"/>
              <w:bottom w:val="single" w:sz="4" w:space="0" w:color="000000"/>
            </w:tcBorders>
            <w:shd w:val="clear" w:color="auto" w:fill="auto"/>
          </w:tcPr>
          <w:p w:rsidR="006832AD" w:rsidRPr="006809CB" w:rsidRDefault="006832AD" w:rsidP="006832AD">
            <w:pPr>
              <w:spacing w:after="0" w:line="240" w:lineRule="auto"/>
              <w:jc w:val="center"/>
              <w:rPr>
                <w:rFonts w:ascii="Times New Roman" w:eastAsia="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Альтернатива 1</w:t>
            </w:r>
          </w:p>
          <w:p w:rsidR="009F492F" w:rsidRPr="006809CB" w:rsidRDefault="006832AD" w:rsidP="006832AD">
            <w:pPr>
              <w:pBdr>
                <w:top w:val="nil"/>
                <w:left w:val="nil"/>
                <w:bottom w:val="nil"/>
                <w:right w:val="nil"/>
                <w:between w:val="nil"/>
              </w:pBdr>
              <w:ind w:left="10" w:right="33"/>
              <w:jc w:val="center"/>
              <w:rPr>
                <w:rFonts w:ascii="Times New Roman" w:hAnsi="Times New Roman" w:cs="Times New Roman"/>
                <w:color w:val="000000"/>
                <w:sz w:val="26"/>
                <w:szCs w:val="26"/>
              </w:rPr>
            </w:pPr>
            <w:r w:rsidRPr="006809CB">
              <w:rPr>
                <w:rFonts w:ascii="Times New Roman" w:eastAsia="Times New Roman" w:hAnsi="Times New Roman" w:cs="Times New Roman"/>
                <w:color w:val="000000"/>
                <w:sz w:val="26"/>
                <w:szCs w:val="26"/>
              </w:rPr>
              <w:t>Існуюча ситуація залишається без змін</w:t>
            </w:r>
          </w:p>
        </w:tc>
        <w:tc>
          <w:tcPr>
            <w:tcW w:w="4170" w:type="dxa"/>
            <w:tcBorders>
              <w:top w:val="single" w:sz="4" w:space="0" w:color="000000"/>
              <w:left w:val="single" w:sz="4" w:space="0" w:color="000000"/>
              <w:bottom w:val="single" w:sz="4" w:space="0" w:color="000000"/>
            </w:tcBorders>
            <w:shd w:val="clear" w:color="auto" w:fill="auto"/>
          </w:tcPr>
          <w:p w:rsidR="009F492F" w:rsidRPr="006809CB" w:rsidRDefault="002A2D42" w:rsidP="002F518B">
            <w:pPr>
              <w:pBdr>
                <w:top w:val="nil"/>
                <w:left w:val="nil"/>
                <w:bottom w:val="nil"/>
                <w:right w:val="nil"/>
                <w:between w:val="nil"/>
              </w:pBdr>
              <w:tabs>
                <w:tab w:val="left" w:pos="1406"/>
              </w:tabs>
              <w:ind w:left="10" w:right="33"/>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w:t>
            </w:r>
            <w:r w:rsidR="009F492F" w:rsidRPr="006809CB">
              <w:rPr>
                <w:rFonts w:ascii="Times New Roman" w:hAnsi="Times New Roman" w:cs="Times New Roman"/>
                <w:color w:val="000000"/>
                <w:sz w:val="26"/>
                <w:szCs w:val="26"/>
              </w:rPr>
              <w:t>ідсутні</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F492F" w:rsidRPr="006809CB" w:rsidRDefault="002A2D42"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6809CB">
              <w:rPr>
                <w:rFonts w:ascii="Times New Roman" w:hAnsi="Times New Roman" w:cs="Times New Roman"/>
                <w:color w:val="000000"/>
                <w:sz w:val="26"/>
                <w:szCs w:val="26"/>
              </w:rPr>
              <w:t>в</w:t>
            </w:r>
            <w:r w:rsidR="009F492F" w:rsidRPr="006809CB">
              <w:rPr>
                <w:rFonts w:ascii="Times New Roman" w:hAnsi="Times New Roman" w:cs="Times New Roman"/>
                <w:color w:val="000000"/>
                <w:sz w:val="26"/>
                <w:szCs w:val="26"/>
              </w:rPr>
              <w:t>ідсутні</w:t>
            </w:r>
          </w:p>
        </w:tc>
      </w:tr>
      <w:tr w:rsidR="009F492F" w:rsidRPr="006809CB" w:rsidTr="002F518B">
        <w:trPr>
          <w:trHeight w:val="699"/>
        </w:trPr>
        <w:tc>
          <w:tcPr>
            <w:tcW w:w="2145" w:type="dxa"/>
            <w:tcBorders>
              <w:top w:val="single" w:sz="4" w:space="0" w:color="000000"/>
              <w:left w:val="single" w:sz="4" w:space="0" w:color="000000"/>
              <w:bottom w:val="single" w:sz="4" w:space="0" w:color="000000"/>
            </w:tcBorders>
            <w:shd w:val="clear" w:color="auto" w:fill="auto"/>
          </w:tcPr>
          <w:p w:rsidR="006832AD" w:rsidRPr="006809CB" w:rsidRDefault="006832AD" w:rsidP="006832AD">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2</w:t>
            </w:r>
          </w:p>
          <w:p w:rsidR="009F492F" w:rsidRPr="006809CB" w:rsidRDefault="006832AD" w:rsidP="006832AD">
            <w:pPr>
              <w:pBdr>
                <w:top w:val="nil"/>
                <w:left w:val="nil"/>
                <w:bottom w:val="nil"/>
                <w:right w:val="nil"/>
                <w:between w:val="nil"/>
              </w:pBdr>
              <w:ind w:left="10" w:right="33"/>
              <w:jc w:val="center"/>
              <w:rPr>
                <w:rFonts w:ascii="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Прийняття проекту акта</w:t>
            </w:r>
          </w:p>
        </w:tc>
        <w:tc>
          <w:tcPr>
            <w:tcW w:w="4170" w:type="dxa"/>
            <w:tcBorders>
              <w:top w:val="single" w:sz="4" w:space="0" w:color="000000"/>
              <w:left w:val="single" w:sz="4" w:space="0" w:color="000000"/>
              <w:bottom w:val="single" w:sz="4" w:space="0" w:color="000000"/>
            </w:tcBorders>
            <w:shd w:val="clear" w:color="auto" w:fill="auto"/>
          </w:tcPr>
          <w:p w:rsidR="006832AD" w:rsidRPr="006809CB" w:rsidRDefault="006832AD" w:rsidP="002A2D42">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Високі, оскільки п</w:t>
            </w:r>
            <w:r w:rsidRPr="006809CB">
              <w:rPr>
                <w:rFonts w:ascii="Times New Roman" w:hAnsi="Times New Roman" w:cs="Times New Roman"/>
                <w:color w:val="000000"/>
                <w:sz w:val="26"/>
                <w:szCs w:val="26"/>
                <w:highlight w:val="white"/>
              </w:rPr>
              <w:t>рийняття проекту акта забезпечить</w:t>
            </w:r>
            <w:r w:rsidRPr="006809CB">
              <w:rPr>
                <w:rFonts w:ascii="Times New Roman" w:eastAsia="Times New Roman" w:hAnsi="Times New Roman" w:cs="Times New Roman"/>
                <w:sz w:val="26"/>
                <w:szCs w:val="26"/>
              </w:rPr>
              <w:t xml:space="preserve"> виконання абзацу </w:t>
            </w:r>
            <w:r w:rsidR="002A2D42" w:rsidRPr="006809CB">
              <w:rPr>
                <w:rFonts w:ascii="Times New Roman" w:eastAsia="Times New Roman" w:hAnsi="Times New Roman" w:cs="Times New Roman"/>
                <w:sz w:val="26"/>
                <w:szCs w:val="26"/>
              </w:rPr>
              <w:t>другого частини першої статті 11</w:t>
            </w:r>
            <w:r w:rsidRPr="006809CB">
              <w:rPr>
                <w:rFonts w:ascii="Times New Roman" w:eastAsia="Times New Roman" w:hAnsi="Times New Roman" w:cs="Times New Roman"/>
                <w:sz w:val="26"/>
                <w:szCs w:val="26"/>
              </w:rPr>
              <w:t xml:space="preserve"> Закону</w:t>
            </w:r>
            <w:r w:rsidR="002A2D42" w:rsidRPr="006809CB">
              <w:rPr>
                <w:rFonts w:ascii="Times New Roman" w:eastAsia="Times New Roman" w:hAnsi="Times New Roman" w:cs="Times New Roman"/>
                <w:sz w:val="26"/>
                <w:szCs w:val="26"/>
              </w:rPr>
              <w:t>. При цьому суб’єкти господарювання великого підприємництва отримають достовірну інформацію про підтвердження кваліфікації енергетичних аудиторів  для подальшого залучення їх для проведення енергетичних аудитів (процесів, транспорту)</w:t>
            </w:r>
          </w:p>
          <w:p w:rsidR="006832AD" w:rsidRPr="006809CB" w:rsidRDefault="006832AD" w:rsidP="006832AD">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9F492F" w:rsidRPr="006809CB" w:rsidRDefault="006832AD" w:rsidP="006832AD">
            <w:pPr>
              <w:spacing w:after="0" w:line="240" w:lineRule="auto"/>
              <w:ind w:firstLine="272"/>
              <w:jc w:val="both"/>
              <w:rPr>
                <w:rFonts w:ascii="Times New Roman" w:hAnsi="Times New Roman" w:cs="Times New Roman"/>
                <w:sz w:val="26"/>
                <w:szCs w:val="26"/>
                <w:highlight w:val="white"/>
              </w:rPr>
            </w:pPr>
            <w:r w:rsidRPr="006809CB">
              <w:rPr>
                <w:rFonts w:ascii="Times New Roman" w:eastAsia="Times New Roman" w:hAnsi="Times New Roman" w:cs="Times New Roman"/>
                <w:sz w:val="26"/>
                <w:szCs w:val="26"/>
              </w:rPr>
              <w:t>Обраний спосіб забезпечує досягнення цілей державного регулювання</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F492F" w:rsidRPr="006809CB" w:rsidRDefault="002A2D42" w:rsidP="002F518B">
            <w:pPr>
              <w:pBdr>
                <w:top w:val="nil"/>
                <w:left w:val="nil"/>
                <w:bottom w:val="nil"/>
                <w:right w:val="nil"/>
                <w:between w:val="nil"/>
              </w:pBdr>
              <w:ind w:left="10" w:right="33"/>
              <w:jc w:val="center"/>
              <w:rPr>
                <w:rFonts w:ascii="Times New Roman" w:hAnsi="Times New Roman" w:cs="Times New Roman"/>
                <w:color w:val="000000"/>
                <w:sz w:val="26"/>
                <w:szCs w:val="26"/>
              </w:rPr>
            </w:pPr>
            <w:r w:rsidRPr="006809CB">
              <w:rPr>
                <w:rFonts w:ascii="Times New Roman" w:hAnsi="Times New Roman" w:cs="Times New Roman"/>
                <w:sz w:val="26"/>
                <w:szCs w:val="26"/>
                <w:highlight w:val="white"/>
              </w:rPr>
              <w:t>відсутні</w:t>
            </w:r>
          </w:p>
        </w:tc>
      </w:tr>
    </w:tbl>
    <w:p w:rsidR="00D500BC" w:rsidRPr="006809CB" w:rsidRDefault="00D500BC">
      <w:pPr>
        <w:spacing w:after="0" w:line="240" w:lineRule="auto"/>
        <w:ind w:firstLine="709"/>
        <w:jc w:val="both"/>
        <w:rPr>
          <w:rFonts w:ascii="Times New Roman" w:eastAsia="Times New Roman" w:hAnsi="Times New Roman" w:cs="Times New Roman"/>
          <w:color w:val="0000FF"/>
          <w:sz w:val="26"/>
          <w:szCs w:val="26"/>
          <w:highlight w:val="yellow"/>
        </w:rPr>
      </w:pPr>
    </w:p>
    <w:tbl>
      <w:tblPr>
        <w:tblStyle w:val="af5"/>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062"/>
      </w:tblGrid>
      <w:tr w:rsidR="00A05CA2" w:rsidRPr="006809CB">
        <w:trPr>
          <w:jc w:val="center"/>
        </w:trPr>
        <w:tc>
          <w:tcPr>
            <w:tcW w:w="5688"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Сумарні витрати за альтернативами</w:t>
            </w:r>
          </w:p>
        </w:tc>
        <w:tc>
          <w:tcPr>
            <w:tcW w:w="406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jc w:val="center"/>
              <w:rPr>
                <w:rFonts w:ascii="Times New Roman" w:eastAsia="Times New Roman" w:hAnsi="Times New Roman" w:cs="Times New Roman"/>
                <w:b/>
                <w:sz w:val="26"/>
                <w:szCs w:val="26"/>
                <w:highlight w:val="yellow"/>
              </w:rPr>
            </w:pPr>
            <w:r w:rsidRPr="006809CB">
              <w:rPr>
                <w:rFonts w:ascii="Times New Roman" w:eastAsia="Times New Roman" w:hAnsi="Times New Roman" w:cs="Times New Roman"/>
                <w:sz w:val="26"/>
                <w:szCs w:val="26"/>
              </w:rPr>
              <w:t>Сума витрат, гривень</w:t>
            </w:r>
          </w:p>
        </w:tc>
      </w:tr>
      <w:tr w:rsidR="00A05CA2" w:rsidRPr="006809CB">
        <w:trPr>
          <w:jc w:val="center"/>
        </w:trPr>
        <w:tc>
          <w:tcPr>
            <w:tcW w:w="5688" w:type="dxa"/>
            <w:tcBorders>
              <w:top w:val="single" w:sz="4" w:space="0" w:color="000000"/>
              <w:left w:val="single" w:sz="4" w:space="0" w:color="000000"/>
              <w:bottom w:val="single" w:sz="4" w:space="0" w:color="000000"/>
              <w:right w:val="single" w:sz="4" w:space="0" w:color="000000"/>
            </w:tcBorders>
          </w:tcPr>
          <w:p w:rsidR="00A05CA2" w:rsidRPr="006809CB" w:rsidRDefault="00C92FE1" w:rsidP="008B045E">
            <w:pPr>
              <w:spacing w:after="0" w:line="240" w:lineRule="auto"/>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1</w:t>
            </w:r>
          </w:p>
          <w:p w:rsidR="00D500BC" w:rsidRPr="006809CB" w:rsidRDefault="00D500BC" w:rsidP="008B045E">
            <w:pPr>
              <w:spacing w:after="0" w:line="240" w:lineRule="auto"/>
              <w:jc w:val="both"/>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t>Існуюча ситуація залишається без змін</w:t>
            </w:r>
          </w:p>
        </w:tc>
        <w:tc>
          <w:tcPr>
            <w:tcW w:w="4062" w:type="dxa"/>
            <w:tcBorders>
              <w:top w:val="single" w:sz="4" w:space="0" w:color="000000"/>
              <w:left w:val="single" w:sz="4" w:space="0" w:color="000000"/>
              <w:bottom w:val="single" w:sz="4" w:space="0" w:color="000000"/>
              <w:right w:val="single" w:sz="4" w:space="0" w:color="000000"/>
            </w:tcBorders>
          </w:tcPr>
          <w:p w:rsidR="00A05CA2" w:rsidRPr="006809CB" w:rsidRDefault="00D04776" w:rsidP="00D04776">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Відсутні</w:t>
            </w:r>
          </w:p>
        </w:tc>
      </w:tr>
      <w:tr w:rsidR="00A05CA2" w:rsidRPr="006809CB">
        <w:trPr>
          <w:jc w:val="center"/>
        </w:trPr>
        <w:tc>
          <w:tcPr>
            <w:tcW w:w="5688" w:type="dxa"/>
            <w:tcBorders>
              <w:top w:val="single" w:sz="4" w:space="0" w:color="000000"/>
              <w:left w:val="single" w:sz="4" w:space="0" w:color="000000"/>
              <w:bottom w:val="single" w:sz="4" w:space="0" w:color="000000"/>
              <w:right w:val="single" w:sz="4" w:space="0" w:color="000000"/>
            </w:tcBorders>
          </w:tcPr>
          <w:p w:rsidR="00A05CA2" w:rsidRPr="006809CB" w:rsidRDefault="00595C5B" w:rsidP="008B045E">
            <w:pPr>
              <w:spacing w:after="0" w:line="240" w:lineRule="auto"/>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Альтернатива </w:t>
            </w:r>
            <w:r w:rsidR="00D500BC" w:rsidRPr="006809CB">
              <w:rPr>
                <w:rFonts w:ascii="Times New Roman" w:eastAsia="Times New Roman" w:hAnsi="Times New Roman" w:cs="Times New Roman"/>
                <w:sz w:val="26"/>
                <w:szCs w:val="26"/>
              </w:rPr>
              <w:t>2</w:t>
            </w:r>
            <w:r w:rsidRPr="006809CB">
              <w:rPr>
                <w:rFonts w:ascii="Times New Roman" w:eastAsia="Times New Roman" w:hAnsi="Times New Roman" w:cs="Times New Roman"/>
                <w:sz w:val="26"/>
                <w:szCs w:val="26"/>
              </w:rPr>
              <w:t xml:space="preserve"> </w:t>
            </w:r>
          </w:p>
          <w:p w:rsidR="00D500BC" w:rsidRPr="006809CB" w:rsidRDefault="00D500BC" w:rsidP="008B045E">
            <w:pPr>
              <w:spacing w:after="0" w:line="240" w:lineRule="auto"/>
              <w:jc w:val="both"/>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t>Прийняття проекту акта</w:t>
            </w:r>
          </w:p>
        </w:tc>
        <w:tc>
          <w:tcPr>
            <w:tcW w:w="4062" w:type="dxa"/>
            <w:tcBorders>
              <w:top w:val="single" w:sz="4" w:space="0" w:color="000000"/>
              <w:left w:val="single" w:sz="4" w:space="0" w:color="000000"/>
              <w:bottom w:val="single" w:sz="4" w:space="0" w:color="000000"/>
              <w:right w:val="single" w:sz="4" w:space="0" w:color="000000"/>
            </w:tcBorders>
          </w:tcPr>
          <w:p w:rsidR="00A05CA2" w:rsidRPr="006809CB" w:rsidRDefault="002A2D42" w:rsidP="002A2D42">
            <w:pPr>
              <w:spacing w:after="0" w:line="240" w:lineRule="auto"/>
              <w:ind w:firstLine="206"/>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Відсутні</w:t>
            </w:r>
          </w:p>
        </w:tc>
      </w:tr>
    </w:tbl>
    <w:p w:rsidR="00947BAA" w:rsidRPr="006809CB" w:rsidRDefault="00947BAA" w:rsidP="00947BAA">
      <w:pPr>
        <w:spacing w:after="0" w:line="240" w:lineRule="auto"/>
        <w:rPr>
          <w:rFonts w:ascii="Times New Roman" w:eastAsia="Times New Roman" w:hAnsi="Times New Roman" w:cs="Times New Roman"/>
          <w:sz w:val="24"/>
          <w:szCs w:val="24"/>
        </w:rPr>
      </w:pPr>
    </w:p>
    <w:p w:rsidR="00A05CA2" w:rsidRPr="006809CB" w:rsidRDefault="00595C5B">
      <w:pPr>
        <w:spacing w:after="0" w:line="240" w:lineRule="auto"/>
        <w:ind w:firstLine="709"/>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IV. Вибір найбільш оптимального альтернативного способу досягнення цілей</w:t>
      </w:r>
    </w:p>
    <w:p w:rsidR="00A05CA2" w:rsidRPr="006809CB" w:rsidRDefault="00A05CA2">
      <w:pPr>
        <w:spacing w:after="0" w:line="240" w:lineRule="auto"/>
        <w:ind w:firstLine="709"/>
        <w:jc w:val="both"/>
        <w:rPr>
          <w:rFonts w:ascii="Times New Roman" w:eastAsia="Times New Roman" w:hAnsi="Times New Roman" w:cs="Times New Roman"/>
          <w:sz w:val="14"/>
          <w:szCs w:val="14"/>
        </w:rPr>
      </w:pPr>
    </w:p>
    <w:tbl>
      <w:tblPr>
        <w:tblStyle w:val="af6"/>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3"/>
        <w:gridCol w:w="2341"/>
        <w:gridCol w:w="4601"/>
      </w:tblGrid>
      <w:tr w:rsidR="00A05CA2" w:rsidRPr="006809CB">
        <w:trPr>
          <w:jc w:val="center"/>
        </w:trPr>
        <w:tc>
          <w:tcPr>
            <w:tcW w:w="2703"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ind w:left="-107" w:right="-108"/>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Рейтинг результативності (досягнення цілей під час вирішення проблеми)</w:t>
            </w:r>
          </w:p>
        </w:tc>
        <w:tc>
          <w:tcPr>
            <w:tcW w:w="2341"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ind w:left="-108" w:right="-108"/>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Бал результативності (за чотирибальною системою оцінки)</w:t>
            </w:r>
          </w:p>
        </w:tc>
        <w:tc>
          <w:tcPr>
            <w:tcW w:w="4601"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 xml:space="preserve">Коментарі щодо присвоєння відповідного </w:t>
            </w:r>
            <w:proofErr w:type="spellStart"/>
            <w:r w:rsidRPr="006809CB">
              <w:rPr>
                <w:rFonts w:ascii="Times New Roman" w:eastAsia="Times New Roman" w:hAnsi="Times New Roman" w:cs="Times New Roman"/>
                <w:sz w:val="26"/>
                <w:szCs w:val="26"/>
              </w:rPr>
              <w:t>бала</w:t>
            </w:r>
            <w:proofErr w:type="spellEnd"/>
          </w:p>
        </w:tc>
      </w:tr>
      <w:tr w:rsidR="00A05CA2" w:rsidRPr="006809CB">
        <w:trPr>
          <w:jc w:val="center"/>
        </w:trPr>
        <w:tc>
          <w:tcPr>
            <w:tcW w:w="2703"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1</w:t>
            </w:r>
          </w:p>
          <w:p w:rsidR="00A05CA2" w:rsidRPr="006809CB" w:rsidRDefault="00A05CA2">
            <w:pPr>
              <w:spacing w:after="0" w:line="240" w:lineRule="auto"/>
              <w:rPr>
                <w:rFonts w:ascii="Times New Roman" w:eastAsia="Times New Roman" w:hAnsi="Times New Roman" w:cs="Times New Roman"/>
                <w:sz w:val="26"/>
                <w:szCs w:val="26"/>
              </w:rPr>
            </w:pPr>
          </w:p>
        </w:tc>
        <w:tc>
          <w:tcPr>
            <w:tcW w:w="2341" w:type="dxa"/>
            <w:tcBorders>
              <w:top w:val="single" w:sz="4" w:space="0" w:color="000000"/>
              <w:left w:val="single" w:sz="4" w:space="0" w:color="000000"/>
              <w:bottom w:val="single" w:sz="4" w:space="0" w:color="000000"/>
              <w:right w:val="single" w:sz="4" w:space="0" w:color="000000"/>
            </w:tcBorders>
          </w:tcPr>
          <w:p w:rsidR="00A05CA2" w:rsidRPr="006809CB" w:rsidRDefault="00D500BC">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1</w:t>
            </w:r>
          </w:p>
        </w:tc>
        <w:tc>
          <w:tcPr>
            <w:tcW w:w="4601" w:type="dxa"/>
            <w:tcBorders>
              <w:top w:val="single" w:sz="4" w:space="0" w:color="000000"/>
              <w:left w:val="single" w:sz="4" w:space="0" w:color="000000"/>
              <w:bottom w:val="single" w:sz="4" w:space="0" w:color="000000"/>
              <w:right w:val="single" w:sz="4" w:space="0" w:color="000000"/>
            </w:tcBorders>
          </w:tcPr>
          <w:p w:rsidR="0074598C" w:rsidRPr="006809CB" w:rsidRDefault="00595C5B" w:rsidP="0074598C">
            <w:pPr>
              <w:spacing w:after="0" w:line="240" w:lineRule="auto"/>
              <w:ind w:firstLine="369"/>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Цілі державного регулювання</w:t>
            </w:r>
            <w:r w:rsidRPr="006809CB">
              <w:rPr>
                <w:rFonts w:ascii="Times New Roman" w:eastAsia="Times New Roman" w:hAnsi="Times New Roman" w:cs="Times New Roman"/>
                <w:sz w:val="26"/>
                <w:szCs w:val="26"/>
              </w:rPr>
              <w:br/>
              <w:t>не будуть досягнуті.</w:t>
            </w:r>
            <w:r w:rsidR="0074598C" w:rsidRPr="006809CB">
              <w:rPr>
                <w:rFonts w:ascii="Times New Roman" w:eastAsia="Times New Roman" w:hAnsi="Times New Roman" w:cs="Times New Roman"/>
                <w:sz w:val="26"/>
                <w:szCs w:val="26"/>
              </w:rPr>
              <w:t xml:space="preserve"> Н</w:t>
            </w:r>
            <w:r w:rsidR="0074598C" w:rsidRPr="006809CB">
              <w:rPr>
                <w:rFonts w:ascii="Times New Roman" w:hAnsi="Times New Roman" w:cs="Times New Roman"/>
                <w:color w:val="000000"/>
                <w:sz w:val="26"/>
                <w:szCs w:val="26"/>
                <w:highlight w:val="white"/>
              </w:rPr>
              <w:t>е буде</w:t>
            </w:r>
            <w:r w:rsidR="0074598C" w:rsidRPr="006809CB">
              <w:rPr>
                <w:rFonts w:ascii="Times New Roman" w:eastAsia="Times New Roman" w:hAnsi="Times New Roman" w:cs="Times New Roman"/>
                <w:sz w:val="26"/>
                <w:szCs w:val="26"/>
              </w:rPr>
              <w:t xml:space="preserve"> забезпечено виконання абзацу</w:t>
            </w:r>
            <w:r w:rsidR="002A2D42" w:rsidRPr="006809CB">
              <w:rPr>
                <w:rFonts w:ascii="Times New Roman" w:eastAsia="Times New Roman" w:hAnsi="Times New Roman" w:cs="Times New Roman"/>
                <w:sz w:val="26"/>
                <w:szCs w:val="26"/>
              </w:rPr>
              <w:t xml:space="preserve"> </w:t>
            </w:r>
            <w:r w:rsidR="00CB5407" w:rsidRPr="006809CB">
              <w:rPr>
                <w:rFonts w:ascii="Times New Roman" w:eastAsia="Times New Roman" w:hAnsi="Times New Roman" w:cs="Times New Roman"/>
                <w:sz w:val="26"/>
                <w:szCs w:val="26"/>
              </w:rPr>
              <w:t>другого частини першої статті 11 Закону</w:t>
            </w:r>
            <w:r w:rsidR="0074598C" w:rsidRPr="006809CB">
              <w:rPr>
                <w:rFonts w:ascii="Times New Roman" w:eastAsia="Times New Roman" w:hAnsi="Times New Roman" w:cs="Times New Roman"/>
                <w:sz w:val="26"/>
                <w:szCs w:val="26"/>
              </w:rPr>
              <w:t>.</w:t>
            </w:r>
          </w:p>
          <w:p w:rsidR="00A05CA2" w:rsidRPr="006809CB" w:rsidRDefault="00595C5B" w:rsidP="0074598C">
            <w:pPr>
              <w:spacing w:after="0" w:line="240" w:lineRule="auto"/>
              <w:ind w:firstLine="369"/>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Не відповідає принципу адекватності регуляторної діяльності, сталій європейській практиці, від такої альтернативи слід відмовитись</w:t>
            </w:r>
          </w:p>
        </w:tc>
      </w:tr>
      <w:tr w:rsidR="00A05CA2" w:rsidRPr="006809CB">
        <w:trPr>
          <w:jc w:val="center"/>
        </w:trPr>
        <w:tc>
          <w:tcPr>
            <w:tcW w:w="2703"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Альтернатива </w:t>
            </w:r>
            <w:r w:rsidR="00D500BC" w:rsidRPr="006809CB">
              <w:rPr>
                <w:rFonts w:ascii="Times New Roman" w:eastAsia="Times New Roman" w:hAnsi="Times New Roman" w:cs="Times New Roman"/>
                <w:sz w:val="26"/>
                <w:szCs w:val="26"/>
              </w:rPr>
              <w:t>2</w:t>
            </w:r>
          </w:p>
          <w:p w:rsidR="00A05CA2" w:rsidRPr="006809CB" w:rsidRDefault="00A05CA2">
            <w:pPr>
              <w:spacing w:after="0" w:line="240" w:lineRule="auto"/>
              <w:rPr>
                <w:rFonts w:ascii="Times New Roman" w:eastAsia="Times New Roman" w:hAnsi="Times New Roman" w:cs="Times New Roman"/>
                <w:sz w:val="26"/>
                <w:szCs w:val="26"/>
              </w:rPr>
            </w:pPr>
          </w:p>
        </w:tc>
        <w:tc>
          <w:tcPr>
            <w:tcW w:w="2341"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4</w:t>
            </w:r>
          </w:p>
        </w:tc>
        <w:tc>
          <w:tcPr>
            <w:tcW w:w="4601" w:type="dxa"/>
            <w:tcBorders>
              <w:top w:val="single" w:sz="4" w:space="0" w:color="000000"/>
              <w:left w:val="single" w:sz="4" w:space="0" w:color="000000"/>
              <w:bottom w:val="single" w:sz="4" w:space="0" w:color="000000"/>
              <w:right w:val="single" w:sz="4" w:space="0" w:color="000000"/>
            </w:tcBorders>
          </w:tcPr>
          <w:p w:rsidR="00A05CA2" w:rsidRPr="006809CB" w:rsidRDefault="00595C5B" w:rsidP="0074598C">
            <w:pPr>
              <w:spacing w:after="0" w:line="240" w:lineRule="auto"/>
              <w:ind w:firstLine="227"/>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Цілі державного регулювання будуть досягнуті повною мірою. </w:t>
            </w:r>
          </w:p>
          <w:p w:rsidR="00CB5407" w:rsidRPr="006809CB" w:rsidRDefault="0074598C" w:rsidP="00CB5407">
            <w:pPr>
              <w:spacing w:after="0" w:line="240" w:lineRule="auto"/>
              <w:ind w:firstLine="272"/>
              <w:jc w:val="both"/>
              <w:rPr>
                <w:rFonts w:ascii="Times New Roman" w:eastAsia="Times New Roman" w:hAnsi="Times New Roman" w:cs="Times New Roman"/>
                <w:sz w:val="26"/>
                <w:szCs w:val="26"/>
              </w:rPr>
            </w:pPr>
            <w:r w:rsidRPr="006809CB">
              <w:rPr>
                <w:rFonts w:ascii="Times New Roman" w:hAnsi="Times New Roman" w:cs="Times New Roman"/>
                <w:color w:val="000000"/>
                <w:sz w:val="26"/>
                <w:szCs w:val="26"/>
                <w:highlight w:val="white"/>
              </w:rPr>
              <w:t>Прийняття проекту акта забезпечить</w:t>
            </w:r>
            <w:r w:rsidRPr="006809CB">
              <w:rPr>
                <w:rFonts w:ascii="Times New Roman" w:eastAsia="Times New Roman" w:hAnsi="Times New Roman" w:cs="Times New Roman"/>
                <w:sz w:val="26"/>
                <w:szCs w:val="26"/>
              </w:rPr>
              <w:t xml:space="preserve"> виконання </w:t>
            </w:r>
            <w:r w:rsidR="00CB5407" w:rsidRPr="006809CB">
              <w:rPr>
                <w:rFonts w:ascii="Times New Roman" w:eastAsia="Times New Roman" w:hAnsi="Times New Roman" w:cs="Times New Roman"/>
                <w:sz w:val="26"/>
                <w:szCs w:val="26"/>
              </w:rPr>
              <w:t xml:space="preserve">абзацу другого частини першої статті 11 Закону </w:t>
            </w:r>
            <w:r w:rsidRPr="006809CB">
              <w:rPr>
                <w:rFonts w:ascii="Times New Roman" w:eastAsia="Times New Roman" w:hAnsi="Times New Roman" w:cs="Times New Roman"/>
                <w:sz w:val="26"/>
                <w:szCs w:val="26"/>
              </w:rPr>
              <w:t xml:space="preserve">та врегулювання </w:t>
            </w:r>
            <w:r w:rsidR="00CB5407" w:rsidRPr="006809CB">
              <w:rPr>
                <w:rFonts w:ascii="Times New Roman" w:eastAsia="Times New Roman" w:hAnsi="Times New Roman" w:cs="Times New Roman"/>
                <w:sz w:val="26"/>
                <w:szCs w:val="26"/>
              </w:rPr>
              <w:t xml:space="preserve">механізму </w:t>
            </w:r>
            <w:r w:rsidR="00CB5407" w:rsidRPr="006809CB">
              <w:rPr>
                <w:rFonts w:ascii="Times New Roman" w:hAnsi="Times New Roman" w:cs="Times New Roman"/>
                <w:sz w:val="26"/>
                <w:szCs w:val="26"/>
                <w:highlight w:val="white"/>
              </w:rPr>
              <w:t>підтвердження кваліфікації осіб, які мають намір провадити діяльність із здійснення енергетичних аудитів, встановлення кваліфікаційних вимог до енергетичних аудиторів</w:t>
            </w:r>
            <w:r w:rsidR="00CB5407" w:rsidRPr="006809CB">
              <w:rPr>
                <w:rFonts w:ascii="Times New Roman" w:eastAsia="Times New Roman" w:hAnsi="Times New Roman" w:cs="Times New Roman"/>
                <w:sz w:val="26"/>
                <w:szCs w:val="26"/>
              </w:rPr>
              <w:t>.</w:t>
            </w:r>
          </w:p>
          <w:p w:rsidR="00CB5407" w:rsidRPr="006809CB" w:rsidRDefault="00CB5407" w:rsidP="00CB5407">
            <w:pPr>
              <w:spacing w:after="0" w:line="240" w:lineRule="auto"/>
              <w:ind w:firstLine="272"/>
              <w:jc w:val="both"/>
              <w:rPr>
                <w:rFonts w:ascii="Times New Roman" w:eastAsia="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Прийняття проекту акта забезпечить визнання неформальної освіти та самоосвіти, розширить можливості працівників до працевлаштування і самореалізації, зробить ринок робочої сили більш гнучким і чутливим до вимог ринку праці, стимулюватиме розширенню мережі неформальної освіти, якості надання відповідних освітніх послуг.</w:t>
            </w:r>
          </w:p>
          <w:p w:rsidR="00CB5407" w:rsidRPr="006809CB" w:rsidRDefault="00CB5407" w:rsidP="00CB5407">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A05CA2" w:rsidRPr="006809CB" w:rsidRDefault="00CB5407" w:rsidP="00CB5407">
            <w:pPr>
              <w:spacing w:after="0" w:line="240" w:lineRule="auto"/>
              <w:ind w:firstLine="227"/>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Обраний спосіб забезпечує досягнення цілей державного регулювання</w:t>
            </w:r>
          </w:p>
        </w:tc>
      </w:tr>
    </w:tbl>
    <w:p w:rsidR="00A05CA2" w:rsidRPr="006809CB" w:rsidRDefault="00A05CA2">
      <w:pPr>
        <w:spacing w:after="0" w:line="240" w:lineRule="auto"/>
        <w:ind w:firstLine="709"/>
        <w:jc w:val="both"/>
        <w:rPr>
          <w:rFonts w:ascii="Times New Roman" w:eastAsia="Times New Roman" w:hAnsi="Times New Roman" w:cs="Times New Roman"/>
          <w:sz w:val="28"/>
          <w:szCs w:val="28"/>
        </w:rPr>
      </w:pPr>
    </w:p>
    <w:tbl>
      <w:tblPr>
        <w:tblStyle w:val="af7"/>
        <w:tblW w:w="96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3529"/>
        <w:gridCol w:w="1893"/>
        <w:gridCol w:w="2291"/>
      </w:tblGrid>
      <w:tr w:rsidR="00A05CA2" w:rsidRPr="006809CB">
        <w:trPr>
          <w:jc w:val="center"/>
        </w:trPr>
        <w:tc>
          <w:tcPr>
            <w:tcW w:w="1961"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ind w:left="-107" w:right="-108"/>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Рейтинг результативності</w:t>
            </w:r>
          </w:p>
        </w:tc>
        <w:tc>
          <w:tcPr>
            <w:tcW w:w="3529"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Вигоди</w:t>
            </w:r>
          </w:p>
          <w:p w:rsidR="00A05CA2" w:rsidRPr="006809CB" w:rsidRDefault="00595C5B">
            <w:pPr>
              <w:spacing w:after="0" w:line="240" w:lineRule="auto"/>
              <w:ind w:firstLine="2"/>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(підсумок)</w:t>
            </w:r>
          </w:p>
        </w:tc>
        <w:tc>
          <w:tcPr>
            <w:tcW w:w="1893"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Витрати</w:t>
            </w:r>
          </w:p>
          <w:p w:rsidR="00A05CA2" w:rsidRPr="006809CB" w:rsidRDefault="00595C5B">
            <w:pPr>
              <w:spacing w:after="0" w:line="240" w:lineRule="auto"/>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(підсумок)</w:t>
            </w:r>
          </w:p>
        </w:tc>
        <w:tc>
          <w:tcPr>
            <w:tcW w:w="2291"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Обґрунтування відповідного місця альтернативи у рейтингу</w:t>
            </w:r>
          </w:p>
        </w:tc>
      </w:tr>
      <w:tr w:rsidR="00A05CA2" w:rsidRPr="006809CB">
        <w:trPr>
          <w:jc w:val="center"/>
        </w:trPr>
        <w:tc>
          <w:tcPr>
            <w:tcW w:w="1961"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Альтернатива </w:t>
            </w:r>
            <w:r w:rsidR="0074598C" w:rsidRPr="006809CB">
              <w:rPr>
                <w:rFonts w:ascii="Times New Roman" w:eastAsia="Times New Roman" w:hAnsi="Times New Roman" w:cs="Times New Roman"/>
                <w:sz w:val="26"/>
                <w:szCs w:val="26"/>
              </w:rPr>
              <w:lastRenderedPageBreak/>
              <w:t>2</w:t>
            </w:r>
          </w:p>
        </w:tc>
        <w:tc>
          <w:tcPr>
            <w:tcW w:w="3529" w:type="dxa"/>
            <w:tcBorders>
              <w:top w:val="single" w:sz="4" w:space="0" w:color="000000"/>
              <w:left w:val="single" w:sz="4" w:space="0" w:color="000000"/>
              <w:bottom w:val="single" w:sz="4" w:space="0" w:color="000000"/>
              <w:right w:val="single" w:sz="4" w:space="0" w:color="000000"/>
            </w:tcBorders>
          </w:tcPr>
          <w:p w:rsidR="00C16796" w:rsidRPr="006809CB" w:rsidRDefault="00C16796" w:rsidP="00C16796">
            <w:pPr>
              <w:spacing w:after="0" w:line="240" w:lineRule="auto"/>
              <w:ind w:firstLine="227"/>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lastRenderedPageBreak/>
              <w:t xml:space="preserve">Цілі державного </w:t>
            </w:r>
            <w:r w:rsidRPr="006809CB">
              <w:rPr>
                <w:rFonts w:ascii="Times New Roman" w:eastAsia="Times New Roman" w:hAnsi="Times New Roman" w:cs="Times New Roman"/>
                <w:sz w:val="26"/>
                <w:szCs w:val="26"/>
              </w:rPr>
              <w:lastRenderedPageBreak/>
              <w:t xml:space="preserve">регулювання будуть досягнуті повною мірою. </w:t>
            </w:r>
          </w:p>
          <w:p w:rsidR="00C16796" w:rsidRPr="006809CB" w:rsidRDefault="00C16796" w:rsidP="00C16796">
            <w:pPr>
              <w:spacing w:after="0" w:line="240" w:lineRule="auto"/>
              <w:ind w:firstLine="272"/>
              <w:jc w:val="both"/>
              <w:rPr>
                <w:rFonts w:ascii="Times New Roman" w:eastAsia="Times New Roman" w:hAnsi="Times New Roman" w:cs="Times New Roman"/>
                <w:sz w:val="26"/>
                <w:szCs w:val="26"/>
              </w:rPr>
            </w:pPr>
            <w:r w:rsidRPr="006809CB">
              <w:rPr>
                <w:rFonts w:ascii="Times New Roman" w:hAnsi="Times New Roman" w:cs="Times New Roman"/>
                <w:color w:val="000000"/>
                <w:sz w:val="26"/>
                <w:szCs w:val="26"/>
                <w:highlight w:val="white"/>
              </w:rPr>
              <w:t>Прийняття проекту акта забезпечить</w:t>
            </w:r>
            <w:r w:rsidRPr="006809CB">
              <w:rPr>
                <w:rFonts w:ascii="Times New Roman" w:eastAsia="Times New Roman" w:hAnsi="Times New Roman" w:cs="Times New Roman"/>
                <w:sz w:val="26"/>
                <w:szCs w:val="26"/>
              </w:rPr>
              <w:t xml:space="preserve"> виконання абзацу другого частини першої статті 11 Закону та врегулювання механізму </w:t>
            </w:r>
            <w:r w:rsidRPr="006809CB">
              <w:rPr>
                <w:rFonts w:ascii="Times New Roman" w:hAnsi="Times New Roman" w:cs="Times New Roman"/>
                <w:sz w:val="26"/>
                <w:szCs w:val="26"/>
                <w:highlight w:val="white"/>
              </w:rPr>
              <w:t>підтвердження кваліфікації осіб, які мають намір провадити діяльність із здійснення енергетичних аудитів, встановлення кваліфікаційних вимог до енергетичних аудиторів</w:t>
            </w:r>
            <w:r w:rsidRPr="006809CB">
              <w:rPr>
                <w:rFonts w:ascii="Times New Roman" w:eastAsia="Times New Roman" w:hAnsi="Times New Roman" w:cs="Times New Roman"/>
                <w:sz w:val="26"/>
                <w:szCs w:val="26"/>
              </w:rPr>
              <w:t>.</w:t>
            </w:r>
          </w:p>
          <w:p w:rsidR="00C16796" w:rsidRPr="006809CB" w:rsidRDefault="00C16796" w:rsidP="00C16796">
            <w:pPr>
              <w:spacing w:after="0" w:line="240" w:lineRule="auto"/>
              <w:ind w:firstLine="272"/>
              <w:jc w:val="both"/>
              <w:rPr>
                <w:rFonts w:ascii="Times New Roman" w:eastAsia="Times New Roman" w:hAnsi="Times New Roman" w:cs="Times New Roman"/>
                <w:color w:val="000000"/>
                <w:sz w:val="26"/>
                <w:szCs w:val="26"/>
              </w:rPr>
            </w:pPr>
            <w:r w:rsidRPr="006809CB">
              <w:rPr>
                <w:rFonts w:ascii="Times New Roman" w:eastAsia="Times New Roman" w:hAnsi="Times New Roman" w:cs="Times New Roman"/>
                <w:color w:val="000000"/>
                <w:sz w:val="26"/>
                <w:szCs w:val="26"/>
              </w:rPr>
              <w:t>Прийняття проекту акта забезпечить визнання неформальної освіти та самоосвіти, розширить можливості працівників до працевлаштування і самореалізації, зробить ринок робочої сили більш гнучким і чутливим до вимог ринку праці, стимулюватиме розширенню мережі неформальної освіти, якості надання відповідних освітніх послуг.</w:t>
            </w:r>
          </w:p>
          <w:p w:rsidR="00C16796" w:rsidRPr="006809CB" w:rsidRDefault="00C16796" w:rsidP="00C16796">
            <w:pPr>
              <w:spacing w:after="0" w:line="240" w:lineRule="auto"/>
              <w:ind w:firstLine="27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Проект акта відповідає принципу адекватності регуляторної діяльності, вимогам часу та євроінтеграційним процесам в Україні.</w:t>
            </w:r>
          </w:p>
          <w:p w:rsidR="00A05CA2" w:rsidRPr="006809CB" w:rsidRDefault="00C16796" w:rsidP="00C16796">
            <w:pPr>
              <w:spacing w:after="0" w:line="240" w:lineRule="auto"/>
              <w:ind w:firstLine="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Обраний спосіб забезпечує досягнення цілей державного регулювання</w:t>
            </w:r>
          </w:p>
        </w:tc>
        <w:tc>
          <w:tcPr>
            <w:tcW w:w="1893" w:type="dxa"/>
            <w:tcBorders>
              <w:top w:val="single" w:sz="4" w:space="0" w:color="000000"/>
              <w:left w:val="single" w:sz="4" w:space="0" w:color="000000"/>
              <w:bottom w:val="single" w:sz="4" w:space="0" w:color="000000"/>
              <w:right w:val="single" w:sz="4" w:space="0" w:color="000000"/>
            </w:tcBorders>
          </w:tcPr>
          <w:p w:rsidR="00A05CA2" w:rsidRPr="006809CB" w:rsidRDefault="00CB5407" w:rsidP="00C16796">
            <w:pPr>
              <w:pBdr>
                <w:top w:val="nil"/>
                <w:left w:val="nil"/>
                <w:bottom w:val="nil"/>
                <w:right w:val="nil"/>
                <w:between w:val="nil"/>
              </w:pBdr>
              <w:spacing w:line="322" w:lineRule="auto"/>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lastRenderedPageBreak/>
              <w:t xml:space="preserve">Витрати </w:t>
            </w:r>
            <w:r w:rsidRPr="006809CB">
              <w:rPr>
                <w:rFonts w:ascii="Times New Roman" w:eastAsia="Times New Roman" w:hAnsi="Times New Roman" w:cs="Times New Roman"/>
                <w:color w:val="000000"/>
                <w:sz w:val="26"/>
                <w:szCs w:val="26"/>
              </w:rPr>
              <w:lastRenderedPageBreak/>
              <w:t xml:space="preserve">пов'язанні з оплатою процедур оцінювання, присвоєння/визнання професійних кваліфікацій, що </w:t>
            </w:r>
            <w:r w:rsidR="00C16796" w:rsidRPr="006809CB">
              <w:rPr>
                <w:rFonts w:ascii="Times New Roman" w:eastAsia="Times New Roman" w:hAnsi="Times New Roman" w:cs="Times New Roman"/>
                <w:color w:val="000000"/>
                <w:sz w:val="26"/>
                <w:szCs w:val="26"/>
              </w:rPr>
              <w:t>к</w:t>
            </w:r>
            <w:r w:rsidRPr="006809CB">
              <w:rPr>
                <w:rFonts w:ascii="Times New Roman" w:eastAsia="Times New Roman" w:hAnsi="Times New Roman" w:cs="Times New Roman"/>
                <w:color w:val="000000"/>
                <w:sz w:val="26"/>
                <w:szCs w:val="26"/>
              </w:rPr>
              <w:t>омпенсуються в</w:t>
            </w:r>
            <w:r w:rsidR="00C16796" w:rsidRPr="006809CB">
              <w:rPr>
                <w:rFonts w:ascii="Times New Roman" w:eastAsia="Times New Roman" w:hAnsi="Times New Roman" w:cs="Times New Roman"/>
                <w:color w:val="000000"/>
                <w:sz w:val="26"/>
                <w:szCs w:val="26"/>
              </w:rPr>
              <w:t xml:space="preserve"> </w:t>
            </w:r>
            <w:r w:rsidRPr="006809CB">
              <w:rPr>
                <w:rFonts w:ascii="Times New Roman" w:eastAsia="Times New Roman" w:hAnsi="Times New Roman" w:cs="Times New Roman"/>
                <w:color w:val="000000"/>
                <w:sz w:val="26"/>
                <w:szCs w:val="26"/>
              </w:rPr>
              <w:t>майбутньому в</w:t>
            </w:r>
            <w:r w:rsidR="00C16796" w:rsidRPr="006809CB">
              <w:rPr>
                <w:rFonts w:ascii="Times New Roman" w:eastAsia="Times New Roman" w:hAnsi="Times New Roman" w:cs="Times New Roman"/>
                <w:color w:val="000000"/>
                <w:sz w:val="26"/>
                <w:szCs w:val="26"/>
              </w:rPr>
              <w:t xml:space="preserve"> </w:t>
            </w:r>
            <w:r w:rsidRPr="006809CB">
              <w:rPr>
                <w:rFonts w:ascii="Times New Roman" w:eastAsia="Times New Roman" w:hAnsi="Times New Roman" w:cs="Times New Roman"/>
                <w:color w:val="000000"/>
                <w:sz w:val="26"/>
                <w:szCs w:val="26"/>
              </w:rPr>
              <w:t>процесі</w:t>
            </w:r>
            <w:r w:rsidR="00C16796" w:rsidRPr="006809CB">
              <w:rPr>
                <w:rFonts w:ascii="Times New Roman" w:eastAsia="Times New Roman" w:hAnsi="Times New Roman" w:cs="Times New Roman"/>
                <w:color w:val="000000"/>
                <w:sz w:val="26"/>
                <w:szCs w:val="26"/>
              </w:rPr>
              <w:t xml:space="preserve"> </w:t>
            </w:r>
            <w:r w:rsidRPr="006809CB">
              <w:rPr>
                <w:rFonts w:ascii="Times New Roman" w:eastAsia="Times New Roman" w:hAnsi="Times New Roman" w:cs="Times New Roman"/>
                <w:color w:val="000000"/>
                <w:sz w:val="26"/>
                <w:szCs w:val="26"/>
              </w:rPr>
              <w:t>професійної</w:t>
            </w:r>
            <w:r w:rsidR="00C16796" w:rsidRPr="006809CB">
              <w:rPr>
                <w:rFonts w:ascii="Times New Roman" w:eastAsia="Times New Roman" w:hAnsi="Times New Roman" w:cs="Times New Roman"/>
                <w:color w:val="000000"/>
                <w:sz w:val="26"/>
                <w:szCs w:val="26"/>
              </w:rPr>
              <w:t xml:space="preserve"> </w:t>
            </w:r>
            <w:r w:rsidRPr="006809CB">
              <w:rPr>
                <w:rFonts w:ascii="Times New Roman" w:eastAsia="Times New Roman" w:hAnsi="Times New Roman" w:cs="Times New Roman"/>
                <w:color w:val="000000"/>
                <w:sz w:val="26"/>
                <w:szCs w:val="26"/>
              </w:rPr>
              <w:t>діяльності</w:t>
            </w:r>
            <w:r w:rsidRPr="006809CB">
              <w:rPr>
                <w:rFonts w:ascii="Times New Roman" w:eastAsia="Times New Roman" w:hAnsi="Times New Roman" w:cs="Times New Roman"/>
                <w:sz w:val="26"/>
                <w:szCs w:val="26"/>
              </w:rPr>
              <w:t xml:space="preserve"> </w:t>
            </w:r>
          </w:p>
        </w:tc>
        <w:tc>
          <w:tcPr>
            <w:tcW w:w="2291" w:type="dxa"/>
            <w:tcBorders>
              <w:top w:val="single" w:sz="4" w:space="0" w:color="000000"/>
              <w:left w:val="single" w:sz="4" w:space="0" w:color="000000"/>
              <w:bottom w:val="single" w:sz="4" w:space="0" w:color="000000"/>
              <w:right w:val="single" w:sz="4" w:space="0" w:color="000000"/>
            </w:tcBorders>
          </w:tcPr>
          <w:p w:rsidR="00542968" w:rsidRPr="006809CB" w:rsidRDefault="00542968" w:rsidP="00542968">
            <w:pPr>
              <w:spacing w:after="0" w:line="240" w:lineRule="auto"/>
              <w:ind w:firstLine="2"/>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lastRenderedPageBreak/>
              <w:t xml:space="preserve">1 місце у </w:t>
            </w:r>
            <w:r w:rsidRPr="006809CB">
              <w:rPr>
                <w:rFonts w:ascii="Times New Roman" w:eastAsia="Times New Roman" w:hAnsi="Times New Roman" w:cs="Times New Roman"/>
                <w:sz w:val="26"/>
                <w:szCs w:val="26"/>
              </w:rPr>
              <w:lastRenderedPageBreak/>
              <w:t>рейтингу.</w:t>
            </w:r>
          </w:p>
          <w:p w:rsidR="00A05CA2" w:rsidRPr="006809CB" w:rsidRDefault="00595C5B">
            <w:pPr>
              <w:spacing w:after="0" w:line="240" w:lineRule="auto"/>
              <w:ind w:firstLine="2"/>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Запропоновані </w:t>
            </w:r>
            <w:r w:rsidR="00FD024A" w:rsidRPr="006809CB">
              <w:rPr>
                <w:rFonts w:ascii="Times New Roman" w:eastAsia="Times New Roman" w:hAnsi="Times New Roman" w:cs="Times New Roman"/>
                <w:sz w:val="26"/>
                <w:szCs w:val="26"/>
              </w:rPr>
              <w:t xml:space="preserve">положення </w:t>
            </w:r>
            <w:r w:rsidRPr="006809CB">
              <w:rPr>
                <w:rFonts w:ascii="Times New Roman" w:eastAsia="Times New Roman" w:hAnsi="Times New Roman" w:cs="Times New Roman"/>
                <w:sz w:val="26"/>
                <w:szCs w:val="26"/>
              </w:rPr>
              <w:t>про</w:t>
            </w:r>
            <w:r w:rsidR="00FD024A" w:rsidRPr="006809CB">
              <w:rPr>
                <w:rFonts w:ascii="Times New Roman" w:eastAsia="Times New Roman" w:hAnsi="Times New Roman" w:cs="Times New Roman"/>
                <w:sz w:val="26"/>
                <w:szCs w:val="26"/>
              </w:rPr>
              <w:t>е</w:t>
            </w:r>
            <w:r w:rsidRPr="006809CB">
              <w:rPr>
                <w:rFonts w:ascii="Times New Roman" w:eastAsia="Times New Roman" w:hAnsi="Times New Roman" w:cs="Times New Roman"/>
                <w:sz w:val="26"/>
                <w:szCs w:val="26"/>
              </w:rPr>
              <w:t>кту регуляторного акта дозволяють повною мірою досягти поставлених цілей.</w:t>
            </w:r>
          </w:p>
          <w:p w:rsidR="00A05CA2" w:rsidRPr="006809CB" w:rsidRDefault="0074598C">
            <w:pPr>
              <w:spacing w:after="0" w:line="240" w:lineRule="auto"/>
              <w:ind w:firstLine="2"/>
              <w:rPr>
                <w:rFonts w:ascii="Times New Roman" w:eastAsia="Times New Roman" w:hAnsi="Times New Roman" w:cs="Times New Roman"/>
                <w:sz w:val="26"/>
                <w:szCs w:val="26"/>
              </w:rPr>
            </w:pPr>
            <w:r w:rsidRPr="006809CB">
              <w:rPr>
                <w:rFonts w:ascii="Times New Roman" w:hAnsi="Times New Roman" w:cs="Times New Roman"/>
                <w:sz w:val="26"/>
                <w:szCs w:val="26"/>
              </w:rPr>
              <w:t>Для вирішення проблеми найбільш виправданою та доцільною є Альтернатива 2, адже вона призведе до повного вирішення проблеми, визначеної розділом I аналізу регуляторного впливу</w:t>
            </w:r>
          </w:p>
          <w:p w:rsidR="00A05CA2" w:rsidRPr="006809CB" w:rsidRDefault="00A05CA2">
            <w:pPr>
              <w:spacing w:after="0" w:line="240" w:lineRule="auto"/>
              <w:ind w:firstLine="2"/>
              <w:rPr>
                <w:rFonts w:ascii="Times New Roman" w:eastAsia="Times New Roman" w:hAnsi="Times New Roman" w:cs="Times New Roman"/>
                <w:sz w:val="26"/>
                <w:szCs w:val="26"/>
                <w:highlight w:val="yellow"/>
              </w:rPr>
            </w:pPr>
          </w:p>
        </w:tc>
      </w:tr>
      <w:tr w:rsidR="00542968" w:rsidRPr="006809CB">
        <w:trPr>
          <w:jc w:val="center"/>
        </w:trPr>
        <w:tc>
          <w:tcPr>
            <w:tcW w:w="1961" w:type="dxa"/>
            <w:tcBorders>
              <w:top w:val="single" w:sz="4" w:space="0" w:color="000000"/>
              <w:left w:val="single" w:sz="4" w:space="0" w:color="000000"/>
              <w:bottom w:val="single" w:sz="4" w:space="0" w:color="000000"/>
              <w:right w:val="single" w:sz="4" w:space="0" w:color="000000"/>
            </w:tcBorders>
          </w:tcPr>
          <w:p w:rsidR="00542968" w:rsidRPr="006809CB" w:rsidRDefault="00542968" w:rsidP="001A4D5A">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lastRenderedPageBreak/>
              <w:t xml:space="preserve">Альтернатива </w:t>
            </w:r>
            <w:r w:rsidR="001A4D5A" w:rsidRPr="006809CB">
              <w:rPr>
                <w:rFonts w:ascii="Times New Roman" w:eastAsia="Times New Roman" w:hAnsi="Times New Roman" w:cs="Times New Roman"/>
                <w:sz w:val="26"/>
                <w:szCs w:val="26"/>
              </w:rPr>
              <w:t>1</w:t>
            </w:r>
          </w:p>
        </w:tc>
        <w:tc>
          <w:tcPr>
            <w:tcW w:w="3529" w:type="dxa"/>
            <w:tcBorders>
              <w:top w:val="single" w:sz="4" w:space="0" w:color="000000"/>
              <w:left w:val="single" w:sz="4" w:space="0" w:color="000000"/>
              <w:bottom w:val="single" w:sz="4" w:space="0" w:color="000000"/>
              <w:right w:val="single" w:sz="4" w:space="0" w:color="000000"/>
            </w:tcBorders>
          </w:tcPr>
          <w:p w:rsidR="00542968" w:rsidRPr="006809CB" w:rsidRDefault="00542968" w:rsidP="00FD024A">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Відсутні</w:t>
            </w:r>
          </w:p>
          <w:p w:rsidR="00542968" w:rsidRPr="006809CB" w:rsidRDefault="00542968" w:rsidP="00CF0484">
            <w:pPr>
              <w:spacing w:after="0" w:line="240" w:lineRule="auto"/>
              <w:ind w:firstLine="2"/>
              <w:jc w:val="both"/>
              <w:rPr>
                <w:rFonts w:ascii="Times New Roman" w:eastAsia="Times New Roman" w:hAnsi="Times New Roman" w:cs="Times New Roman"/>
                <w:sz w:val="26"/>
                <w:szCs w:val="26"/>
              </w:rPr>
            </w:pPr>
          </w:p>
        </w:tc>
        <w:tc>
          <w:tcPr>
            <w:tcW w:w="1893" w:type="dxa"/>
            <w:tcBorders>
              <w:top w:val="single" w:sz="4" w:space="0" w:color="000000"/>
              <w:left w:val="single" w:sz="4" w:space="0" w:color="000000"/>
              <w:bottom w:val="single" w:sz="4" w:space="0" w:color="000000"/>
              <w:right w:val="single" w:sz="4" w:space="0" w:color="000000"/>
            </w:tcBorders>
          </w:tcPr>
          <w:p w:rsidR="00542968" w:rsidRPr="006809CB" w:rsidRDefault="00FD024A" w:rsidP="00FD024A">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Відсутні</w:t>
            </w:r>
          </w:p>
          <w:p w:rsidR="00542968" w:rsidRPr="006809CB" w:rsidRDefault="00542968" w:rsidP="005347BF">
            <w:pPr>
              <w:spacing w:after="0" w:line="240" w:lineRule="auto"/>
              <w:ind w:firstLine="2"/>
              <w:rPr>
                <w:rFonts w:ascii="Times New Roman" w:eastAsia="Times New Roman" w:hAnsi="Times New Roman" w:cs="Times New Roman"/>
                <w:sz w:val="26"/>
                <w:szCs w:val="26"/>
              </w:rPr>
            </w:pPr>
          </w:p>
        </w:tc>
        <w:tc>
          <w:tcPr>
            <w:tcW w:w="2291" w:type="dxa"/>
            <w:tcBorders>
              <w:top w:val="single" w:sz="4" w:space="0" w:color="000000"/>
              <w:left w:val="single" w:sz="4" w:space="0" w:color="000000"/>
              <w:bottom w:val="single" w:sz="4" w:space="0" w:color="000000"/>
              <w:right w:val="single" w:sz="4" w:space="0" w:color="000000"/>
            </w:tcBorders>
          </w:tcPr>
          <w:p w:rsidR="003E2D7F" w:rsidRPr="006809CB" w:rsidRDefault="00FD024A" w:rsidP="00CF0484">
            <w:pPr>
              <w:spacing w:after="0" w:line="240" w:lineRule="auto"/>
              <w:ind w:firstLine="2"/>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2</w:t>
            </w:r>
            <w:r w:rsidR="003E2D7F" w:rsidRPr="006809CB">
              <w:rPr>
                <w:rFonts w:ascii="Times New Roman" w:eastAsia="Times New Roman" w:hAnsi="Times New Roman" w:cs="Times New Roman"/>
                <w:sz w:val="26"/>
                <w:szCs w:val="26"/>
              </w:rPr>
              <w:t xml:space="preserve"> місце у рейтингу.</w:t>
            </w:r>
          </w:p>
          <w:p w:rsidR="00542968" w:rsidRPr="006809CB" w:rsidRDefault="00542968" w:rsidP="00CF0484">
            <w:pPr>
              <w:spacing w:after="0" w:line="240" w:lineRule="auto"/>
              <w:ind w:firstLine="2"/>
              <w:rPr>
                <w:rFonts w:ascii="Times New Roman" w:hAnsi="Times New Roman" w:cs="Times New Roman"/>
                <w:sz w:val="26"/>
                <w:szCs w:val="26"/>
              </w:rPr>
            </w:pPr>
            <w:r w:rsidRPr="006809CB">
              <w:rPr>
                <w:rFonts w:ascii="Times New Roman" w:eastAsia="Times New Roman" w:hAnsi="Times New Roman" w:cs="Times New Roman"/>
                <w:sz w:val="26"/>
                <w:szCs w:val="26"/>
              </w:rPr>
              <w:t>Встановлені цілі не досягаються.</w:t>
            </w:r>
            <w:r w:rsidR="0074598C" w:rsidRPr="006809CB">
              <w:rPr>
                <w:rFonts w:ascii="Times New Roman" w:hAnsi="Times New Roman" w:cs="Times New Roman"/>
                <w:sz w:val="26"/>
                <w:szCs w:val="26"/>
              </w:rPr>
              <w:t xml:space="preserve"> Альтернатива 1 не сприятиме вирішенню проблеми, тому вибір даної альтернативи не є можливим</w:t>
            </w:r>
            <w:r w:rsidR="00CB5407" w:rsidRPr="006809CB">
              <w:rPr>
                <w:rFonts w:ascii="Times New Roman" w:hAnsi="Times New Roman" w:cs="Times New Roman"/>
                <w:sz w:val="26"/>
                <w:szCs w:val="26"/>
              </w:rPr>
              <w:t>.</w:t>
            </w:r>
          </w:p>
          <w:p w:rsidR="00CB5407" w:rsidRPr="006809CB" w:rsidRDefault="00CB5407" w:rsidP="00CF0484">
            <w:pPr>
              <w:spacing w:after="0" w:line="240" w:lineRule="auto"/>
              <w:ind w:firstLine="2"/>
              <w:rPr>
                <w:rFonts w:ascii="Times New Roman" w:eastAsia="Times New Roman" w:hAnsi="Times New Roman" w:cs="Times New Roman"/>
                <w:sz w:val="26"/>
                <w:szCs w:val="26"/>
              </w:rPr>
            </w:pPr>
            <w:r w:rsidRPr="006809CB">
              <w:rPr>
                <w:rFonts w:ascii="Times New Roman" w:eastAsia="Times New Roman" w:hAnsi="Times New Roman" w:cs="Times New Roman"/>
                <w:color w:val="000000"/>
                <w:sz w:val="26"/>
                <w:szCs w:val="26"/>
              </w:rPr>
              <w:t xml:space="preserve">Результати </w:t>
            </w:r>
            <w:r w:rsidRPr="006809CB">
              <w:rPr>
                <w:rFonts w:ascii="Times New Roman" w:eastAsia="Times New Roman" w:hAnsi="Times New Roman" w:cs="Times New Roman"/>
                <w:color w:val="000000"/>
                <w:sz w:val="26"/>
                <w:szCs w:val="26"/>
              </w:rPr>
              <w:lastRenderedPageBreak/>
              <w:t xml:space="preserve">навчання, здобуті в системі неформальної освіти або шляхом самоосвіти </w:t>
            </w:r>
            <w:proofErr w:type="spellStart"/>
            <w:r w:rsidRPr="006809CB">
              <w:rPr>
                <w:rFonts w:ascii="Times New Roman" w:eastAsia="Times New Roman" w:hAnsi="Times New Roman" w:cs="Times New Roman"/>
                <w:color w:val="000000"/>
                <w:sz w:val="26"/>
                <w:szCs w:val="26"/>
              </w:rPr>
              <w:t>невизнаються</w:t>
            </w:r>
            <w:proofErr w:type="spellEnd"/>
            <w:r w:rsidRPr="006809CB">
              <w:rPr>
                <w:rFonts w:ascii="Times New Roman" w:eastAsia="Times New Roman" w:hAnsi="Times New Roman" w:cs="Times New Roman"/>
                <w:color w:val="000000"/>
                <w:sz w:val="26"/>
                <w:szCs w:val="26"/>
              </w:rPr>
              <w:t xml:space="preserve"> на офіційному ринку праці і не можуть конвертуватися у відповідні кваліфікації. Система формальної освіти не забезпечить швидку зміну змісту підготовки фахівців відповідно до вимог ринку праці. Сповільниться реакція ринку робочої сили на потреби ринку праці у відповідних кваліфікаціях</w:t>
            </w:r>
          </w:p>
        </w:tc>
      </w:tr>
    </w:tbl>
    <w:p w:rsidR="00A05CA2" w:rsidRPr="006809CB" w:rsidRDefault="00A05CA2">
      <w:pPr>
        <w:spacing w:after="0" w:line="240" w:lineRule="auto"/>
        <w:ind w:firstLine="709"/>
        <w:jc w:val="both"/>
        <w:rPr>
          <w:rFonts w:ascii="Times New Roman" w:eastAsia="Times New Roman" w:hAnsi="Times New Roman" w:cs="Times New Roman"/>
          <w:sz w:val="26"/>
          <w:szCs w:val="26"/>
        </w:rPr>
      </w:pPr>
    </w:p>
    <w:tbl>
      <w:tblPr>
        <w:tblStyle w:val="af8"/>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3972"/>
        <w:gridCol w:w="3742"/>
      </w:tblGrid>
      <w:tr w:rsidR="00A05CA2" w:rsidRPr="006809CB">
        <w:trPr>
          <w:jc w:val="center"/>
        </w:trPr>
        <w:tc>
          <w:tcPr>
            <w:tcW w:w="1961"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Рейтинг</w:t>
            </w:r>
          </w:p>
        </w:tc>
        <w:tc>
          <w:tcPr>
            <w:tcW w:w="3972"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ind w:firstLine="2"/>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Аргументи щодо переваги обраної альтернативи/причини відмови від альтернативи</w:t>
            </w:r>
          </w:p>
        </w:tc>
        <w:tc>
          <w:tcPr>
            <w:tcW w:w="3742" w:type="dxa"/>
            <w:tcBorders>
              <w:top w:val="single" w:sz="4" w:space="0" w:color="000000"/>
              <w:left w:val="single" w:sz="4" w:space="0" w:color="000000"/>
              <w:bottom w:val="single" w:sz="4" w:space="0" w:color="000000"/>
              <w:right w:val="single" w:sz="4" w:space="0" w:color="000000"/>
            </w:tcBorders>
            <w:vAlign w:val="center"/>
          </w:tcPr>
          <w:p w:rsidR="00A05CA2" w:rsidRPr="006809CB" w:rsidRDefault="00595C5B">
            <w:pPr>
              <w:spacing w:after="0" w:line="240" w:lineRule="auto"/>
              <w:jc w:val="center"/>
              <w:rPr>
                <w:rFonts w:ascii="Times New Roman" w:eastAsia="Times New Roman" w:hAnsi="Times New Roman" w:cs="Times New Roman"/>
                <w:b/>
                <w:sz w:val="26"/>
                <w:szCs w:val="26"/>
              </w:rPr>
            </w:pPr>
            <w:r w:rsidRPr="006809CB">
              <w:rPr>
                <w:rFonts w:ascii="Times New Roman" w:eastAsia="Times New Roman" w:hAnsi="Times New Roman" w:cs="Times New Roman"/>
                <w:sz w:val="26"/>
                <w:szCs w:val="26"/>
              </w:rPr>
              <w:t>Оцінка ризику зовнішніх чинників на дію запропонованого регуляторного акта</w:t>
            </w:r>
          </w:p>
        </w:tc>
      </w:tr>
      <w:tr w:rsidR="00A05CA2" w:rsidRPr="006809CB">
        <w:trPr>
          <w:jc w:val="center"/>
        </w:trPr>
        <w:tc>
          <w:tcPr>
            <w:tcW w:w="1961"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1</w:t>
            </w:r>
          </w:p>
        </w:tc>
        <w:tc>
          <w:tcPr>
            <w:tcW w:w="3972" w:type="dxa"/>
            <w:tcBorders>
              <w:top w:val="single" w:sz="4" w:space="0" w:color="000000"/>
              <w:left w:val="single" w:sz="4" w:space="0" w:color="000000"/>
              <w:bottom w:val="single" w:sz="4" w:space="0" w:color="000000"/>
              <w:right w:val="single" w:sz="4" w:space="0" w:color="000000"/>
            </w:tcBorders>
          </w:tcPr>
          <w:p w:rsidR="00A05CA2" w:rsidRPr="006809CB" w:rsidRDefault="00B24C38" w:rsidP="00B24C38">
            <w:pPr>
              <w:spacing w:after="0" w:line="240" w:lineRule="auto"/>
              <w:ind w:firstLine="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Альтернатива є неприйнятною, оскільки в</w:t>
            </w:r>
            <w:r w:rsidR="00595C5B" w:rsidRPr="006809CB">
              <w:rPr>
                <w:rFonts w:ascii="Times New Roman" w:eastAsia="Times New Roman" w:hAnsi="Times New Roman" w:cs="Times New Roman"/>
                <w:sz w:val="26"/>
                <w:szCs w:val="26"/>
              </w:rPr>
              <w:t>становлені цілі не досягаються</w:t>
            </w:r>
          </w:p>
        </w:tc>
        <w:tc>
          <w:tcPr>
            <w:tcW w:w="3742" w:type="dxa"/>
            <w:tcBorders>
              <w:top w:val="single" w:sz="4" w:space="0" w:color="000000"/>
              <w:left w:val="single" w:sz="4" w:space="0" w:color="000000"/>
              <w:bottom w:val="single" w:sz="4" w:space="0" w:color="000000"/>
              <w:right w:val="single" w:sz="4" w:space="0" w:color="000000"/>
            </w:tcBorders>
          </w:tcPr>
          <w:p w:rsidR="002F64D1" w:rsidRPr="006809CB" w:rsidRDefault="002F64D1" w:rsidP="00FD024A">
            <w:pPr>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відсутні</w:t>
            </w:r>
          </w:p>
          <w:p w:rsidR="00A05CA2" w:rsidRPr="006809CB" w:rsidRDefault="00595C5B">
            <w:pPr>
              <w:spacing w:after="0" w:line="240" w:lineRule="auto"/>
              <w:ind w:firstLine="2"/>
              <w:jc w:val="center"/>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 </w:t>
            </w:r>
          </w:p>
        </w:tc>
      </w:tr>
      <w:tr w:rsidR="00A05CA2" w:rsidRPr="006809CB">
        <w:trPr>
          <w:jc w:val="center"/>
        </w:trPr>
        <w:tc>
          <w:tcPr>
            <w:tcW w:w="1961"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 xml:space="preserve">Альтернатива </w:t>
            </w:r>
            <w:r w:rsidR="00FD024A" w:rsidRPr="006809CB">
              <w:rPr>
                <w:rFonts w:ascii="Times New Roman" w:eastAsia="Times New Roman" w:hAnsi="Times New Roman" w:cs="Times New Roman"/>
                <w:sz w:val="26"/>
                <w:szCs w:val="26"/>
              </w:rPr>
              <w:t>2</w:t>
            </w:r>
          </w:p>
        </w:tc>
        <w:tc>
          <w:tcPr>
            <w:tcW w:w="3972" w:type="dxa"/>
            <w:tcBorders>
              <w:top w:val="single" w:sz="4" w:space="0" w:color="000000"/>
              <w:left w:val="single" w:sz="4" w:space="0" w:color="000000"/>
              <w:bottom w:val="single" w:sz="4" w:space="0" w:color="000000"/>
              <w:right w:val="single" w:sz="4" w:space="0" w:color="000000"/>
            </w:tcBorders>
          </w:tcPr>
          <w:p w:rsidR="00A05CA2" w:rsidRPr="006809CB" w:rsidRDefault="00FD024A">
            <w:pPr>
              <w:spacing w:after="0" w:line="240" w:lineRule="auto"/>
              <w:ind w:firstLine="2"/>
              <w:jc w:val="both"/>
              <w:rPr>
                <w:rFonts w:ascii="Times New Roman" w:eastAsia="Times New Roman" w:hAnsi="Times New Roman" w:cs="Times New Roman"/>
                <w:sz w:val="26"/>
                <w:szCs w:val="26"/>
              </w:rPr>
            </w:pPr>
            <w:r w:rsidRPr="006809CB">
              <w:rPr>
                <w:rFonts w:ascii="Times New Roman" w:hAnsi="Times New Roman" w:cs="Times New Roman"/>
                <w:color w:val="000000"/>
                <w:sz w:val="26"/>
                <w:szCs w:val="26"/>
              </w:rPr>
              <w:t>Забезпечить повною мірою досягнення поставлен</w:t>
            </w:r>
            <w:r w:rsidRPr="006809CB">
              <w:rPr>
                <w:rFonts w:ascii="Times New Roman" w:hAnsi="Times New Roman" w:cs="Times New Roman"/>
                <w:sz w:val="26"/>
                <w:szCs w:val="26"/>
              </w:rPr>
              <w:t>ої</w:t>
            </w:r>
            <w:r w:rsidRPr="006809CB">
              <w:rPr>
                <w:rFonts w:ascii="Times New Roman" w:hAnsi="Times New Roman" w:cs="Times New Roman"/>
                <w:color w:val="000000"/>
                <w:sz w:val="26"/>
                <w:szCs w:val="26"/>
              </w:rPr>
              <w:t xml:space="preserve"> цілі</w:t>
            </w:r>
          </w:p>
        </w:tc>
        <w:tc>
          <w:tcPr>
            <w:tcW w:w="3742" w:type="dxa"/>
            <w:tcBorders>
              <w:top w:val="single" w:sz="4" w:space="0" w:color="000000"/>
              <w:left w:val="single" w:sz="4" w:space="0" w:color="000000"/>
              <w:bottom w:val="single" w:sz="4" w:space="0" w:color="000000"/>
              <w:right w:val="single" w:sz="4" w:space="0" w:color="000000"/>
            </w:tcBorders>
          </w:tcPr>
          <w:p w:rsidR="00A05CA2" w:rsidRPr="006809CB" w:rsidRDefault="00595C5B">
            <w:pPr>
              <w:spacing w:after="0" w:line="240" w:lineRule="auto"/>
              <w:ind w:firstLine="2"/>
              <w:jc w:val="both"/>
              <w:rPr>
                <w:rFonts w:ascii="Times New Roman" w:eastAsia="Times New Roman" w:hAnsi="Times New Roman" w:cs="Times New Roman"/>
                <w:sz w:val="26"/>
                <w:szCs w:val="26"/>
              </w:rPr>
            </w:pPr>
            <w:r w:rsidRPr="006809CB">
              <w:rPr>
                <w:rFonts w:ascii="Times New Roman" w:eastAsia="Times New Roman" w:hAnsi="Times New Roman" w:cs="Times New Roman"/>
                <w:sz w:val="26"/>
                <w:szCs w:val="26"/>
              </w:rPr>
              <w:t>Впливу зовнішніх чинників на дію запропонованого про</w:t>
            </w:r>
            <w:r w:rsidR="00FD024A" w:rsidRPr="006809CB">
              <w:rPr>
                <w:rFonts w:ascii="Times New Roman" w:eastAsia="Times New Roman" w:hAnsi="Times New Roman" w:cs="Times New Roman"/>
                <w:sz w:val="26"/>
                <w:szCs w:val="26"/>
              </w:rPr>
              <w:t>е</w:t>
            </w:r>
            <w:r w:rsidRPr="006809CB">
              <w:rPr>
                <w:rFonts w:ascii="Times New Roman" w:eastAsia="Times New Roman" w:hAnsi="Times New Roman" w:cs="Times New Roman"/>
                <w:sz w:val="26"/>
                <w:szCs w:val="26"/>
              </w:rPr>
              <w:t>кту акта не передбачається</w:t>
            </w:r>
          </w:p>
        </w:tc>
      </w:tr>
    </w:tbl>
    <w:p w:rsidR="00A05CA2" w:rsidRPr="006809CB" w:rsidRDefault="00A05CA2">
      <w:pPr>
        <w:spacing w:after="0" w:line="240" w:lineRule="auto"/>
        <w:ind w:firstLine="709"/>
        <w:jc w:val="both"/>
        <w:rPr>
          <w:rFonts w:ascii="Times New Roman" w:eastAsia="Times New Roman" w:hAnsi="Times New Roman" w:cs="Times New Roman"/>
          <w:sz w:val="28"/>
          <w:szCs w:val="28"/>
        </w:rPr>
      </w:pPr>
    </w:p>
    <w:p w:rsidR="00A05CA2" w:rsidRPr="006809CB" w:rsidRDefault="00595C5B" w:rsidP="0098060E">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V. Механізми та заходи, які забезпечать розв’язання визначеної проблеми</w:t>
      </w:r>
    </w:p>
    <w:p w:rsidR="0098060E" w:rsidRPr="006809CB" w:rsidRDefault="00C8375D" w:rsidP="0098060E">
      <w:pPr>
        <w:pStyle w:val="afa"/>
        <w:spacing w:before="0" w:beforeAutospacing="0" w:after="0" w:afterAutospacing="0"/>
        <w:ind w:firstLine="567"/>
        <w:jc w:val="both"/>
        <w:rPr>
          <w:bCs/>
          <w:sz w:val="28"/>
          <w:szCs w:val="28"/>
          <w:lang w:val="uk-UA"/>
        </w:rPr>
      </w:pPr>
      <w:r w:rsidRPr="006809CB">
        <w:rPr>
          <w:color w:val="000000"/>
          <w:sz w:val="28"/>
          <w:szCs w:val="28"/>
          <w:lang w:val="uk-UA"/>
        </w:rPr>
        <w:t>Основним механізмом для розв</w:t>
      </w:r>
      <w:r w:rsidR="0098060E" w:rsidRPr="006809CB">
        <w:rPr>
          <w:color w:val="000000"/>
          <w:sz w:val="28"/>
          <w:szCs w:val="28"/>
          <w:lang w:val="uk-UA"/>
        </w:rPr>
        <w:t>’</w:t>
      </w:r>
      <w:r w:rsidRPr="006809CB">
        <w:rPr>
          <w:color w:val="000000"/>
          <w:sz w:val="28"/>
          <w:szCs w:val="28"/>
          <w:lang w:val="uk-UA"/>
        </w:rPr>
        <w:t xml:space="preserve">язання визначеної проблеми є прийняття </w:t>
      </w:r>
      <w:r w:rsidR="00D37FC0" w:rsidRPr="006809CB">
        <w:rPr>
          <w:color w:val="000000"/>
          <w:sz w:val="28"/>
          <w:szCs w:val="28"/>
          <w:lang w:val="uk-UA"/>
        </w:rPr>
        <w:t>про</w:t>
      </w:r>
      <w:r w:rsidR="0098060E" w:rsidRPr="006809CB">
        <w:rPr>
          <w:color w:val="000000"/>
          <w:sz w:val="28"/>
          <w:szCs w:val="28"/>
          <w:lang w:val="uk-UA"/>
        </w:rPr>
        <w:t>екту акта</w:t>
      </w:r>
      <w:r w:rsidRPr="006809CB">
        <w:rPr>
          <w:color w:val="000000"/>
          <w:sz w:val="28"/>
          <w:szCs w:val="28"/>
          <w:lang w:val="uk-UA"/>
        </w:rPr>
        <w:t>, як</w:t>
      </w:r>
      <w:r w:rsidR="0098060E" w:rsidRPr="006809CB">
        <w:rPr>
          <w:color w:val="000000"/>
          <w:sz w:val="28"/>
          <w:szCs w:val="28"/>
          <w:lang w:val="uk-UA"/>
        </w:rPr>
        <w:t>им передбачається</w:t>
      </w:r>
      <w:r w:rsidRPr="006809CB">
        <w:rPr>
          <w:color w:val="000000"/>
          <w:sz w:val="28"/>
          <w:szCs w:val="28"/>
          <w:lang w:val="uk-UA"/>
        </w:rPr>
        <w:t xml:space="preserve"> </w:t>
      </w:r>
      <w:r w:rsidR="00C16796" w:rsidRPr="006809CB">
        <w:rPr>
          <w:sz w:val="26"/>
          <w:szCs w:val="26"/>
          <w:lang w:val="uk-UA"/>
        </w:rPr>
        <w:t xml:space="preserve">врегулювання механізму </w:t>
      </w:r>
      <w:r w:rsidR="00C16796" w:rsidRPr="006809CB">
        <w:rPr>
          <w:sz w:val="26"/>
          <w:szCs w:val="26"/>
          <w:highlight w:val="white"/>
          <w:lang w:val="uk-UA"/>
        </w:rPr>
        <w:t>підтвердження кваліфікації осіб, які мають намір провадити діяльність із здійснення енергетичних аудитів, встановлення кваліфікаційних вимог до енергетичних аудиторів</w:t>
      </w:r>
      <w:r w:rsidR="0098060E" w:rsidRPr="006809CB">
        <w:rPr>
          <w:sz w:val="28"/>
          <w:szCs w:val="28"/>
          <w:lang w:val="uk-UA"/>
        </w:rPr>
        <w:t>.</w:t>
      </w:r>
    </w:p>
    <w:p w:rsidR="00C8375D" w:rsidRPr="006809CB" w:rsidRDefault="00C8375D" w:rsidP="0098060E">
      <w:pPr>
        <w:pStyle w:val="afa"/>
        <w:spacing w:before="0" w:beforeAutospacing="0" w:after="0" w:afterAutospacing="0"/>
        <w:ind w:firstLine="567"/>
        <w:jc w:val="both"/>
        <w:rPr>
          <w:lang w:val="uk-UA"/>
        </w:rPr>
      </w:pPr>
      <w:r w:rsidRPr="006809CB">
        <w:rPr>
          <w:color w:val="000000"/>
          <w:sz w:val="28"/>
          <w:szCs w:val="28"/>
          <w:lang w:val="uk-UA"/>
        </w:rPr>
        <w:t>Додержання вимог регуляторного акта не потребуватиме запровадження державного нагляду та контролю.</w:t>
      </w:r>
    </w:p>
    <w:p w:rsidR="00C8375D" w:rsidRPr="006809CB" w:rsidRDefault="00C8375D" w:rsidP="0098060E">
      <w:pPr>
        <w:pStyle w:val="afa"/>
        <w:spacing w:before="0" w:beforeAutospacing="0" w:after="0" w:afterAutospacing="0"/>
        <w:ind w:right="-719" w:firstLine="567"/>
        <w:jc w:val="both"/>
        <w:rPr>
          <w:lang w:val="uk-UA"/>
        </w:rPr>
      </w:pPr>
      <w:r w:rsidRPr="006809CB">
        <w:rPr>
          <w:color w:val="000000"/>
          <w:sz w:val="28"/>
          <w:szCs w:val="28"/>
          <w:lang w:val="uk-UA"/>
        </w:rPr>
        <w:lastRenderedPageBreak/>
        <w:t>Ризику впливу зовнішніх факторів на дію регуляторного акта немає.</w:t>
      </w:r>
    </w:p>
    <w:p w:rsidR="0098060E" w:rsidRPr="006809CB" w:rsidRDefault="00C8375D" w:rsidP="0098060E">
      <w:pPr>
        <w:pStyle w:val="afa"/>
        <w:spacing w:before="0" w:beforeAutospacing="0" w:after="0" w:afterAutospacing="0"/>
        <w:ind w:right="-719" w:firstLine="567"/>
        <w:jc w:val="both"/>
        <w:rPr>
          <w:color w:val="000000"/>
          <w:sz w:val="28"/>
          <w:szCs w:val="28"/>
          <w:lang w:val="uk-UA"/>
        </w:rPr>
      </w:pPr>
      <w:r w:rsidRPr="006809CB">
        <w:rPr>
          <w:color w:val="000000"/>
          <w:sz w:val="28"/>
          <w:szCs w:val="28"/>
          <w:lang w:val="uk-UA"/>
        </w:rPr>
        <w:t>Можлива шкода у разі очікуваних наслідків дії акта не прогнозується.</w:t>
      </w:r>
    </w:p>
    <w:p w:rsidR="0098060E" w:rsidRPr="006809CB" w:rsidRDefault="0098060E" w:rsidP="0098060E">
      <w:pPr>
        <w:pStyle w:val="afa"/>
        <w:spacing w:before="0" w:beforeAutospacing="0" w:after="0" w:afterAutospacing="0"/>
        <w:ind w:firstLine="567"/>
        <w:jc w:val="both"/>
        <w:rPr>
          <w:sz w:val="28"/>
          <w:szCs w:val="28"/>
          <w:lang w:val="uk-UA"/>
        </w:rPr>
      </w:pPr>
      <w:r w:rsidRPr="006809CB">
        <w:rPr>
          <w:sz w:val="28"/>
          <w:szCs w:val="28"/>
          <w:lang w:val="uk-UA"/>
        </w:rPr>
        <w:t>Отже, ступінь ефективності основних принципів і способів досягнення цілей оцінюється як високий.</w:t>
      </w:r>
    </w:p>
    <w:p w:rsidR="00A05CA2" w:rsidRPr="006809CB" w:rsidRDefault="00A05CA2" w:rsidP="0098060E">
      <w:pPr>
        <w:spacing w:after="0" w:line="240" w:lineRule="auto"/>
        <w:ind w:firstLine="567"/>
        <w:jc w:val="both"/>
        <w:rPr>
          <w:rFonts w:ascii="Times New Roman" w:eastAsia="Times New Roman" w:hAnsi="Times New Roman" w:cs="Times New Roman"/>
          <w:sz w:val="28"/>
          <w:szCs w:val="28"/>
        </w:rPr>
      </w:pPr>
    </w:p>
    <w:p w:rsidR="00A05CA2" w:rsidRPr="006809CB" w:rsidRDefault="00595C5B" w:rsidP="0098060E">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або юридичні особи, які повинні проваджувати або виконувати ці вимоги</w:t>
      </w:r>
    </w:p>
    <w:p w:rsidR="00A05CA2" w:rsidRPr="006809CB" w:rsidRDefault="00A05CA2" w:rsidP="0098060E">
      <w:pPr>
        <w:spacing w:after="0" w:line="240" w:lineRule="auto"/>
        <w:ind w:firstLine="567"/>
        <w:jc w:val="both"/>
        <w:rPr>
          <w:rFonts w:ascii="Times New Roman" w:eastAsia="Times New Roman" w:hAnsi="Times New Roman" w:cs="Times New Roman"/>
          <w:sz w:val="14"/>
          <w:szCs w:val="14"/>
        </w:rPr>
      </w:pPr>
      <w:bookmarkStart w:id="10" w:name="bookmark=id.1fob9te" w:colFirst="0" w:colLast="0"/>
      <w:bookmarkEnd w:id="10"/>
    </w:p>
    <w:p w:rsidR="00A05CA2" w:rsidRPr="006809CB" w:rsidRDefault="00595C5B" w:rsidP="000C71F0">
      <w:pPr>
        <w:spacing w:after="0" w:line="240" w:lineRule="auto"/>
        <w:ind w:firstLine="567"/>
        <w:jc w:val="both"/>
        <w:rPr>
          <w:rFonts w:ascii="Times New Roman" w:eastAsia="Times New Roman" w:hAnsi="Times New Roman" w:cs="Times New Roman"/>
          <w:sz w:val="28"/>
          <w:szCs w:val="28"/>
        </w:rPr>
      </w:pPr>
      <w:bookmarkStart w:id="11" w:name="bookmark=id.3znysh7" w:colFirst="0" w:colLast="0"/>
      <w:bookmarkEnd w:id="11"/>
      <w:r w:rsidRPr="006809CB">
        <w:rPr>
          <w:rFonts w:ascii="Times New Roman" w:eastAsia="Times New Roman" w:hAnsi="Times New Roman" w:cs="Times New Roman"/>
          <w:sz w:val="28"/>
          <w:szCs w:val="28"/>
        </w:rPr>
        <w:t xml:space="preserve">Впливу зовнішніх факторів на дію </w:t>
      </w:r>
      <w:r w:rsidR="0098060E" w:rsidRPr="006809CB">
        <w:rPr>
          <w:rFonts w:ascii="Times New Roman" w:eastAsia="Times New Roman" w:hAnsi="Times New Roman" w:cs="Times New Roman"/>
          <w:sz w:val="28"/>
          <w:szCs w:val="28"/>
        </w:rPr>
        <w:t>регуляторного</w:t>
      </w:r>
      <w:r w:rsidRPr="006809CB">
        <w:rPr>
          <w:rFonts w:ascii="Times New Roman" w:eastAsia="Times New Roman" w:hAnsi="Times New Roman" w:cs="Times New Roman"/>
          <w:sz w:val="28"/>
          <w:szCs w:val="28"/>
        </w:rPr>
        <w:t xml:space="preserve"> акта не очікується.</w:t>
      </w:r>
    </w:p>
    <w:p w:rsidR="000C71F0" w:rsidRPr="006809CB" w:rsidRDefault="00595C5B" w:rsidP="000C71F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Реалізація регуляторного акта не потребує додаткових матеріальних та фінансових витрат з </w:t>
      </w:r>
      <w:r w:rsidR="00B83D18" w:rsidRPr="006809CB">
        <w:rPr>
          <w:rFonts w:ascii="Times New Roman" w:eastAsia="Times New Roman" w:hAnsi="Times New Roman" w:cs="Times New Roman"/>
          <w:sz w:val="28"/>
          <w:szCs w:val="28"/>
        </w:rPr>
        <w:t>д</w:t>
      </w:r>
      <w:r w:rsidRPr="006809CB">
        <w:rPr>
          <w:rFonts w:ascii="Times New Roman" w:eastAsia="Times New Roman" w:hAnsi="Times New Roman" w:cs="Times New Roman"/>
          <w:sz w:val="28"/>
          <w:szCs w:val="28"/>
        </w:rPr>
        <w:t>ержавного бюджету та місцевих бюджетів, додаткового фінансового навантаження на органи викона</w:t>
      </w:r>
      <w:r w:rsidR="00D21ECA" w:rsidRPr="006809CB">
        <w:rPr>
          <w:rFonts w:ascii="Times New Roman" w:eastAsia="Times New Roman" w:hAnsi="Times New Roman" w:cs="Times New Roman"/>
          <w:sz w:val="28"/>
          <w:szCs w:val="28"/>
        </w:rPr>
        <w:t>вчої влади та їх посадових осіб</w:t>
      </w:r>
      <w:r w:rsidRPr="006809CB">
        <w:rPr>
          <w:rFonts w:ascii="Times New Roman" w:eastAsia="Times New Roman" w:hAnsi="Times New Roman" w:cs="Times New Roman"/>
          <w:sz w:val="28"/>
          <w:szCs w:val="28"/>
        </w:rPr>
        <w:t xml:space="preserve"> не передбачається. </w:t>
      </w:r>
    </w:p>
    <w:p w:rsidR="000C71F0" w:rsidRPr="006809CB" w:rsidRDefault="000C71F0" w:rsidP="000C71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809CB">
        <w:rPr>
          <w:rFonts w:ascii="Times New Roman" w:eastAsia="Times New Roman" w:hAnsi="Times New Roman" w:cs="Times New Roman"/>
          <w:color w:val="000000"/>
          <w:sz w:val="28"/>
          <w:szCs w:val="28"/>
        </w:rPr>
        <w:t>Оцінювання результатів навчання кваліфікаційними центрами здійснюватиметься за рахунок осіб, що потребуватимуть присвоєння/ підтвердження професійної кваліфікації.</w:t>
      </w:r>
    </w:p>
    <w:p w:rsidR="00A05CA2" w:rsidRPr="006809CB" w:rsidRDefault="00595C5B" w:rsidP="000C71F0">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Очікувані наслідки дії запропонованого акта не передбачають нанесення шкоди суб’єктам господарювання.</w:t>
      </w:r>
    </w:p>
    <w:p w:rsidR="00A05CA2" w:rsidRPr="006809CB" w:rsidRDefault="00595C5B" w:rsidP="0098060E">
      <w:pPr>
        <w:spacing w:after="0" w:line="240" w:lineRule="auto"/>
        <w:ind w:right="-144"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Регуляторний акт відповідає принципам державної регуляторної політики.</w:t>
      </w:r>
    </w:p>
    <w:p w:rsidR="00A05CA2" w:rsidRPr="006809CB" w:rsidRDefault="00595C5B" w:rsidP="0098060E">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Державний нагляд і контроль за додержанням вимог акта здійснюватиметься </w:t>
      </w:r>
      <w:r w:rsidR="00C16796" w:rsidRPr="006809CB">
        <w:rPr>
          <w:rFonts w:ascii="Times New Roman" w:eastAsia="Times New Roman" w:hAnsi="Times New Roman" w:cs="Times New Roman"/>
          <w:sz w:val="28"/>
          <w:szCs w:val="28"/>
        </w:rPr>
        <w:t>р</w:t>
      </w:r>
      <w:r w:rsidRPr="006809CB">
        <w:rPr>
          <w:rFonts w:ascii="Times New Roman" w:eastAsia="Times New Roman" w:hAnsi="Times New Roman" w:cs="Times New Roman"/>
          <w:sz w:val="28"/>
          <w:szCs w:val="28"/>
        </w:rPr>
        <w:t>егуляторним органом в межах компетенції в установленому Законом порядку.</w:t>
      </w:r>
    </w:p>
    <w:p w:rsidR="00A05CA2" w:rsidRPr="006809CB" w:rsidRDefault="00533925" w:rsidP="0098060E">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Тест малого підприємництва (М-тест) не проводився, оскільки </w:t>
      </w:r>
      <w:r w:rsidR="0098060E" w:rsidRPr="006809CB">
        <w:rPr>
          <w:rFonts w:ascii="Times New Roman" w:eastAsia="Times New Roman" w:hAnsi="Times New Roman" w:cs="Times New Roman"/>
          <w:sz w:val="28"/>
          <w:szCs w:val="28"/>
        </w:rPr>
        <w:t>відсутні</w:t>
      </w:r>
      <w:r w:rsidRPr="006809CB">
        <w:rPr>
          <w:rFonts w:ascii="Times New Roman" w:eastAsia="Times New Roman" w:hAnsi="Times New Roman" w:cs="Times New Roman"/>
          <w:sz w:val="28"/>
          <w:szCs w:val="28"/>
        </w:rPr>
        <w:t xml:space="preserve"> суб’єкт</w:t>
      </w:r>
      <w:r w:rsidR="0098060E" w:rsidRPr="006809CB">
        <w:rPr>
          <w:rFonts w:ascii="Times New Roman" w:eastAsia="Times New Roman" w:hAnsi="Times New Roman" w:cs="Times New Roman"/>
          <w:sz w:val="28"/>
          <w:szCs w:val="28"/>
        </w:rPr>
        <w:t>и</w:t>
      </w:r>
      <w:r w:rsidRPr="006809CB">
        <w:rPr>
          <w:rFonts w:ascii="Times New Roman" w:eastAsia="Times New Roman" w:hAnsi="Times New Roman" w:cs="Times New Roman"/>
          <w:sz w:val="28"/>
          <w:szCs w:val="28"/>
        </w:rPr>
        <w:t xml:space="preserve"> малого підприємництва у загальній кількості суб’єктів господарювання, на яких поширюється регулювання</w:t>
      </w:r>
      <w:r w:rsidR="0098060E" w:rsidRPr="006809CB">
        <w:rPr>
          <w:rFonts w:ascii="Times New Roman" w:eastAsia="Times New Roman" w:hAnsi="Times New Roman" w:cs="Times New Roman"/>
          <w:sz w:val="28"/>
          <w:szCs w:val="28"/>
        </w:rPr>
        <w:t>.</w:t>
      </w:r>
    </w:p>
    <w:p w:rsidR="00A05CA2" w:rsidRPr="006809CB" w:rsidRDefault="00A05CA2" w:rsidP="007D02AC">
      <w:pPr>
        <w:shd w:val="clear" w:color="auto" w:fill="FFFFFF"/>
        <w:spacing w:after="0" w:line="240" w:lineRule="auto"/>
        <w:jc w:val="both"/>
        <w:rPr>
          <w:rFonts w:ascii="Times New Roman" w:eastAsia="Times New Roman" w:hAnsi="Times New Roman" w:cs="Times New Roman"/>
          <w:sz w:val="28"/>
          <w:szCs w:val="28"/>
        </w:rPr>
      </w:pPr>
    </w:p>
    <w:p w:rsidR="00A05CA2" w:rsidRPr="006809CB" w:rsidRDefault="00595C5B" w:rsidP="00B83D18">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VII. Обґрунтування запропонованого строку дії регуляторного акта</w:t>
      </w:r>
    </w:p>
    <w:p w:rsidR="00A05CA2" w:rsidRPr="006809CB" w:rsidRDefault="00595C5B" w:rsidP="00B83D18">
      <w:pPr>
        <w:spacing w:after="0" w:line="240" w:lineRule="auto"/>
        <w:ind w:firstLine="567"/>
        <w:jc w:val="both"/>
        <w:rPr>
          <w:rFonts w:asciiTheme="majorBidi" w:eastAsia="Times New Roman" w:hAnsiTheme="majorBidi" w:cstheme="majorBidi"/>
          <w:sz w:val="28"/>
          <w:szCs w:val="28"/>
        </w:rPr>
      </w:pPr>
      <w:r w:rsidRPr="006809CB">
        <w:rPr>
          <w:rFonts w:asciiTheme="majorBidi" w:eastAsia="Times New Roman" w:hAnsiTheme="majorBidi" w:cstheme="majorBidi"/>
          <w:sz w:val="28"/>
          <w:szCs w:val="28"/>
        </w:rPr>
        <w:t>Оскільки проект акт</w:t>
      </w:r>
      <w:r w:rsidR="00B83D18" w:rsidRPr="006809CB">
        <w:rPr>
          <w:rFonts w:asciiTheme="majorBidi" w:eastAsia="Times New Roman" w:hAnsiTheme="majorBidi" w:cstheme="majorBidi"/>
          <w:sz w:val="28"/>
          <w:szCs w:val="28"/>
        </w:rPr>
        <w:t>а</w:t>
      </w:r>
      <w:r w:rsidRPr="006809CB">
        <w:rPr>
          <w:rFonts w:asciiTheme="majorBidi" w:eastAsia="Times New Roman" w:hAnsiTheme="majorBidi" w:cstheme="majorBidi"/>
          <w:sz w:val="28"/>
          <w:szCs w:val="28"/>
        </w:rPr>
        <w:t xml:space="preserve"> направлено на</w:t>
      </w:r>
      <w:r w:rsidR="00B83D18" w:rsidRPr="006809CB">
        <w:rPr>
          <w:rFonts w:asciiTheme="majorBidi" w:eastAsia="Times New Roman" w:hAnsiTheme="majorBidi" w:cstheme="majorBidi"/>
          <w:sz w:val="28"/>
          <w:szCs w:val="28"/>
        </w:rPr>
        <w:t xml:space="preserve"> виконання </w:t>
      </w:r>
      <w:r w:rsidRPr="006809CB">
        <w:rPr>
          <w:rFonts w:asciiTheme="majorBidi" w:eastAsia="Times New Roman" w:hAnsiTheme="majorBidi" w:cstheme="majorBidi"/>
          <w:sz w:val="28"/>
          <w:szCs w:val="28"/>
        </w:rPr>
        <w:t>вимог Закону України «Про енергетичну ефективність», то строк дії вказаного акта відповідає строку дії цього Закону.</w:t>
      </w:r>
    </w:p>
    <w:p w:rsidR="00B83D18" w:rsidRPr="006809CB" w:rsidRDefault="00B83D18" w:rsidP="00B83D18">
      <w:pPr>
        <w:shd w:val="clear" w:color="auto" w:fill="FFFFFF"/>
        <w:spacing w:after="0"/>
        <w:ind w:firstLine="567"/>
        <w:jc w:val="both"/>
        <w:rPr>
          <w:rFonts w:asciiTheme="majorBidi" w:hAnsiTheme="majorBidi" w:cstheme="majorBidi"/>
          <w:sz w:val="28"/>
          <w:szCs w:val="28"/>
        </w:rPr>
      </w:pPr>
      <w:r w:rsidRPr="006809CB">
        <w:rPr>
          <w:rFonts w:asciiTheme="majorBidi" w:hAnsiTheme="majorBidi" w:cstheme="majorBidi"/>
          <w:color w:val="000000"/>
          <w:sz w:val="28"/>
          <w:szCs w:val="28"/>
        </w:rPr>
        <w:t>Зміна терміну дії акта можлива у разі внесення змін до законодавства України</w:t>
      </w:r>
      <w:r w:rsidRPr="006809CB">
        <w:rPr>
          <w:rFonts w:asciiTheme="majorBidi" w:hAnsiTheme="majorBidi" w:cstheme="majorBidi"/>
          <w:sz w:val="28"/>
          <w:szCs w:val="28"/>
        </w:rPr>
        <w:t>.</w:t>
      </w:r>
    </w:p>
    <w:p w:rsidR="00B83D18" w:rsidRPr="006809CB" w:rsidRDefault="00B83D18" w:rsidP="00B83D18">
      <w:pPr>
        <w:shd w:val="clear" w:color="auto" w:fill="FFFFFF"/>
        <w:spacing w:after="0"/>
        <w:ind w:firstLine="567"/>
        <w:jc w:val="both"/>
        <w:rPr>
          <w:rFonts w:asciiTheme="majorBidi" w:hAnsiTheme="majorBidi" w:cstheme="majorBidi"/>
          <w:color w:val="000000"/>
          <w:sz w:val="28"/>
          <w:szCs w:val="28"/>
        </w:rPr>
      </w:pPr>
      <w:r w:rsidRPr="006809CB">
        <w:rPr>
          <w:rFonts w:asciiTheme="majorBidi" w:hAnsiTheme="majorBidi" w:cstheme="majorBidi"/>
          <w:color w:val="000000"/>
          <w:sz w:val="28"/>
          <w:szCs w:val="28"/>
        </w:rPr>
        <w:t xml:space="preserve">Термін набрання чинності проекту </w:t>
      </w:r>
      <w:r w:rsidR="0037239B" w:rsidRPr="006809CB">
        <w:rPr>
          <w:rFonts w:asciiTheme="majorBidi" w:hAnsiTheme="majorBidi" w:cstheme="majorBidi"/>
          <w:color w:val="000000"/>
          <w:sz w:val="28"/>
          <w:szCs w:val="28"/>
        </w:rPr>
        <w:t>акта</w:t>
      </w:r>
      <w:r w:rsidRPr="006809CB">
        <w:rPr>
          <w:rFonts w:asciiTheme="majorBidi" w:hAnsiTheme="majorBidi" w:cstheme="majorBidi"/>
          <w:color w:val="000000"/>
          <w:sz w:val="28"/>
          <w:szCs w:val="28"/>
        </w:rPr>
        <w:t xml:space="preserve"> </w:t>
      </w:r>
      <w:r w:rsidRPr="006809CB">
        <w:rPr>
          <w:rFonts w:asciiTheme="majorBidi" w:hAnsiTheme="majorBidi" w:cstheme="majorBidi"/>
          <w:sz w:val="28"/>
          <w:szCs w:val="28"/>
        </w:rPr>
        <w:t>-</w:t>
      </w:r>
      <w:r w:rsidRPr="006809CB">
        <w:rPr>
          <w:rFonts w:asciiTheme="majorBidi" w:hAnsiTheme="majorBidi" w:cstheme="majorBidi"/>
          <w:color w:val="000000"/>
          <w:sz w:val="28"/>
          <w:szCs w:val="28"/>
        </w:rPr>
        <w:t xml:space="preserve"> відповідно до законодавства після його офіційного оприлюднення.</w:t>
      </w:r>
    </w:p>
    <w:p w:rsidR="00A05CA2" w:rsidRPr="006809CB" w:rsidRDefault="00A05CA2" w:rsidP="00B83D18">
      <w:pPr>
        <w:spacing w:after="0" w:line="240" w:lineRule="auto"/>
        <w:ind w:firstLine="567"/>
        <w:jc w:val="both"/>
        <w:rPr>
          <w:rFonts w:asciiTheme="majorBidi" w:eastAsia="Times New Roman" w:hAnsiTheme="majorBidi" w:cstheme="majorBidi"/>
          <w:sz w:val="28"/>
          <w:szCs w:val="28"/>
        </w:rPr>
      </w:pPr>
    </w:p>
    <w:p w:rsidR="00A05CA2" w:rsidRPr="006809CB" w:rsidRDefault="00595C5B" w:rsidP="00B83D18">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VIII. Визначення показників результативності дії регуляторного акта</w:t>
      </w:r>
    </w:p>
    <w:p w:rsidR="00A05CA2" w:rsidRPr="006809CB" w:rsidRDefault="00595C5B" w:rsidP="00B83D18">
      <w:pPr>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Показниками результативності після набрання чинності регуляторного акта є:</w:t>
      </w:r>
    </w:p>
    <w:p w:rsidR="00F8174A" w:rsidRPr="006809CB" w:rsidRDefault="0037239B" w:rsidP="0037239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highlight w:val="white"/>
        </w:rPr>
        <w:t>1) </w:t>
      </w:r>
      <w:r w:rsidR="00595C5B" w:rsidRPr="006809CB">
        <w:rPr>
          <w:rFonts w:ascii="Times New Roman" w:eastAsia="Times New Roman" w:hAnsi="Times New Roman" w:cs="Times New Roman"/>
          <w:sz w:val="28"/>
          <w:szCs w:val="28"/>
          <w:highlight w:val="white"/>
        </w:rPr>
        <w:t>кількість суб’єктів господарювання, на яких поширюва</w:t>
      </w:r>
      <w:r w:rsidR="00F8174A" w:rsidRPr="006809CB">
        <w:rPr>
          <w:rFonts w:ascii="Times New Roman" w:eastAsia="Times New Roman" w:hAnsi="Times New Roman" w:cs="Times New Roman"/>
          <w:sz w:val="28"/>
          <w:szCs w:val="28"/>
          <w:highlight w:val="white"/>
        </w:rPr>
        <w:t>тиметься дія регуляторного акта</w:t>
      </w:r>
      <w:r w:rsidRPr="006809CB">
        <w:rPr>
          <w:rFonts w:ascii="Times New Roman" w:eastAsia="Times New Roman" w:hAnsi="Times New Roman" w:cs="Times New Roman"/>
          <w:sz w:val="28"/>
          <w:szCs w:val="28"/>
          <w:highlight w:val="white"/>
        </w:rPr>
        <w:t xml:space="preserve"> – </w:t>
      </w:r>
      <w:r w:rsidR="00D345CD" w:rsidRPr="006809CB">
        <w:rPr>
          <w:rFonts w:ascii="Times New Roman" w:eastAsia="Times New Roman" w:hAnsi="Times New Roman" w:cs="Times New Roman"/>
          <w:sz w:val="28"/>
          <w:szCs w:val="28"/>
        </w:rPr>
        <w:t>512</w:t>
      </w:r>
      <w:r w:rsidRPr="006809CB">
        <w:rPr>
          <w:rFonts w:ascii="Times New Roman" w:eastAsia="Times New Roman" w:hAnsi="Times New Roman" w:cs="Times New Roman"/>
          <w:sz w:val="28"/>
          <w:szCs w:val="28"/>
        </w:rPr>
        <w:t xml:space="preserve"> </w:t>
      </w:r>
      <w:r w:rsidR="00D345CD" w:rsidRPr="006809CB">
        <w:rPr>
          <w:rFonts w:ascii="Times New Roman" w:eastAsia="Times New Roman" w:hAnsi="Times New Roman" w:cs="Times New Roman"/>
          <w:sz w:val="28"/>
          <w:szCs w:val="28"/>
        </w:rPr>
        <w:t>великих</w:t>
      </w:r>
      <w:r w:rsidR="00F8174A" w:rsidRPr="006809CB">
        <w:rPr>
          <w:rFonts w:ascii="Times New Roman" w:eastAsia="Times New Roman" w:hAnsi="Times New Roman" w:cs="Times New Roman"/>
          <w:sz w:val="28"/>
          <w:szCs w:val="28"/>
        </w:rPr>
        <w:t xml:space="preserve"> суб’єктів господарювання;</w:t>
      </w:r>
    </w:p>
    <w:p w:rsidR="000C71F0" w:rsidRPr="006809CB" w:rsidRDefault="000C71F0" w:rsidP="000C71F0">
      <w:pPr>
        <w:shd w:val="clear" w:color="auto" w:fill="FFFFFF"/>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2</w:t>
      </w:r>
      <w:r w:rsidR="002F518B" w:rsidRPr="006809CB">
        <w:rPr>
          <w:rFonts w:ascii="Times New Roman" w:eastAsia="Times New Roman" w:hAnsi="Times New Roman" w:cs="Times New Roman"/>
          <w:sz w:val="28"/>
          <w:szCs w:val="28"/>
        </w:rPr>
        <w:t>) </w:t>
      </w:r>
      <w:r w:rsidR="00A61E16" w:rsidRPr="006809CB">
        <w:rPr>
          <w:rFonts w:ascii="Times New Roman" w:eastAsia="Times New Roman" w:hAnsi="Times New Roman" w:cs="Times New Roman"/>
          <w:sz w:val="28"/>
          <w:szCs w:val="28"/>
        </w:rPr>
        <w:t xml:space="preserve">рівень поінформованості суб’єктів господарювання та/або фізичних осіб з основних положень акта – високий (проект акта оприлюднено на офіційних </w:t>
      </w:r>
      <w:proofErr w:type="spellStart"/>
      <w:r w:rsidR="00A61E16" w:rsidRPr="006809CB">
        <w:rPr>
          <w:rFonts w:ascii="Times New Roman" w:eastAsia="Times New Roman" w:hAnsi="Times New Roman" w:cs="Times New Roman"/>
          <w:sz w:val="28"/>
          <w:szCs w:val="28"/>
        </w:rPr>
        <w:t>вебсайтах</w:t>
      </w:r>
      <w:proofErr w:type="spellEnd"/>
      <w:r w:rsidR="00A61E16" w:rsidRPr="006809CB">
        <w:rPr>
          <w:rFonts w:ascii="Times New Roman" w:eastAsia="Times New Roman" w:hAnsi="Times New Roman" w:cs="Times New Roman"/>
          <w:sz w:val="28"/>
          <w:szCs w:val="28"/>
        </w:rPr>
        <w:t xml:space="preserve"> Міненерго та Держенергоефективності).</w:t>
      </w:r>
    </w:p>
    <w:p w:rsidR="000C71F0" w:rsidRPr="006809CB" w:rsidRDefault="000C71F0" w:rsidP="000C71F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809CB">
        <w:rPr>
          <w:rFonts w:ascii="Times New Roman" w:eastAsia="Times New Roman" w:hAnsi="Times New Roman" w:cs="Times New Roman"/>
          <w:color w:val="000000"/>
          <w:sz w:val="28"/>
          <w:szCs w:val="28"/>
        </w:rPr>
        <w:lastRenderedPageBreak/>
        <w:t>Кількісними показниками результативності акта є:</w:t>
      </w:r>
    </w:p>
    <w:p w:rsidR="000C71F0" w:rsidRPr="006809CB" w:rsidRDefault="000C71F0" w:rsidP="000C71F0">
      <w:pPr>
        <w:pBdr>
          <w:top w:val="nil"/>
          <w:left w:val="nil"/>
          <w:bottom w:val="nil"/>
          <w:right w:val="nil"/>
          <w:between w:val="nil"/>
        </w:pBdr>
        <w:tabs>
          <w:tab w:val="left" w:pos="74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6809CB">
        <w:rPr>
          <w:rFonts w:ascii="Times New Roman" w:eastAsia="Times New Roman" w:hAnsi="Times New Roman" w:cs="Times New Roman"/>
          <w:color w:val="000000"/>
          <w:sz w:val="28"/>
          <w:szCs w:val="28"/>
        </w:rPr>
        <w:t xml:space="preserve">кількість поданих заяв щодо оцінювання і визнання результатів навчання осіб (зокрема, здобутих шляхом неформальної чи </w:t>
      </w:r>
      <w:proofErr w:type="spellStart"/>
      <w:r w:rsidRPr="006809CB">
        <w:rPr>
          <w:rFonts w:ascii="Times New Roman" w:eastAsia="Times New Roman" w:hAnsi="Times New Roman" w:cs="Times New Roman"/>
          <w:color w:val="000000"/>
          <w:sz w:val="28"/>
          <w:szCs w:val="28"/>
        </w:rPr>
        <w:t>інформальної</w:t>
      </w:r>
      <w:proofErr w:type="spellEnd"/>
      <w:r w:rsidRPr="006809CB">
        <w:rPr>
          <w:rFonts w:ascii="Times New Roman" w:eastAsia="Times New Roman" w:hAnsi="Times New Roman" w:cs="Times New Roman"/>
          <w:color w:val="000000"/>
          <w:sz w:val="28"/>
          <w:szCs w:val="28"/>
        </w:rPr>
        <w:t xml:space="preserve"> освіти), присвоєння та/або підтвердження відповідних професійних кваліфікацій;</w:t>
      </w:r>
    </w:p>
    <w:p w:rsidR="000C71F0" w:rsidRPr="006809CB" w:rsidRDefault="000C71F0" w:rsidP="000C71F0">
      <w:pPr>
        <w:pBdr>
          <w:top w:val="nil"/>
          <w:left w:val="nil"/>
          <w:bottom w:val="nil"/>
          <w:right w:val="nil"/>
          <w:between w:val="nil"/>
        </w:pBdr>
        <w:tabs>
          <w:tab w:val="left" w:pos="84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6809CB">
        <w:rPr>
          <w:rFonts w:ascii="Times New Roman" w:eastAsia="Times New Roman" w:hAnsi="Times New Roman" w:cs="Times New Roman"/>
          <w:color w:val="000000"/>
          <w:sz w:val="28"/>
          <w:szCs w:val="28"/>
        </w:rPr>
        <w:t>кількість кваліфікаційних центрів, що здійснюватимуть діяльність з оцінювання, присвоєння/підтвердження/визнання професійних кваліфікацій;</w:t>
      </w:r>
    </w:p>
    <w:p w:rsidR="000C71F0" w:rsidRPr="006809CB" w:rsidRDefault="000C71F0" w:rsidP="000C71F0">
      <w:pPr>
        <w:pBdr>
          <w:top w:val="nil"/>
          <w:left w:val="nil"/>
          <w:bottom w:val="nil"/>
          <w:right w:val="nil"/>
          <w:between w:val="nil"/>
        </w:pBdr>
        <w:tabs>
          <w:tab w:val="left" w:pos="84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6809CB">
        <w:rPr>
          <w:rFonts w:ascii="Times New Roman" w:eastAsia="Times New Roman" w:hAnsi="Times New Roman" w:cs="Times New Roman"/>
          <w:color w:val="000000"/>
          <w:sz w:val="28"/>
          <w:szCs w:val="28"/>
        </w:rPr>
        <w:t xml:space="preserve">кількість кваліфікацій, за якими здійснюється визнання результатів навчання : дві (за напрямками </w:t>
      </w:r>
      <w:r w:rsidRPr="006809CB">
        <w:rPr>
          <w:rFonts w:ascii="Times New Roman" w:eastAsia="Times New Roman" w:hAnsi="Times New Roman" w:cs="Times New Roman"/>
          <w:color w:val="333333"/>
          <w:sz w:val="28"/>
          <w:szCs w:val="28"/>
        </w:rPr>
        <w:t>діяльність із здійснення енергетичних аудитів процесів</w:t>
      </w:r>
      <w:r w:rsidRPr="006809CB">
        <w:rPr>
          <w:rFonts w:ascii="Times New Roman" w:eastAsia="Times New Roman" w:hAnsi="Times New Roman" w:cs="Times New Roman"/>
          <w:color w:val="000000"/>
          <w:sz w:val="28"/>
          <w:szCs w:val="28"/>
        </w:rPr>
        <w:t xml:space="preserve"> та діяльність із здійснення енергетичних аудитів транспорту), здобутих у тому числі шляхом неформальної та </w:t>
      </w:r>
      <w:proofErr w:type="spellStart"/>
      <w:r w:rsidRPr="006809CB">
        <w:rPr>
          <w:rFonts w:ascii="Times New Roman" w:eastAsia="Times New Roman" w:hAnsi="Times New Roman" w:cs="Times New Roman"/>
          <w:color w:val="000000"/>
          <w:sz w:val="28"/>
          <w:szCs w:val="28"/>
        </w:rPr>
        <w:t>інформальної</w:t>
      </w:r>
      <w:proofErr w:type="spellEnd"/>
      <w:r w:rsidRPr="006809CB">
        <w:rPr>
          <w:rFonts w:ascii="Times New Roman" w:eastAsia="Times New Roman" w:hAnsi="Times New Roman" w:cs="Times New Roman"/>
          <w:color w:val="000000"/>
          <w:sz w:val="28"/>
          <w:szCs w:val="28"/>
        </w:rPr>
        <w:t xml:space="preserve"> освіти.</w:t>
      </w:r>
    </w:p>
    <w:p w:rsidR="00A05CA2" w:rsidRPr="006809CB" w:rsidRDefault="00A05CA2" w:rsidP="00B83D18">
      <w:pPr>
        <w:shd w:val="clear" w:color="auto" w:fill="FFFFFF"/>
        <w:spacing w:after="0" w:line="240" w:lineRule="auto"/>
        <w:ind w:firstLine="567"/>
        <w:jc w:val="both"/>
        <w:rPr>
          <w:rFonts w:ascii="Times New Roman" w:eastAsia="Times New Roman" w:hAnsi="Times New Roman" w:cs="Times New Roman"/>
          <w:sz w:val="28"/>
          <w:szCs w:val="28"/>
          <w:highlight w:val="white"/>
        </w:rPr>
      </w:pPr>
    </w:p>
    <w:p w:rsidR="00A05CA2" w:rsidRPr="006809CB" w:rsidRDefault="00595C5B" w:rsidP="00B83D18">
      <w:pPr>
        <w:spacing w:after="0" w:line="240" w:lineRule="auto"/>
        <w:ind w:firstLine="567"/>
        <w:jc w:val="both"/>
        <w:rPr>
          <w:rFonts w:ascii="Times New Roman" w:eastAsia="Times New Roman" w:hAnsi="Times New Roman" w:cs="Times New Roman"/>
          <w:b/>
          <w:sz w:val="28"/>
          <w:szCs w:val="28"/>
        </w:rPr>
      </w:pPr>
      <w:r w:rsidRPr="006809CB">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rsidR="002F518B" w:rsidRPr="006809CB" w:rsidRDefault="002F518B" w:rsidP="002F518B">
      <w:pPr>
        <w:shd w:val="clear" w:color="auto" w:fill="FFFFFF"/>
        <w:spacing w:after="0"/>
        <w:ind w:firstLine="567"/>
        <w:jc w:val="both"/>
        <w:rPr>
          <w:rFonts w:ascii="Times New Roman" w:hAnsi="Times New Roman" w:cs="Times New Roman"/>
          <w:sz w:val="28"/>
          <w:szCs w:val="28"/>
        </w:rPr>
      </w:pPr>
      <w:r w:rsidRPr="006809CB">
        <w:rPr>
          <w:rFonts w:ascii="Times New Roman" w:hAnsi="Times New Roman" w:cs="Times New Roman"/>
          <w:sz w:val="28"/>
          <w:szCs w:val="28"/>
        </w:rPr>
        <w:t>Відповідно до законодавства здійснюється базове, повторне та періодичне відстеження 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p>
    <w:p w:rsidR="002F518B" w:rsidRPr="006809CB" w:rsidRDefault="002F518B" w:rsidP="002F518B">
      <w:pPr>
        <w:shd w:val="clear" w:color="auto" w:fill="FFFFFF"/>
        <w:spacing w:after="0"/>
        <w:ind w:firstLine="567"/>
        <w:jc w:val="both"/>
        <w:rPr>
          <w:rFonts w:ascii="Times New Roman" w:hAnsi="Times New Roman" w:cs="Times New Roman"/>
          <w:sz w:val="28"/>
          <w:szCs w:val="28"/>
        </w:rPr>
      </w:pPr>
      <w:r w:rsidRPr="006809CB">
        <w:rPr>
          <w:rFonts w:ascii="Times New Roman" w:hAnsi="Times New Roman" w:cs="Times New Roman"/>
          <w:color w:val="000000"/>
          <w:sz w:val="28"/>
          <w:szCs w:val="28"/>
        </w:rPr>
        <w:t xml:space="preserve">Базове відстеження результативності </w:t>
      </w:r>
      <w:r w:rsidR="00E63F1A" w:rsidRPr="006809CB">
        <w:rPr>
          <w:rFonts w:ascii="Times New Roman" w:hAnsi="Times New Roman" w:cs="Times New Roman"/>
          <w:color w:val="000000"/>
          <w:sz w:val="28"/>
          <w:szCs w:val="28"/>
        </w:rPr>
        <w:t xml:space="preserve">регуляторного </w:t>
      </w:r>
      <w:r w:rsidRPr="006809CB">
        <w:rPr>
          <w:rFonts w:ascii="Times New Roman" w:hAnsi="Times New Roman" w:cs="Times New Roman"/>
          <w:color w:val="000000"/>
          <w:sz w:val="28"/>
          <w:szCs w:val="28"/>
        </w:rPr>
        <w:t>акта буде здійснюватися після набрання ним чинності</w:t>
      </w:r>
      <w:r w:rsidRPr="006809CB">
        <w:rPr>
          <w:rFonts w:ascii="Times New Roman" w:hAnsi="Times New Roman" w:cs="Times New Roman"/>
          <w:sz w:val="28"/>
          <w:szCs w:val="28"/>
        </w:rPr>
        <w:t>, оскільки планується використовувати статистичний метод відстеження та статистичні дані.</w:t>
      </w:r>
    </w:p>
    <w:p w:rsidR="002F518B" w:rsidRPr="006809CB" w:rsidRDefault="002F518B" w:rsidP="002F518B">
      <w:pPr>
        <w:shd w:val="clear" w:color="auto" w:fill="FFFFFF"/>
        <w:spacing w:after="0"/>
        <w:ind w:firstLine="567"/>
        <w:jc w:val="both"/>
        <w:rPr>
          <w:rFonts w:ascii="Times New Roman" w:hAnsi="Times New Roman" w:cs="Times New Roman"/>
          <w:sz w:val="28"/>
          <w:szCs w:val="28"/>
        </w:rPr>
      </w:pPr>
      <w:r w:rsidRPr="006809CB">
        <w:rPr>
          <w:rFonts w:ascii="Times New Roman" w:hAnsi="Times New Roman" w:cs="Times New Roman"/>
          <w:color w:val="000000"/>
          <w:sz w:val="28"/>
          <w:szCs w:val="28"/>
        </w:rPr>
        <w:t>Повторне відстеження планується здійснити через рік після набрання чинності регуляторним актом</w:t>
      </w:r>
      <w:r w:rsidRPr="006809CB">
        <w:rPr>
          <w:rFonts w:ascii="Times New Roman" w:hAnsi="Times New Roman" w:cs="Times New Roman"/>
          <w:sz w:val="28"/>
          <w:szCs w:val="28"/>
        </w:rPr>
        <w:t>.</w:t>
      </w:r>
    </w:p>
    <w:p w:rsidR="002F518B" w:rsidRPr="006809CB" w:rsidRDefault="002F518B" w:rsidP="002F518B">
      <w:pPr>
        <w:shd w:val="clear" w:color="auto" w:fill="FFFFFF"/>
        <w:spacing w:after="0"/>
        <w:ind w:firstLine="567"/>
        <w:jc w:val="both"/>
        <w:rPr>
          <w:rFonts w:ascii="Times New Roman" w:hAnsi="Times New Roman" w:cs="Times New Roman"/>
          <w:sz w:val="28"/>
          <w:szCs w:val="28"/>
        </w:rPr>
      </w:pPr>
      <w:r w:rsidRPr="006809CB">
        <w:rPr>
          <w:rFonts w:ascii="Times New Roman" w:hAnsi="Times New Roman" w:cs="Times New Roman"/>
          <w:color w:val="000000"/>
          <w:sz w:val="28"/>
          <w:szCs w:val="28"/>
        </w:rPr>
        <w:t>Періодичне відстеження здійснюватиметься раз на три роки, починаючи з дня виконання заходів з повторного відстеження результативності цього акта</w:t>
      </w:r>
      <w:r w:rsidRPr="006809CB">
        <w:rPr>
          <w:rFonts w:ascii="Times New Roman" w:hAnsi="Times New Roman" w:cs="Times New Roman"/>
          <w:sz w:val="28"/>
          <w:szCs w:val="28"/>
        </w:rPr>
        <w:t>.</w:t>
      </w:r>
    </w:p>
    <w:p w:rsidR="00E63F1A" w:rsidRPr="006809CB" w:rsidRDefault="00130B6C" w:rsidP="00B83D18">
      <w:pPr>
        <w:widowControl w:val="0"/>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Відстеження результативності дії регуляторного акта здійснюватиметься Держ</w:t>
      </w:r>
      <w:r w:rsidR="00E63F1A" w:rsidRPr="006809CB">
        <w:rPr>
          <w:rFonts w:ascii="Times New Roman" w:eastAsia="Times New Roman" w:hAnsi="Times New Roman" w:cs="Times New Roman"/>
          <w:sz w:val="28"/>
          <w:szCs w:val="28"/>
        </w:rPr>
        <w:t xml:space="preserve">авним агентством з </w:t>
      </w:r>
      <w:r w:rsidRPr="006809CB">
        <w:rPr>
          <w:rFonts w:ascii="Times New Roman" w:eastAsia="Times New Roman" w:hAnsi="Times New Roman" w:cs="Times New Roman"/>
          <w:sz w:val="28"/>
          <w:szCs w:val="28"/>
        </w:rPr>
        <w:t xml:space="preserve">енергоефективності </w:t>
      </w:r>
      <w:r w:rsidR="00E63F1A" w:rsidRPr="006809CB">
        <w:rPr>
          <w:rFonts w:ascii="Times New Roman" w:eastAsia="Times New Roman" w:hAnsi="Times New Roman" w:cs="Times New Roman"/>
          <w:sz w:val="28"/>
          <w:szCs w:val="28"/>
        </w:rPr>
        <w:t xml:space="preserve">та енергозбереження </w:t>
      </w:r>
      <w:r w:rsidRPr="006809CB">
        <w:rPr>
          <w:rFonts w:ascii="Times New Roman" w:eastAsia="Times New Roman" w:hAnsi="Times New Roman" w:cs="Times New Roman"/>
          <w:sz w:val="28"/>
          <w:szCs w:val="28"/>
        </w:rPr>
        <w:t xml:space="preserve">статистичним методом шляхом аналізу інформації, отриманої від великих суб’єктів господарювання, та офіційної статистичної інформації. </w:t>
      </w:r>
    </w:p>
    <w:p w:rsidR="00E63F1A" w:rsidRPr="006809CB" w:rsidRDefault="00130B6C" w:rsidP="00B83D18">
      <w:pPr>
        <w:widowControl w:val="0"/>
        <w:spacing w:after="0" w:line="240" w:lineRule="auto"/>
        <w:ind w:firstLine="567"/>
        <w:jc w:val="both"/>
        <w:rPr>
          <w:rFonts w:ascii="Times New Roman" w:eastAsia="Times New Roman" w:hAnsi="Times New Roman" w:cs="Times New Roman"/>
          <w:sz w:val="28"/>
          <w:szCs w:val="28"/>
        </w:rPr>
      </w:pPr>
      <w:r w:rsidRPr="006809CB">
        <w:rPr>
          <w:rFonts w:ascii="Times New Roman" w:eastAsia="Times New Roman" w:hAnsi="Times New Roman" w:cs="Times New Roman"/>
          <w:sz w:val="28"/>
          <w:szCs w:val="28"/>
        </w:rPr>
        <w:t xml:space="preserve">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w:t>
      </w:r>
    </w:p>
    <w:p w:rsidR="00E63F1A" w:rsidRPr="006809CB" w:rsidRDefault="00E63F1A" w:rsidP="00B83D18">
      <w:pPr>
        <w:widowControl w:val="0"/>
        <w:spacing w:after="0" w:line="240" w:lineRule="auto"/>
        <w:ind w:firstLine="567"/>
        <w:jc w:val="both"/>
        <w:rPr>
          <w:rFonts w:ascii="Times New Roman" w:eastAsia="Times New Roman" w:hAnsi="Times New Roman" w:cs="Times New Roman"/>
          <w:sz w:val="28"/>
          <w:szCs w:val="28"/>
        </w:rPr>
      </w:pPr>
    </w:p>
    <w:p w:rsidR="00E63F1A" w:rsidRPr="006809CB" w:rsidRDefault="00E63F1A" w:rsidP="00B83D18">
      <w:pPr>
        <w:widowControl w:val="0"/>
        <w:spacing w:after="0" w:line="240" w:lineRule="auto"/>
        <w:ind w:firstLine="567"/>
        <w:jc w:val="both"/>
        <w:rPr>
          <w:rFonts w:ascii="Times New Roman" w:eastAsia="Times New Roman" w:hAnsi="Times New Roman" w:cs="Times New Roman"/>
          <w:sz w:val="28"/>
          <w:szCs w:val="28"/>
        </w:rPr>
      </w:pPr>
    </w:p>
    <w:p w:rsidR="00E63F1A" w:rsidRPr="006809CB"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6809CB">
        <w:rPr>
          <w:rFonts w:ascii="Times New Roman" w:eastAsia="Times New Roman" w:hAnsi="Times New Roman" w:cs="Times New Roman"/>
          <w:b/>
          <w:sz w:val="28"/>
          <w:szCs w:val="28"/>
          <w:highlight w:val="white"/>
        </w:rPr>
        <w:t>Голова Державного агентства</w:t>
      </w:r>
    </w:p>
    <w:p w:rsidR="00E63F1A" w:rsidRPr="006809CB"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6809CB">
        <w:rPr>
          <w:rFonts w:ascii="Times New Roman" w:eastAsia="Times New Roman" w:hAnsi="Times New Roman" w:cs="Times New Roman"/>
          <w:b/>
          <w:sz w:val="28"/>
          <w:szCs w:val="28"/>
          <w:highlight w:val="white"/>
        </w:rPr>
        <w:t xml:space="preserve">з енергоефективності та </w:t>
      </w:r>
    </w:p>
    <w:p w:rsidR="00E63F1A" w:rsidRPr="006809CB"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6809CB">
        <w:rPr>
          <w:rFonts w:ascii="Times New Roman" w:eastAsia="Times New Roman" w:hAnsi="Times New Roman" w:cs="Times New Roman"/>
          <w:b/>
          <w:sz w:val="28"/>
          <w:szCs w:val="28"/>
          <w:highlight w:val="white"/>
        </w:rPr>
        <w:t>енергозбереження України</w:t>
      </w:r>
      <w:r w:rsidRPr="006809CB">
        <w:rPr>
          <w:rFonts w:ascii="Times New Roman" w:eastAsia="Times New Roman" w:hAnsi="Times New Roman" w:cs="Times New Roman"/>
          <w:b/>
          <w:sz w:val="28"/>
          <w:szCs w:val="28"/>
          <w:highlight w:val="white"/>
        </w:rPr>
        <w:tab/>
      </w:r>
      <w:r w:rsidRPr="006809CB">
        <w:rPr>
          <w:rFonts w:ascii="Times New Roman" w:eastAsia="Times New Roman" w:hAnsi="Times New Roman" w:cs="Times New Roman"/>
          <w:b/>
          <w:sz w:val="28"/>
          <w:szCs w:val="28"/>
          <w:highlight w:val="white"/>
        </w:rPr>
        <w:tab/>
        <w:t xml:space="preserve">                                           Валерій БЕЗУС</w:t>
      </w:r>
    </w:p>
    <w:p w:rsidR="00E63F1A" w:rsidRPr="006809CB" w:rsidRDefault="00E63F1A" w:rsidP="00E63F1A">
      <w:pPr>
        <w:tabs>
          <w:tab w:val="left" w:pos="142"/>
        </w:tabs>
        <w:spacing w:after="0" w:line="240" w:lineRule="auto"/>
        <w:rPr>
          <w:rFonts w:ascii="Times New Roman" w:eastAsia="Times New Roman" w:hAnsi="Times New Roman" w:cs="Times New Roman"/>
          <w:b/>
          <w:sz w:val="28"/>
          <w:szCs w:val="28"/>
          <w:highlight w:val="white"/>
        </w:rPr>
      </w:pPr>
      <w:r w:rsidRPr="006809CB">
        <w:rPr>
          <w:rFonts w:ascii="Times New Roman" w:eastAsia="Times New Roman" w:hAnsi="Times New Roman" w:cs="Times New Roman"/>
          <w:b/>
          <w:sz w:val="28"/>
          <w:szCs w:val="28"/>
          <w:highlight w:val="white"/>
        </w:rPr>
        <w:t>___   ___________ 2022 року</w:t>
      </w:r>
    </w:p>
    <w:sectPr w:rsidR="00E63F1A" w:rsidRPr="006809CB" w:rsidSect="00315984">
      <w:headerReference w:type="default" r:id="rId10"/>
      <w:pgSz w:w="11906" w:h="16838"/>
      <w:pgMar w:top="850" w:right="566" w:bottom="850"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57" w:rsidRDefault="00394657" w:rsidP="00315984">
      <w:pPr>
        <w:spacing w:after="0" w:line="240" w:lineRule="auto"/>
      </w:pPr>
      <w:r>
        <w:separator/>
      </w:r>
    </w:p>
  </w:endnote>
  <w:endnote w:type="continuationSeparator" w:id="0">
    <w:p w:rsidR="00394657" w:rsidRDefault="00394657" w:rsidP="0031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57" w:rsidRDefault="00394657" w:rsidP="00315984">
      <w:pPr>
        <w:spacing w:after="0" w:line="240" w:lineRule="auto"/>
      </w:pPr>
      <w:r>
        <w:separator/>
      </w:r>
    </w:p>
  </w:footnote>
  <w:footnote w:type="continuationSeparator" w:id="0">
    <w:p w:rsidR="00394657" w:rsidRDefault="00394657" w:rsidP="00315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05845"/>
      <w:docPartObj>
        <w:docPartGallery w:val="Page Numbers (Top of Page)"/>
        <w:docPartUnique/>
      </w:docPartObj>
    </w:sdtPr>
    <w:sdtEndPr/>
    <w:sdtContent>
      <w:p w:rsidR="0049645A" w:rsidRDefault="0049645A">
        <w:pPr>
          <w:pStyle w:val="afb"/>
          <w:jc w:val="center"/>
        </w:pPr>
        <w:r>
          <w:fldChar w:fldCharType="begin"/>
        </w:r>
        <w:r>
          <w:instrText>PAGE   \* MERGEFORMAT</w:instrText>
        </w:r>
        <w:r>
          <w:fldChar w:fldCharType="separate"/>
        </w:r>
        <w:r w:rsidR="006809CB">
          <w:rPr>
            <w:noProof/>
          </w:rPr>
          <w:t>14</w:t>
        </w:r>
        <w:r>
          <w:fldChar w:fldCharType="end"/>
        </w:r>
      </w:p>
    </w:sdtContent>
  </w:sdt>
  <w:p w:rsidR="0049645A" w:rsidRDefault="0049645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874"/>
    <w:multiLevelType w:val="multilevel"/>
    <w:tmpl w:val="0176609E"/>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D76639C"/>
    <w:multiLevelType w:val="hybridMultilevel"/>
    <w:tmpl w:val="E9309012"/>
    <w:lvl w:ilvl="0" w:tplc="ECB44C8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8A17FA"/>
    <w:multiLevelType w:val="hybridMultilevel"/>
    <w:tmpl w:val="7CFC775E"/>
    <w:lvl w:ilvl="0" w:tplc="768AE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ACC5D3E"/>
    <w:multiLevelType w:val="hybridMultilevel"/>
    <w:tmpl w:val="12746050"/>
    <w:lvl w:ilvl="0" w:tplc="97807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5623E06"/>
    <w:multiLevelType w:val="multilevel"/>
    <w:tmpl w:val="3BC6ADA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D7734C9"/>
    <w:multiLevelType w:val="multilevel"/>
    <w:tmpl w:val="86C0E54A"/>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78907868"/>
    <w:multiLevelType w:val="hybridMultilevel"/>
    <w:tmpl w:val="A93CE60A"/>
    <w:lvl w:ilvl="0" w:tplc="959AB18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5CA2"/>
    <w:rsid w:val="00017E4C"/>
    <w:rsid w:val="0002255B"/>
    <w:rsid w:val="0002516F"/>
    <w:rsid w:val="0002594D"/>
    <w:rsid w:val="000543D9"/>
    <w:rsid w:val="0009099A"/>
    <w:rsid w:val="00095470"/>
    <w:rsid w:val="000B3E20"/>
    <w:rsid w:val="000C71F0"/>
    <w:rsid w:val="00130B6C"/>
    <w:rsid w:val="001630B2"/>
    <w:rsid w:val="00164BB0"/>
    <w:rsid w:val="00181F5A"/>
    <w:rsid w:val="001825E0"/>
    <w:rsid w:val="001A4D5A"/>
    <w:rsid w:val="001C3D0B"/>
    <w:rsid w:val="001C79FB"/>
    <w:rsid w:val="001E1FE8"/>
    <w:rsid w:val="00236245"/>
    <w:rsid w:val="00236FC8"/>
    <w:rsid w:val="002535A2"/>
    <w:rsid w:val="002535B8"/>
    <w:rsid w:val="0026052A"/>
    <w:rsid w:val="002A2D42"/>
    <w:rsid w:val="002B135E"/>
    <w:rsid w:val="002D2E0E"/>
    <w:rsid w:val="002E1141"/>
    <w:rsid w:val="002F518B"/>
    <w:rsid w:val="002F64D1"/>
    <w:rsid w:val="00315984"/>
    <w:rsid w:val="00334A20"/>
    <w:rsid w:val="0037239B"/>
    <w:rsid w:val="00394657"/>
    <w:rsid w:val="003C4FBA"/>
    <w:rsid w:val="003E2D7F"/>
    <w:rsid w:val="00412835"/>
    <w:rsid w:val="004259F8"/>
    <w:rsid w:val="00437EA9"/>
    <w:rsid w:val="004473D8"/>
    <w:rsid w:val="00467B2E"/>
    <w:rsid w:val="004705F0"/>
    <w:rsid w:val="004873F4"/>
    <w:rsid w:val="0049645A"/>
    <w:rsid w:val="004A0072"/>
    <w:rsid w:val="004B5151"/>
    <w:rsid w:val="004D1600"/>
    <w:rsid w:val="00533925"/>
    <w:rsid w:val="005347BF"/>
    <w:rsid w:val="00535EF0"/>
    <w:rsid w:val="00542968"/>
    <w:rsid w:val="005565BB"/>
    <w:rsid w:val="005672EE"/>
    <w:rsid w:val="00595C5B"/>
    <w:rsid w:val="005A1E11"/>
    <w:rsid w:val="005B7504"/>
    <w:rsid w:val="005C0C9B"/>
    <w:rsid w:val="005C55F2"/>
    <w:rsid w:val="005F1E06"/>
    <w:rsid w:val="00602D71"/>
    <w:rsid w:val="006133F9"/>
    <w:rsid w:val="006809CB"/>
    <w:rsid w:val="00682FAC"/>
    <w:rsid w:val="006832AD"/>
    <w:rsid w:val="006D2F68"/>
    <w:rsid w:val="00702258"/>
    <w:rsid w:val="0074598C"/>
    <w:rsid w:val="00775C98"/>
    <w:rsid w:val="007A7C97"/>
    <w:rsid w:val="007B25A0"/>
    <w:rsid w:val="007D02AC"/>
    <w:rsid w:val="007D120C"/>
    <w:rsid w:val="007F5EFA"/>
    <w:rsid w:val="00802D02"/>
    <w:rsid w:val="00844C99"/>
    <w:rsid w:val="008456E1"/>
    <w:rsid w:val="00864626"/>
    <w:rsid w:val="008A5385"/>
    <w:rsid w:val="008B045E"/>
    <w:rsid w:val="008B4931"/>
    <w:rsid w:val="008D6A4A"/>
    <w:rsid w:val="008E3574"/>
    <w:rsid w:val="00927C0B"/>
    <w:rsid w:val="009321AC"/>
    <w:rsid w:val="00941E0F"/>
    <w:rsid w:val="00946B7A"/>
    <w:rsid w:val="00947BAA"/>
    <w:rsid w:val="00963290"/>
    <w:rsid w:val="00970F37"/>
    <w:rsid w:val="0098060E"/>
    <w:rsid w:val="009E01BD"/>
    <w:rsid w:val="009E225D"/>
    <w:rsid w:val="009F492F"/>
    <w:rsid w:val="00A05CA2"/>
    <w:rsid w:val="00A2262F"/>
    <w:rsid w:val="00A378AB"/>
    <w:rsid w:val="00A561CF"/>
    <w:rsid w:val="00A61E16"/>
    <w:rsid w:val="00A63860"/>
    <w:rsid w:val="00AC0AD1"/>
    <w:rsid w:val="00AF56AA"/>
    <w:rsid w:val="00B043C3"/>
    <w:rsid w:val="00B06AD9"/>
    <w:rsid w:val="00B24C38"/>
    <w:rsid w:val="00B44261"/>
    <w:rsid w:val="00B4706B"/>
    <w:rsid w:val="00B50A8F"/>
    <w:rsid w:val="00B80EDD"/>
    <w:rsid w:val="00B83D18"/>
    <w:rsid w:val="00B96FB2"/>
    <w:rsid w:val="00BF0EDC"/>
    <w:rsid w:val="00C16796"/>
    <w:rsid w:val="00C441FA"/>
    <w:rsid w:val="00C648B6"/>
    <w:rsid w:val="00C8375D"/>
    <w:rsid w:val="00C92FD8"/>
    <w:rsid w:val="00C92FE1"/>
    <w:rsid w:val="00CB5407"/>
    <w:rsid w:val="00CF0484"/>
    <w:rsid w:val="00D04776"/>
    <w:rsid w:val="00D21ECA"/>
    <w:rsid w:val="00D345CD"/>
    <w:rsid w:val="00D37FC0"/>
    <w:rsid w:val="00D500BC"/>
    <w:rsid w:val="00D965E5"/>
    <w:rsid w:val="00DA3150"/>
    <w:rsid w:val="00DE3761"/>
    <w:rsid w:val="00E11B83"/>
    <w:rsid w:val="00E523E8"/>
    <w:rsid w:val="00E525AB"/>
    <w:rsid w:val="00E61D45"/>
    <w:rsid w:val="00E63F1A"/>
    <w:rsid w:val="00E83D63"/>
    <w:rsid w:val="00EB2CB5"/>
    <w:rsid w:val="00EF300F"/>
    <w:rsid w:val="00F530C7"/>
    <w:rsid w:val="00F579B9"/>
    <w:rsid w:val="00F7286D"/>
    <w:rsid w:val="00F75D4B"/>
    <w:rsid w:val="00F8174A"/>
    <w:rsid w:val="00FD024A"/>
    <w:rsid w:val="00FD10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paragraph" w:styleId="ae">
    <w:name w:val="Balloon Text"/>
    <w:basedOn w:val="a"/>
    <w:link w:val="af"/>
    <w:uiPriority w:val="99"/>
    <w:semiHidden/>
    <w:unhideWhenUsed/>
    <w:rsid w:val="003274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7476"/>
    <w:rPr>
      <w:rFonts w:ascii="Tahoma" w:hAnsi="Tahoma" w:cs="Tahoma"/>
      <w:sz w:val="16"/>
      <w:szCs w:val="16"/>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List Paragraph"/>
    <w:basedOn w:val="a"/>
    <w:uiPriority w:val="34"/>
    <w:qFormat/>
    <w:rsid w:val="00FD1011"/>
    <w:pPr>
      <w:ind w:left="720"/>
      <w:contextualSpacing/>
    </w:pPr>
  </w:style>
  <w:style w:type="paragraph" w:styleId="afa">
    <w:name w:val="Normal (Web)"/>
    <w:basedOn w:val="a"/>
    <w:uiPriority w:val="99"/>
    <w:unhideWhenUsed/>
    <w:rsid w:val="00C8375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b">
    <w:name w:val="header"/>
    <w:basedOn w:val="a"/>
    <w:link w:val="afc"/>
    <w:uiPriority w:val="99"/>
    <w:unhideWhenUsed/>
    <w:rsid w:val="0031598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15984"/>
  </w:style>
  <w:style w:type="paragraph" w:styleId="afd">
    <w:name w:val="footer"/>
    <w:basedOn w:val="a"/>
    <w:link w:val="afe"/>
    <w:uiPriority w:val="99"/>
    <w:unhideWhenUsed/>
    <w:rsid w:val="0031598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1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paragraph" w:styleId="ae">
    <w:name w:val="Balloon Text"/>
    <w:basedOn w:val="a"/>
    <w:link w:val="af"/>
    <w:uiPriority w:val="99"/>
    <w:semiHidden/>
    <w:unhideWhenUsed/>
    <w:rsid w:val="003274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7476"/>
    <w:rPr>
      <w:rFonts w:ascii="Tahoma" w:hAnsi="Tahoma" w:cs="Tahoma"/>
      <w:sz w:val="16"/>
      <w:szCs w:val="16"/>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List Paragraph"/>
    <w:basedOn w:val="a"/>
    <w:uiPriority w:val="34"/>
    <w:qFormat/>
    <w:rsid w:val="00FD1011"/>
    <w:pPr>
      <w:ind w:left="720"/>
      <w:contextualSpacing/>
    </w:pPr>
  </w:style>
  <w:style w:type="paragraph" w:styleId="afa">
    <w:name w:val="Normal (Web)"/>
    <w:basedOn w:val="a"/>
    <w:uiPriority w:val="99"/>
    <w:unhideWhenUsed/>
    <w:rsid w:val="00C8375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b">
    <w:name w:val="header"/>
    <w:basedOn w:val="a"/>
    <w:link w:val="afc"/>
    <w:uiPriority w:val="99"/>
    <w:unhideWhenUsed/>
    <w:rsid w:val="0031598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315984"/>
  </w:style>
  <w:style w:type="paragraph" w:styleId="afd">
    <w:name w:val="footer"/>
    <w:basedOn w:val="a"/>
    <w:link w:val="afe"/>
    <w:uiPriority w:val="99"/>
    <w:unhideWhenUsed/>
    <w:rsid w:val="0031598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31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8709">
      <w:bodyDiv w:val="1"/>
      <w:marLeft w:val="0"/>
      <w:marRight w:val="0"/>
      <w:marTop w:val="0"/>
      <w:marBottom w:val="0"/>
      <w:divBdr>
        <w:top w:val="none" w:sz="0" w:space="0" w:color="auto"/>
        <w:left w:val="none" w:sz="0" w:space="0" w:color="auto"/>
        <w:bottom w:val="none" w:sz="0" w:space="0" w:color="auto"/>
        <w:right w:val="none" w:sz="0" w:space="0" w:color="auto"/>
      </w:divBdr>
    </w:div>
    <w:div w:id="316038800">
      <w:bodyDiv w:val="1"/>
      <w:marLeft w:val="0"/>
      <w:marRight w:val="0"/>
      <w:marTop w:val="0"/>
      <w:marBottom w:val="0"/>
      <w:divBdr>
        <w:top w:val="none" w:sz="0" w:space="0" w:color="auto"/>
        <w:left w:val="none" w:sz="0" w:space="0" w:color="auto"/>
        <w:bottom w:val="none" w:sz="0" w:space="0" w:color="auto"/>
        <w:right w:val="none" w:sz="0" w:space="0" w:color="auto"/>
      </w:divBdr>
      <w:divsChild>
        <w:div w:id="1503357318">
          <w:marLeft w:val="355"/>
          <w:marRight w:val="0"/>
          <w:marTop w:val="0"/>
          <w:marBottom w:val="0"/>
          <w:divBdr>
            <w:top w:val="none" w:sz="0" w:space="0" w:color="auto"/>
            <w:left w:val="none" w:sz="0" w:space="0" w:color="auto"/>
            <w:bottom w:val="none" w:sz="0" w:space="0" w:color="auto"/>
            <w:right w:val="none" w:sz="0" w:space="0" w:color="auto"/>
          </w:divBdr>
        </w:div>
        <w:div w:id="583297293">
          <w:marLeft w:val="355"/>
          <w:marRight w:val="0"/>
          <w:marTop w:val="0"/>
          <w:marBottom w:val="0"/>
          <w:divBdr>
            <w:top w:val="none" w:sz="0" w:space="0" w:color="auto"/>
            <w:left w:val="none" w:sz="0" w:space="0" w:color="auto"/>
            <w:bottom w:val="none" w:sz="0" w:space="0" w:color="auto"/>
            <w:right w:val="none" w:sz="0" w:space="0" w:color="auto"/>
          </w:divBdr>
        </w:div>
        <w:div w:id="1464537378">
          <w:marLeft w:val="431"/>
          <w:marRight w:val="0"/>
          <w:marTop w:val="0"/>
          <w:marBottom w:val="0"/>
          <w:divBdr>
            <w:top w:val="none" w:sz="0" w:space="0" w:color="auto"/>
            <w:left w:val="none" w:sz="0" w:space="0" w:color="auto"/>
            <w:bottom w:val="none" w:sz="0" w:space="0" w:color="auto"/>
            <w:right w:val="none" w:sz="0" w:space="0" w:color="auto"/>
          </w:divBdr>
        </w:div>
        <w:div w:id="629894962">
          <w:marLeft w:val="476"/>
          <w:marRight w:val="0"/>
          <w:marTop w:val="0"/>
          <w:marBottom w:val="0"/>
          <w:divBdr>
            <w:top w:val="none" w:sz="0" w:space="0" w:color="auto"/>
            <w:left w:val="none" w:sz="0" w:space="0" w:color="auto"/>
            <w:bottom w:val="none" w:sz="0" w:space="0" w:color="auto"/>
            <w:right w:val="none" w:sz="0" w:space="0" w:color="auto"/>
          </w:divBdr>
        </w:div>
        <w:div w:id="2007515930">
          <w:marLeft w:val="418"/>
          <w:marRight w:val="0"/>
          <w:marTop w:val="0"/>
          <w:marBottom w:val="0"/>
          <w:divBdr>
            <w:top w:val="none" w:sz="0" w:space="0" w:color="auto"/>
            <w:left w:val="none" w:sz="0" w:space="0" w:color="auto"/>
            <w:bottom w:val="none" w:sz="0" w:space="0" w:color="auto"/>
            <w:right w:val="none" w:sz="0" w:space="0" w:color="auto"/>
          </w:divBdr>
        </w:div>
        <w:div w:id="833767661">
          <w:marLeft w:val="521"/>
          <w:marRight w:val="0"/>
          <w:marTop w:val="0"/>
          <w:marBottom w:val="0"/>
          <w:divBdr>
            <w:top w:val="none" w:sz="0" w:space="0" w:color="auto"/>
            <w:left w:val="none" w:sz="0" w:space="0" w:color="auto"/>
            <w:bottom w:val="none" w:sz="0" w:space="0" w:color="auto"/>
            <w:right w:val="none" w:sz="0" w:space="0" w:color="auto"/>
          </w:divBdr>
        </w:div>
        <w:div w:id="513962455">
          <w:marLeft w:val="506"/>
          <w:marRight w:val="0"/>
          <w:marTop w:val="0"/>
          <w:marBottom w:val="0"/>
          <w:divBdr>
            <w:top w:val="none" w:sz="0" w:space="0" w:color="auto"/>
            <w:left w:val="none" w:sz="0" w:space="0" w:color="auto"/>
            <w:bottom w:val="none" w:sz="0" w:space="0" w:color="auto"/>
            <w:right w:val="none" w:sz="0" w:space="0" w:color="auto"/>
          </w:divBdr>
        </w:div>
        <w:div w:id="129175467">
          <w:marLeft w:val="536"/>
          <w:marRight w:val="0"/>
          <w:marTop w:val="0"/>
          <w:marBottom w:val="0"/>
          <w:divBdr>
            <w:top w:val="none" w:sz="0" w:space="0" w:color="auto"/>
            <w:left w:val="none" w:sz="0" w:space="0" w:color="auto"/>
            <w:bottom w:val="none" w:sz="0" w:space="0" w:color="auto"/>
            <w:right w:val="none" w:sz="0" w:space="0" w:color="auto"/>
          </w:divBdr>
        </w:div>
      </w:divsChild>
    </w:div>
    <w:div w:id="386294899">
      <w:bodyDiv w:val="1"/>
      <w:marLeft w:val="0"/>
      <w:marRight w:val="0"/>
      <w:marTop w:val="0"/>
      <w:marBottom w:val="0"/>
      <w:divBdr>
        <w:top w:val="none" w:sz="0" w:space="0" w:color="auto"/>
        <w:left w:val="none" w:sz="0" w:space="0" w:color="auto"/>
        <w:bottom w:val="none" w:sz="0" w:space="0" w:color="auto"/>
        <w:right w:val="none" w:sz="0" w:space="0" w:color="auto"/>
      </w:divBdr>
    </w:div>
    <w:div w:id="647900986">
      <w:bodyDiv w:val="1"/>
      <w:marLeft w:val="0"/>
      <w:marRight w:val="0"/>
      <w:marTop w:val="0"/>
      <w:marBottom w:val="0"/>
      <w:divBdr>
        <w:top w:val="none" w:sz="0" w:space="0" w:color="auto"/>
        <w:left w:val="none" w:sz="0" w:space="0" w:color="auto"/>
        <w:bottom w:val="none" w:sz="0" w:space="0" w:color="auto"/>
        <w:right w:val="none" w:sz="0" w:space="0" w:color="auto"/>
      </w:divBdr>
    </w:div>
    <w:div w:id="670064679">
      <w:bodyDiv w:val="1"/>
      <w:marLeft w:val="0"/>
      <w:marRight w:val="0"/>
      <w:marTop w:val="0"/>
      <w:marBottom w:val="0"/>
      <w:divBdr>
        <w:top w:val="none" w:sz="0" w:space="0" w:color="auto"/>
        <w:left w:val="none" w:sz="0" w:space="0" w:color="auto"/>
        <w:bottom w:val="none" w:sz="0" w:space="0" w:color="auto"/>
        <w:right w:val="none" w:sz="0" w:space="0" w:color="auto"/>
      </w:divBdr>
    </w:div>
    <w:div w:id="750351550">
      <w:bodyDiv w:val="1"/>
      <w:marLeft w:val="0"/>
      <w:marRight w:val="0"/>
      <w:marTop w:val="0"/>
      <w:marBottom w:val="0"/>
      <w:divBdr>
        <w:top w:val="none" w:sz="0" w:space="0" w:color="auto"/>
        <w:left w:val="none" w:sz="0" w:space="0" w:color="auto"/>
        <w:bottom w:val="none" w:sz="0" w:space="0" w:color="auto"/>
        <w:right w:val="none" w:sz="0" w:space="0" w:color="auto"/>
      </w:divBdr>
    </w:div>
    <w:div w:id="818767252">
      <w:bodyDiv w:val="1"/>
      <w:marLeft w:val="0"/>
      <w:marRight w:val="0"/>
      <w:marTop w:val="0"/>
      <w:marBottom w:val="0"/>
      <w:divBdr>
        <w:top w:val="none" w:sz="0" w:space="0" w:color="auto"/>
        <w:left w:val="none" w:sz="0" w:space="0" w:color="auto"/>
        <w:bottom w:val="none" w:sz="0" w:space="0" w:color="auto"/>
        <w:right w:val="none" w:sz="0" w:space="0" w:color="auto"/>
      </w:divBdr>
      <w:divsChild>
        <w:div w:id="1606182744">
          <w:marLeft w:val="355"/>
          <w:marRight w:val="0"/>
          <w:marTop w:val="0"/>
          <w:marBottom w:val="0"/>
          <w:divBdr>
            <w:top w:val="none" w:sz="0" w:space="0" w:color="auto"/>
            <w:left w:val="none" w:sz="0" w:space="0" w:color="auto"/>
            <w:bottom w:val="none" w:sz="0" w:space="0" w:color="auto"/>
            <w:right w:val="none" w:sz="0" w:space="0" w:color="auto"/>
          </w:divBdr>
        </w:div>
        <w:div w:id="1619137703">
          <w:marLeft w:val="355"/>
          <w:marRight w:val="0"/>
          <w:marTop w:val="0"/>
          <w:marBottom w:val="0"/>
          <w:divBdr>
            <w:top w:val="none" w:sz="0" w:space="0" w:color="auto"/>
            <w:left w:val="none" w:sz="0" w:space="0" w:color="auto"/>
            <w:bottom w:val="none" w:sz="0" w:space="0" w:color="auto"/>
            <w:right w:val="none" w:sz="0" w:space="0" w:color="auto"/>
          </w:divBdr>
        </w:div>
        <w:div w:id="784540425">
          <w:marLeft w:val="431"/>
          <w:marRight w:val="0"/>
          <w:marTop w:val="0"/>
          <w:marBottom w:val="0"/>
          <w:divBdr>
            <w:top w:val="none" w:sz="0" w:space="0" w:color="auto"/>
            <w:left w:val="none" w:sz="0" w:space="0" w:color="auto"/>
            <w:bottom w:val="none" w:sz="0" w:space="0" w:color="auto"/>
            <w:right w:val="none" w:sz="0" w:space="0" w:color="auto"/>
          </w:divBdr>
        </w:div>
        <w:div w:id="1632638669">
          <w:marLeft w:val="476"/>
          <w:marRight w:val="0"/>
          <w:marTop w:val="0"/>
          <w:marBottom w:val="0"/>
          <w:divBdr>
            <w:top w:val="none" w:sz="0" w:space="0" w:color="auto"/>
            <w:left w:val="none" w:sz="0" w:space="0" w:color="auto"/>
            <w:bottom w:val="none" w:sz="0" w:space="0" w:color="auto"/>
            <w:right w:val="none" w:sz="0" w:space="0" w:color="auto"/>
          </w:divBdr>
        </w:div>
        <w:div w:id="1758476457">
          <w:marLeft w:val="418"/>
          <w:marRight w:val="0"/>
          <w:marTop w:val="0"/>
          <w:marBottom w:val="0"/>
          <w:divBdr>
            <w:top w:val="none" w:sz="0" w:space="0" w:color="auto"/>
            <w:left w:val="none" w:sz="0" w:space="0" w:color="auto"/>
            <w:bottom w:val="none" w:sz="0" w:space="0" w:color="auto"/>
            <w:right w:val="none" w:sz="0" w:space="0" w:color="auto"/>
          </w:divBdr>
        </w:div>
        <w:div w:id="1413695912">
          <w:marLeft w:val="521"/>
          <w:marRight w:val="0"/>
          <w:marTop w:val="0"/>
          <w:marBottom w:val="0"/>
          <w:divBdr>
            <w:top w:val="none" w:sz="0" w:space="0" w:color="auto"/>
            <w:left w:val="none" w:sz="0" w:space="0" w:color="auto"/>
            <w:bottom w:val="none" w:sz="0" w:space="0" w:color="auto"/>
            <w:right w:val="none" w:sz="0" w:space="0" w:color="auto"/>
          </w:divBdr>
        </w:div>
        <w:div w:id="1763605986">
          <w:marLeft w:val="506"/>
          <w:marRight w:val="0"/>
          <w:marTop w:val="0"/>
          <w:marBottom w:val="0"/>
          <w:divBdr>
            <w:top w:val="none" w:sz="0" w:space="0" w:color="auto"/>
            <w:left w:val="none" w:sz="0" w:space="0" w:color="auto"/>
            <w:bottom w:val="none" w:sz="0" w:space="0" w:color="auto"/>
            <w:right w:val="none" w:sz="0" w:space="0" w:color="auto"/>
          </w:divBdr>
        </w:div>
        <w:div w:id="1311013798">
          <w:marLeft w:val="536"/>
          <w:marRight w:val="0"/>
          <w:marTop w:val="0"/>
          <w:marBottom w:val="0"/>
          <w:divBdr>
            <w:top w:val="none" w:sz="0" w:space="0" w:color="auto"/>
            <w:left w:val="none" w:sz="0" w:space="0" w:color="auto"/>
            <w:bottom w:val="none" w:sz="0" w:space="0" w:color="auto"/>
            <w:right w:val="none" w:sz="0" w:space="0" w:color="auto"/>
          </w:divBdr>
        </w:div>
      </w:divsChild>
    </w:div>
    <w:div w:id="901478186">
      <w:bodyDiv w:val="1"/>
      <w:marLeft w:val="0"/>
      <w:marRight w:val="0"/>
      <w:marTop w:val="0"/>
      <w:marBottom w:val="0"/>
      <w:divBdr>
        <w:top w:val="none" w:sz="0" w:space="0" w:color="auto"/>
        <w:left w:val="none" w:sz="0" w:space="0" w:color="auto"/>
        <w:bottom w:val="none" w:sz="0" w:space="0" w:color="auto"/>
        <w:right w:val="none" w:sz="0" w:space="0" w:color="auto"/>
      </w:divBdr>
      <w:divsChild>
        <w:div w:id="528496855">
          <w:marLeft w:val="203"/>
          <w:marRight w:val="0"/>
          <w:marTop w:val="0"/>
          <w:marBottom w:val="0"/>
          <w:divBdr>
            <w:top w:val="none" w:sz="0" w:space="0" w:color="auto"/>
            <w:left w:val="none" w:sz="0" w:space="0" w:color="auto"/>
            <w:bottom w:val="none" w:sz="0" w:space="0" w:color="auto"/>
            <w:right w:val="none" w:sz="0" w:space="0" w:color="auto"/>
          </w:divBdr>
        </w:div>
      </w:divsChild>
    </w:div>
    <w:div w:id="1024481443">
      <w:bodyDiv w:val="1"/>
      <w:marLeft w:val="0"/>
      <w:marRight w:val="0"/>
      <w:marTop w:val="0"/>
      <w:marBottom w:val="0"/>
      <w:divBdr>
        <w:top w:val="none" w:sz="0" w:space="0" w:color="auto"/>
        <w:left w:val="none" w:sz="0" w:space="0" w:color="auto"/>
        <w:bottom w:val="none" w:sz="0" w:space="0" w:color="auto"/>
        <w:right w:val="none" w:sz="0" w:space="0" w:color="auto"/>
      </w:divBdr>
    </w:div>
    <w:div w:id="1647396595">
      <w:bodyDiv w:val="1"/>
      <w:marLeft w:val="0"/>
      <w:marRight w:val="0"/>
      <w:marTop w:val="0"/>
      <w:marBottom w:val="0"/>
      <w:divBdr>
        <w:top w:val="none" w:sz="0" w:space="0" w:color="auto"/>
        <w:left w:val="none" w:sz="0" w:space="0" w:color="auto"/>
        <w:bottom w:val="none" w:sz="0" w:space="0" w:color="auto"/>
        <w:right w:val="none" w:sz="0" w:space="0" w:color="auto"/>
      </w:divBdr>
      <w:divsChild>
        <w:div w:id="107623129">
          <w:marLeft w:val="355"/>
          <w:marRight w:val="0"/>
          <w:marTop w:val="0"/>
          <w:marBottom w:val="0"/>
          <w:divBdr>
            <w:top w:val="none" w:sz="0" w:space="0" w:color="auto"/>
            <w:left w:val="none" w:sz="0" w:space="0" w:color="auto"/>
            <w:bottom w:val="none" w:sz="0" w:space="0" w:color="auto"/>
            <w:right w:val="none" w:sz="0" w:space="0" w:color="auto"/>
          </w:divBdr>
        </w:div>
        <w:div w:id="60178817">
          <w:marLeft w:val="355"/>
          <w:marRight w:val="0"/>
          <w:marTop w:val="0"/>
          <w:marBottom w:val="0"/>
          <w:divBdr>
            <w:top w:val="none" w:sz="0" w:space="0" w:color="auto"/>
            <w:left w:val="none" w:sz="0" w:space="0" w:color="auto"/>
            <w:bottom w:val="none" w:sz="0" w:space="0" w:color="auto"/>
            <w:right w:val="none" w:sz="0" w:space="0" w:color="auto"/>
          </w:divBdr>
        </w:div>
        <w:div w:id="418722956">
          <w:marLeft w:val="431"/>
          <w:marRight w:val="0"/>
          <w:marTop w:val="0"/>
          <w:marBottom w:val="0"/>
          <w:divBdr>
            <w:top w:val="none" w:sz="0" w:space="0" w:color="auto"/>
            <w:left w:val="none" w:sz="0" w:space="0" w:color="auto"/>
            <w:bottom w:val="none" w:sz="0" w:space="0" w:color="auto"/>
            <w:right w:val="none" w:sz="0" w:space="0" w:color="auto"/>
          </w:divBdr>
        </w:div>
        <w:div w:id="386802789">
          <w:marLeft w:val="476"/>
          <w:marRight w:val="0"/>
          <w:marTop w:val="0"/>
          <w:marBottom w:val="0"/>
          <w:divBdr>
            <w:top w:val="none" w:sz="0" w:space="0" w:color="auto"/>
            <w:left w:val="none" w:sz="0" w:space="0" w:color="auto"/>
            <w:bottom w:val="none" w:sz="0" w:space="0" w:color="auto"/>
            <w:right w:val="none" w:sz="0" w:space="0" w:color="auto"/>
          </w:divBdr>
        </w:div>
        <w:div w:id="575241128">
          <w:marLeft w:val="418"/>
          <w:marRight w:val="0"/>
          <w:marTop w:val="0"/>
          <w:marBottom w:val="0"/>
          <w:divBdr>
            <w:top w:val="none" w:sz="0" w:space="0" w:color="auto"/>
            <w:left w:val="none" w:sz="0" w:space="0" w:color="auto"/>
            <w:bottom w:val="none" w:sz="0" w:space="0" w:color="auto"/>
            <w:right w:val="none" w:sz="0" w:space="0" w:color="auto"/>
          </w:divBdr>
        </w:div>
        <w:div w:id="2031834189">
          <w:marLeft w:val="521"/>
          <w:marRight w:val="0"/>
          <w:marTop w:val="0"/>
          <w:marBottom w:val="0"/>
          <w:divBdr>
            <w:top w:val="none" w:sz="0" w:space="0" w:color="auto"/>
            <w:left w:val="none" w:sz="0" w:space="0" w:color="auto"/>
            <w:bottom w:val="none" w:sz="0" w:space="0" w:color="auto"/>
            <w:right w:val="none" w:sz="0" w:space="0" w:color="auto"/>
          </w:divBdr>
        </w:div>
        <w:div w:id="785857065">
          <w:marLeft w:val="506"/>
          <w:marRight w:val="0"/>
          <w:marTop w:val="0"/>
          <w:marBottom w:val="0"/>
          <w:divBdr>
            <w:top w:val="none" w:sz="0" w:space="0" w:color="auto"/>
            <w:left w:val="none" w:sz="0" w:space="0" w:color="auto"/>
            <w:bottom w:val="none" w:sz="0" w:space="0" w:color="auto"/>
            <w:right w:val="none" w:sz="0" w:space="0" w:color="auto"/>
          </w:divBdr>
        </w:div>
        <w:div w:id="1490514618">
          <w:marLeft w:val="536"/>
          <w:marRight w:val="0"/>
          <w:marTop w:val="0"/>
          <w:marBottom w:val="0"/>
          <w:divBdr>
            <w:top w:val="none" w:sz="0" w:space="0" w:color="auto"/>
            <w:left w:val="none" w:sz="0" w:space="0" w:color="auto"/>
            <w:bottom w:val="none" w:sz="0" w:space="0" w:color="auto"/>
            <w:right w:val="none" w:sz="0" w:space="0" w:color="auto"/>
          </w:divBdr>
        </w:div>
      </w:divsChild>
    </w:div>
    <w:div w:id="212207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krstat.gov.ua/operativ/menu/menu_u/sze_20.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C3NKSh1483w7kCXUGbx1urR5A==">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14</Pages>
  <Words>14206</Words>
  <Characters>8098</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Kalynovska</dc:creator>
  <cp:lastModifiedBy>Андрей Шиян</cp:lastModifiedBy>
  <cp:revision>113</cp:revision>
  <dcterms:created xsi:type="dcterms:W3CDTF">2022-11-28T12:43:00Z</dcterms:created>
  <dcterms:modified xsi:type="dcterms:W3CDTF">2022-12-05T06:41:00Z</dcterms:modified>
</cp:coreProperties>
</file>