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D8" w:rsidRPr="00820810" w:rsidRDefault="00FA5BD8" w:rsidP="00FA5BD8">
      <w:pPr>
        <w:spacing w:after="0"/>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АНАЛІЗ РЕГУЛЯТОРНОГО ВПЛИВУ</w:t>
      </w:r>
    </w:p>
    <w:p w:rsidR="00FA5BD8" w:rsidRPr="00820810" w:rsidRDefault="00FA5BD8" w:rsidP="00FA5BD8">
      <w:pPr>
        <w:spacing w:after="0"/>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до про</w:t>
      </w:r>
      <w:r w:rsidR="00580083" w:rsidRPr="00820810">
        <w:rPr>
          <w:rFonts w:ascii="Times New Roman" w:hAnsi="Times New Roman" w:cs="Times New Roman"/>
          <w:b/>
          <w:sz w:val="26"/>
          <w:szCs w:val="26"/>
          <w:lang w:val="uk-UA"/>
        </w:rPr>
        <w:t>е</w:t>
      </w:r>
      <w:r w:rsidRPr="00820810">
        <w:rPr>
          <w:rFonts w:ascii="Times New Roman" w:hAnsi="Times New Roman" w:cs="Times New Roman"/>
          <w:b/>
          <w:sz w:val="26"/>
          <w:szCs w:val="26"/>
          <w:lang w:val="uk-UA"/>
        </w:rPr>
        <w:t xml:space="preserve">кту постанови Кабінету Міністрів України «Про затвердження Технічного регламенту щодо вимог до екодизайну для </w:t>
      </w:r>
      <w:r w:rsidR="008E49E2" w:rsidRPr="00820810">
        <w:rPr>
          <w:rFonts w:ascii="Times New Roman" w:hAnsi="Times New Roman" w:cs="Times New Roman"/>
          <w:b/>
          <w:sz w:val="26"/>
          <w:szCs w:val="26"/>
          <w:lang w:val="uk-UA"/>
        </w:rPr>
        <w:t>побутових посудомийних машин</w:t>
      </w:r>
      <w:r w:rsidRPr="00820810">
        <w:rPr>
          <w:rFonts w:ascii="Times New Roman" w:hAnsi="Times New Roman" w:cs="Times New Roman"/>
          <w:b/>
          <w:sz w:val="26"/>
          <w:szCs w:val="26"/>
          <w:lang w:val="uk-UA"/>
        </w:rPr>
        <w:t>»</w:t>
      </w:r>
    </w:p>
    <w:p w:rsidR="00795962" w:rsidRPr="00820810" w:rsidRDefault="00795962" w:rsidP="006C7029">
      <w:pPr>
        <w:ind w:firstLine="720"/>
        <w:contextualSpacing/>
        <w:jc w:val="center"/>
        <w:rPr>
          <w:rFonts w:ascii="Times New Roman" w:hAnsi="Times New Roman" w:cs="Times New Roman"/>
          <w:b/>
          <w:sz w:val="26"/>
          <w:szCs w:val="26"/>
          <w:lang w:val="uk-UA"/>
        </w:rPr>
      </w:pPr>
    </w:p>
    <w:p w:rsidR="00FA5BD8" w:rsidRPr="00820810" w:rsidRDefault="00FA5BD8" w:rsidP="00FA5BD8">
      <w:pPr>
        <w:spacing w:after="120"/>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І. Визначення проблеми</w:t>
      </w:r>
    </w:p>
    <w:p w:rsidR="00FA5BD8" w:rsidRPr="00820810" w:rsidRDefault="00FA5BD8" w:rsidP="00580083">
      <w:pPr>
        <w:pStyle w:val="aa"/>
        <w:spacing w:after="0"/>
        <w:ind w:left="0" w:firstLine="567"/>
        <w:jc w:val="both"/>
        <w:rPr>
          <w:sz w:val="26"/>
          <w:szCs w:val="26"/>
        </w:rPr>
      </w:pPr>
      <w:r w:rsidRPr="00820810">
        <w:rPr>
          <w:sz w:val="26"/>
          <w:szCs w:val="26"/>
        </w:rPr>
        <w:t xml:space="preserve">Енергія, спожита </w:t>
      </w:r>
      <w:r w:rsidR="008E49E2" w:rsidRPr="00820810">
        <w:rPr>
          <w:sz w:val="26"/>
          <w:szCs w:val="26"/>
        </w:rPr>
        <w:t>побутовими посудомийними машинами</w:t>
      </w:r>
      <w:r w:rsidRPr="00820810">
        <w:rPr>
          <w:sz w:val="26"/>
          <w:szCs w:val="26"/>
        </w:rPr>
        <w:t xml:space="preserve"> складає значну частку у загальному обсязі споживання енергії. Можливості для скорочення споживання енергії є значними. </w:t>
      </w:r>
    </w:p>
    <w:p w:rsidR="00FA5BD8" w:rsidRPr="00820810" w:rsidRDefault="00FA5BD8" w:rsidP="00580083">
      <w:pPr>
        <w:pStyle w:val="aa"/>
        <w:spacing w:after="0"/>
        <w:ind w:left="0" w:firstLine="567"/>
        <w:jc w:val="both"/>
        <w:rPr>
          <w:sz w:val="26"/>
          <w:szCs w:val="26"/>
        </w:rPr>
      </w:pPr>
      <w:r w:rsidRPr="00820810">
        <w:rPr>
          <w:sz w:val="26"/>
          <w:szCs w:val="26"/>
        </w:rPr>
        <w:t xml:space="preserve">Запровадження в Україні системи встановлення вимог щодо екодизайну енергетичних продуктів є вимогою Європейського Союзу, відповідно до Угоди про асоціацію Україна-ЄС, терміном запровадження якої визначений 2017 рік (додаток XXVII до глави 1 «Співробітництво у сфері енергетики, включаючи ядерну енергетику», Розділу V «Економічне і галузеве співробітництво» Угоди про асоціацію України – ЄС). </w:t>
      </w:r>
    </w:p>
    <w:p w:rsidR="00214634" w:rsidRPr="00820810" w:rsidRDefault="00214634" w:rsidP="00580083">
      <w:pPr>
        <w:pStyle w:val="aa"/>
        <w:spacing w:after="0"/>
        <w:ind w:left="0" w:firstLine="567"/>
        <w:jc w:val="both"/>
        <w:rPr>
          <w:sz w:val="26"/>
          <w:szCs w:val="26"/>
        </w:rPr>
      </w:pPr>
      <w:r w:rsidRPr="00820810">
        <w:rPr>
          <w:sz w:val="26"/>
          <w:szCs w:val="26"/>
        </w:rPr>
        <w:t>Договір про заснування Енергетичного Співтовариства, до якого Україна приєдналася у лютому 2011 року, створює чіткі правові рамки, в межах яких Україна ратифікує відповідні норми законодавства ЄС, для того щоб забезпечити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214634" w:rsidRPr="00820810" w:rsidRDefault="00214634" w:rsidP="00580083">
      <w:pPr>
        <w:pStyle w:val="aa"/>
        <w:spacing w:after="0"/>
        <w:ind w:left="0" w:firstLine="567"/>
        <w:jc w:val="both"/>
        <w:rPr>
          <w:sz w:val="26"/>
          <w:szCs w:val="26"/>
        </w:rPr>
      </w:pPr>
      <w:r w:rsidRPr="00820810">
        <w:rPr>
          <w:color w:val="000000"/>
          <w:sz w:val="26"/>
          <w:szCs w:val="26"/>
        </w:rPr>
        <w:t>На сьогоднішній день в Україні діє Технічний регламент щодо вимог до екодизайну для побутових</w:t>
      </w:r>
      <w:r w:rsidR="008E49E2" w:rsidRPr="00820810">
        <w:rPr>
          <w:color w:val="000000"/>
          <w:sz w:val="26"/>
          <w:szCs w:val="26"/>
        </w:rPr>
        <w:t xml:space="preserve"> посудомийних машин</w:t>
      </w:r>
      <w:r w:rsidRPr="00820810">
        <w:rPr>
          <w:color w:val="000000"/>
          <w:sz w:val="26"/>
          <w:szCs w:val="26"/>
        </w:rPr>
        <w:t xml:space="preserve">, затверджений постановою Кабінету Міністрів України від </w:t>
      </w:r>
      <w:r w:rsidR="008E49E2" w:rsidRPr="00820810">
        <w:rPr>
          <w:color w:val="000000"/>
          <w:sz w:val="26"/>
          <w:szCs w:val="26"/>
        </w:rPr>
        <w:t>14 серпня</w:t>
      </w:r>
      <w:r w:rsidRPr="00820810">
        <w:rPr>
          <w:color w:val="000000"/>
          <w:sz w:val="26"/>
          <w:szCs w:val="26"/>
        </w:rPr>
        <w:t xml:space="preserve"> 2019 року № </w:t>
      </w:r>
      <w:r w:rsidR="008E49E2" w:rsidRPr="00820810">
        <w:rPr>
          <w:color w:val="000000"/>
          <w:sz w:val="26"/>
          <w:szCs w:val="26"/>
        </w:rPr>
        <w:t>736</w:t>
      </w:r>
      <w:r w:rsidRPr="00820810">
        <w:rPr>
          <w:color w:val="000000"/>
          <w:sz w:val="26"/>
          <w:szCs w:val="26"/>
        </w:rPr>
        <w:t>, який розроблено на основі Регламенту Комісії (ЄС) №</w:t>
      </w:r>
      <w:r w:rsidR="008E49E2" w:rsidRPr="00820810">
        <w:rPr>
          <w:color w:val="000000"/>
          <w:sz w:val="26"/>
          <w:szCs w:val="26"/>
        </w:rPr>
        <w:t xml:space="preserve"> 1016/2010</w:t>
      </w:r>
      <w:r w:rsidRPr="00820810">
        <w:rPr>
          <w:color w:val="000000"/>
          <w:sz w:val="26"/>
          <w:szCs w:val="26"/>
        </w:rPr>
        <w:t xml:space="preserve"> від</w:t>
      </w:r>
      <w:r w:rsidR="008E49E2" w:rsidRPr="00820810">
        <w:rPr>
          <w:color w:val="000000"/>
          <w:sz w:val="26"/>
          <w:szCs w:val="26"/>
        </w:rPr>
        <w:t xml:space="preserve"> 10 листопада 2010 року, що доповнює </w:t>
      </w:r>
      <w:r w:rsidRPr="00820810">
        <w:rPr>
          <w:color w:val="000000"/>
          <w:sz w:val="26"/>
          <w:szCs w:val="26"/>
        </w:rPr>
        <w:t>Директив</w:t>
      </w:r>
      <w:r w:rsidR="008E49E2" w:rsidRPr="00820810">
        <w:rPr>
          <w:color w:val="000000"/>
          <w:sz w:val="26"/>
          <w:szCs w:val="26"/>
        </w:rPr>
        <w:t>у</w:t>
      </w:r>
      <w:r w:rsidRPr="00820810">
        <w:rPr>
          <w:color w:val="000000"/>
          <w:sz w:val="26"/>
          <w:szCs w:val="26"/>
        </w:rPr>
        <w:t xml:space="preserve"> 200</w:t>
      </w:r>
      <w:r w:rsidR="008E49E2" w:rsidRPr="00820810">
        <w:rPr>
          <w:color w:val="000000"/>
          <w:sz w:val="26"/>
          <w:szCs w:val="26"/>
        </w:rPr>
        <w:t>9</w:t>
      </w:r>
      <w:r w:rsidRPr="00820810">
        <w:rPr>
          <w:color w:val="000000"/>
          <w:sz w:val="26"/>
          <w:szCs w:val="26"/>
        </w:rPr>
        <w:t>/</w:t>
      </w:r>
      <w:r w:rsidR="008E49E2" w:rsidRPr="00820810">
        <w:rPr>
          <w:color w:val="000000"/>
          <w:sz w:val="26"/>
          <w:szCs w:val="26"/>
        </w:rPr>
        <w:t>125</w:t>
      </w:r>
      <w:r w:rsidRPr="00820810">
        <w:rPr>
          <w:color w:val="000000"/>
          <w:sz w:val="26"/>
          <w:szCs w:val="26"/>
        </w:rPr>
        <w:t>/ЄC Європейського Парламенту</w:t>
      </w:r>
      <w:r w:rsidR="008E49E2" w:rsidRPr="00820810">
        <w:rPr>
          <w:color w:val="000000"/>
          <w:sz w:val="26"/>
          <w:szCs w:val="26"/>
        </w:rPr>
        <w:t xml:space="preserve"> та</w:t>
      </w:r>
      <w:r w:rsidRPr="00820810">
        <w:rPr>
          <w:color w:val="000000"/>
          <w:sz w:val="26"/>
          <w:szCs w:val="26"/>
        </w:rPr>
        <w:t xml:space="preserve"> Ради стосовно вимог екодизайну </w:t>
      </w:r>
      <w:r w:rsidR="008E49E2" w:rsidRPr="00820810">
        <w:rPr>
          <w:color w:val="000000"/>
          <w:sz w:val="26"/>
          <w:szCs w:val="26"/>
        </w:rPr>
        <w:t xml:space="preserve">для </w:t>
      </w:r>
      <w:r w:rsidRPr="00820810">
        <w:rPr>
          <w:color w:val="000000"/>
          <w:sz w:val="26"/>
          <w:szCs w:val="26"/>
        </w:rPr>
        <w:t xml:space="preserve">побутових </w:t>
      </w:r>
      <w:r w:rsidR="008E49E2" w:rsidRPr="00820810">
        <w:rPr>
          <w:color w:val="000000"/>
          <w:sz w:val="26"/>
          <w:szCs w:val="26"/>
        </w:rPr>
        <w:t xml:space="preserve">посудомийних </w:t>
      </w:r>
      <w:r w:rsidR="00F63467" w:rsidRPr="00820810">
        <w:rPr>
          <w:color w:val="000000"/>
          <w:sz w:val="26"/>
          <w:szCs w:val="26"/>
        </w:rPr>
        <w:t>машин</w:t>
      </w:r>
      <w:r w:rsidRPr="00820810">
        <w:rPr>
          <w:color w:val="000000"/>
          <w:sz w:val="26"/>
          <w:szCs w:val="26"/>
        </w:rPr>
        <w:t>.</w:t>
      </w:r>
    </w:p>
    <w:p w:rsidR="00214634" w:rsidRPr="00820810" w:rsidRDefault="00214634" w:rsidP="00580083">
      <w:pPr>
        <w:pStyle w:val="a9"/>
        <w:spacing w:after="0" w:line="240" w:lineRule="auto"/>
        <w:ind w:left="0" w:firstLine="567"/>
        <w:jc w:val="both"/>
        <w:rPr>
          <w:rFonts w:ascii="Times New Roman" w:eastAsia="Times New Roman" w:hAnsi="Times New Roman"/>
          <w:color w:val="000000"/>
          <w:sz w:val="26"/>
          <w:szCs w:val="26"/>
          <w:lang w:val="uk-UA" w:eastAsia="ru-RU"/>
        </w:rPr>
      </w:pPr>
      <w:r w:rsidRPr="00820810">
        <w:rPr>
          <w:rFonts w:ascii="Times New Roman" w:eastAsia="Times New Roman" w:hAnsi="Times New Roman"/>
          <w:color w:val="000000"/>
          <w:sz w:val="26"/>
          <w:szCs w:val="26"/>
          <w:lang w:val="uk-UA" w:eastAsia="ru-RU"/>
        </w:rPr>
        <w:t>З огляду на те, що у ЄС прийнято Регламент Комісії (ЄС) № 2019/20</w:t>
      </w:r>
      <w:r w:rsidR="00F63467" w:rsidRPr="00820810">
        <w:rPr>
          <w:rFonts w:ascii="Times New Roman" w:eastAsia="Times New Roman" w:hAnsi="Times New Roman"/>
          <w:color w:val="000000"/>
          <w:sz w:val="26"/>
          <w:szCs w:val="26"/>
          <w:lang w:val="uk-UA" w:eastAsia="ru-RU"/>
        </w:rPr>
        <w:t>22</w:t>
      </w:r>
      <w:r w:rsidRPr="00820810">
        <w:rPr>
          <w:rFonts w:ascii="Times New Roman" w:eastAsia="Times New Roman" w:hAnsi="Times New Roman"/>
          <w:color w:val="000000"/>
          <w:sz w:val="26"/>
          <w:szCs w:val="26"/>
          <w:lang w:val="uk-UA" w:eastAsia="ru-RU"/>
        </w:rPr>
        <w:t xml:space="preserve"> від 1 жовтня 2019 року </w:t>
      </w:r>
      <w:r w:rsidR="00155B1D" w:rsidRPr="00820810">
        <w:rPr>
          <w:rFonts w:ascii="Times New Roman" w:eastAsia="Times New Roman" w:hAnsi="Times New Roman"/>
          <w:color w:val="000000"/>
          <w:sz w:val="26"/>
          <w:szCs w:val="26"/>
          <w:lang w:val="uk-UA" w:eastAsia="ru-RU"/>
        </w:rPr>
        <w:t xml:space="preserve">який встановлює вимоги екодизайну для побутових посудомийних машин відповідно до Директиви 2009/125/ЄС Європейського Парламенту та Ради та вносить зміни до Регламенту Комісії (ЄС) № 1275/2008 і скасовує Регламент Комісії (ЄС) № 1016/2010 </w:t>
      </w:r>
      <w:r w:rsidR="00E9302A" w:rsidRPr="00820810">
        <w:rPr>
          <w:rFonts w:ascii="Times New Roman" w:eastAsia="Times New Roman" w:hAnsi="Times New Roman"/>
          <w:color w:val="000000"/>
          <w:sz w:val="26"/>
          <w:szCs w:val="26"/>
          <w:lang w:val="uk-UA" w:eastAsia="ru-RU"/>
        </w:rPr>
        <w:t>від 10 листопада 2010 року</w:t>
      </w:r>
      <w:r w:rsidRPr="00820810">
        <w:rPr>
          <w:rFonts w:ascii="Times New Roman" w:eastAsia="Times New Roman" w:hAnsi="Times New Roman"/>
          <w:color w:val="000000"/>
          <w:sz w:val="26"/>
          <w:szCs w:val="26"/>
          <w:lang w:val="uk-UA" w:eastAsia="ru-RU"/>
        </w:rPr>
        <w:t xml:space="preserve">, виникла необхідність приведення у відповідність нормативно-правової бази в Україні, а саме, у розробці постанови Кабінету Міністрів України «Про затвердження Технічного регламенту щодо вимог до екодизайну для </w:t>
      </w:r>
      <w:r w:rsidR="00E9302A" w:rsidRPr="00820810">
        <w:rPr>
          <w:rFonts w:ascii="Times New Roman" w:eastAsia="Times New Roman" w:hAnsi="Times New Roman"/>
          <w:color w:val="000000"/>
          <w:sz w:val="26"/>
          <w:szCs w:val="26"/>
          <w:lang w:val="uk-UA" w:eastAsia="ru-RU"/>
        </w:rPr>
        <w:t>побутових посудомийних машин</w:t>
      </w:r>
      <w:r w:rsidRPr="00820810">
        <w:rPr>
          <w:rFonts w:ascii="Times New Roman" w:eastAsia="Times New Roman" w:hAnsi="Times New Roman"/>
          <w:color w:val="000000"/>
          <w:sz w:val="26"/>
          <w:szCs w:val="26"/>
          <w:lang w:val="uk-UA" w:eastAsia="ru-RU"/>
        </w:rPr>
        <w:t>», який забезпечить виконання вимог до екодизайну, відповідно до оновленого законодавства ЄС та виконання Україною зобов’язань, які стосуються імплементації європейського законодавства</w:t>
      </w:r>
      <w:r w:rsidR="00580083" w:rsidRPr="00820810">
        <w:rPr>
          <w:rFonts w:ascii="Times New Roman" w:eastAsia="Times New Roman" w:hAnsi="Times New Roman"/>
          <w:color w:val="000000"/>
          <w:sz w:val="26"/>
          <w:szCs w:val="26"/>
          <w:lang w:val="uk-UA" w:eastAsia="ru-RU"/>
        </w:rPr>
        <w:t>.</w:t>
      </w:r>
      <w:r w:rsidRPr="00820810">
        <w:rPr>
          <w:rFonts w:ascii="Times New Roman" w:eastAsia="Times New Roman" w:hAnsi="Times New Roman"/>
          <w:color w:val="000000"/>
          <w:sz w:val="26"/>
          <w:szCs w:val="26"/>
          <w:lang w:val="uk-UA" w:eastAsia="ru-RU"/>
        </w:rPr>
        <w:t xml:space="preserve"> </w:t>
      </w:r>
    </w:p>
    <w:p w:rsidR="00214634" w:rsidRPr="00820810" w:rsidRDefault="00580083" w:rsidP="00580083">
      <w:pPr>
        <w:pStyle w:val="a9"/>
        <w:spacing w:after="0" w:line="240" w:lineRule="auto"/>
        <w:ind w:left="0" w:firstLine="567"/>
        <w:jc w:val="both"/>
        <w:rPr>
          <w:rFonts w:ascii="Times New Roman" w:eastAsia="Calibri" w:hAnsi="Times New Roman" w:cs="Times New Roman"/>
          <w:sz w:val="26"/>
          <w:szCs w:val="26"/>
          <w:lang w:val="uk-UA" w:eastAsia="uk-UA"/>
        </w:rPr>
      </w:pPr>
      <w:r w:rsidRPr="00820810">
        <w:rPr>
          <w:rFonts w:asciiTheme="majorBidi" w:hAnsiTheme="majorBidi" w:cstheme="majorBidi"/>
          <w:color w:val="000000"/>
          <w:sz w:val="26"/>
          <w:szCs w:val="26"/>
          <w:lang w:val="uk-UA"/>
        </w:rPr>
        <w:t>Проект постанови Кабінету Міністрів України «Про затвердження Технічного регламенту щодо вимог до екодизайну для побутових посудомийних машин» (далі – проект акта)</w:t>
      </w:r>
      <w:r w:rsidRPr="00820810">
        <w:rPr>
          <w:color w:val="000000"/>
          <w:sz w:val="28"/>
          <w:szCs w:val="28"/>
          <w:lang w:val="uk-UA"/>
        </w:rPr>
        <w:t xml:space="preserve"> </w:t>
      </w:r>
      <w:r w:rsidR="00214634" w:rsidRPr="00820810">
        <w:rPr>
          <w:rFonts w:ascii="Times New Roman" w:eastAsia="Calibri" w:hAnsi="Times New Roman" w:cs="Times New Roman"/>
          <w:sz w:val="26"/>
          <w:szCs w:val="26"/>
          <w:lang w:val="uk-UA" w:eastAsia="uk-UA"/>
        </w:rPr>
        <w:t xml:space="preserve">розроблено на основі Регламенту Комісії (ЄС) </w:t>
      </w:r>
      <w:r w:rsidR="00E9302A" w:rsidRPr="00820810">
        <w:rPr>
          <w:rFonts w:ascii="Times New Roman" w:eastAsia="Calibri" w:hAnsi="Times New Roman" w:cs="Times New Roman"/>
          <w:sz w:val="26"/>
          <w:szCs w:val="26"/>
          <w:lang w:val="uk-UA" w:eastAsia="uk-UA"/>
        </w:rPr>
        <w:t xml:space="preserve">2019/2022 від </w:t>
      </w:r>
      <w:r w:rsidRPr="00820810">
        <w:rPr>
          <w:rFonts w:ascii="Times New Roman" w:eastAsia="Calibri" w:hAnsi="Times New Roman" w:cs="Times New Roman"/>
          <w:sz w:val="26"/>
          <w:szCs w:val="26"/>
          <w:lang w:val="uk-UA" w:eastAsia="uk-UA"/>
        </w:rPr>
        <w:t>0</w:t>
      </w:r>
      <w:r w:rsidR="00E9302A" w:rsidRPr="00820810">
        <w:rPr>
          <w:rFonts w:ascii="Times New Roman" w:eastAsia="Calibri" w:hAnsi="Times New Roman" w:cs="Times New Roman"/>
          <w:sz w:val="26"/>
          <w:szCs w:val="26"/>
          <w:lang w:val="uk-UA" w:eastAsia="uk-UA"/>
        </w:rPr>
        <w:t xml:space="preserve">1 жовтня 2019 року </w:t>
      </w:r>
      <w:r w:rsidR="00155B1D" w:rsidRPr="00820810">
        <w:rPr>
          <w:rFonts w:ascii="Times New Roman" w:eastAsia="Calibri" w:hAnsi="Times New Roman" w:cs="Times New Roman"/>
          <w:sz w:val="26"/>
          <w:szCs w:val="26"/>
          <w:lang w:val="uk-UA" w:eastAsia="uk-UA"/>
        </w:rPr>
        <w:t xml:space="preserve">що встановлює вимоги екодизайну для побутових посудомийних машин відповідно до Директиви 2009/125/ЄС Європейського Парламенту та Ради та вносить зміни до Регламент Комісії (ЄС) №1275/2008 і скасовує Регламент Комісії (ЄС) </w:t>
      </w:r>
      <w:r w:rsidRPr="00820810">
        <w:rPr>
          <w:rFonts w:ascii="Times New Roman" w:eastAsia="Calibri" w:hAnsi="Times New Roman" w:cs="Times New Roman"/>
          <w:sz w:val="26"/>
          <w:szCs w:val="26"/>
          <w:lang w:val="uk-UA" w:eastAsia="uk-UA"/>
        </w:rPr>
        <w:t xml:space="preserve">         </w:t>
      </w:r>
      <w:r w:rsidR="00155B1D" w:rsidRPr="00820810">
        <w:rPr>
          <w:rFonts w:ascii="Times New Roman" w:eastAsia="Calibri" w:hAnsi="Times New Roman" w:cs="Times New Roman"/>
          <w:sz w:val="26"/>
          <w:szCs w:val="26"/>
          <w:lang w:val="uk-UA" w:eastAsia="uk-UA"/>
        </w:rPr>
        <w:t>№ 1016/2010</w:t>
      </w:r>
      <w:r w:rsidR="00E9302A" w:rsidRPr="00820810">
        <w:rPr>
          <w:rFonts w:ascii="Times New Roman" w:eastAsia="Calibri" w:hAnsi="Times New Roman" w:cs="Times New Roman"/>
          <w:sz w:val="26"/>
          <w:szCs w:val="26"/>
          <w:lang w:val="uk-UA" w:eastAsia="uk-UA"/>
        </w:rPr>
        <w:t xml:space="preserve"> від 10 листопада 2010 року</w:t>
      </w:r>
      <w:r w:rsidR="00214634" w:rsidRPr="00820810">
        <w:rPr>
          <w:rFonts w:ascii="Times New Roman" w:eastAsia="Calibri" w:hAnsi="Times New Roman" w:cs="Times New Roman"/>
          <w:sz w:val="26"/>
          <w:szCs w:val="26"/>
          <w:lang w:val="uk-UA" w:eastAsia="uk-UA"/>
        </w:rPr>
        <w:t>.</w:t>
      </w:r>
    </w:p>
    <w:p w:rsidR="00580083" w:rsidRPr="00820810" w:rsidRDefault="00FA5BD8" w:rsidP="00580083">
      <w:pPr>
        <w:pStyle w:val="aa"/>
        <w:spacing w:after="0"/>
        <w:ind w:left="0" w:firstLine="567"/>
        <w:jc w:val="both"/>
        <w:rPr>
          <w:sz w:val="26"/>
          <w:szCs w:val="26"/>
        </w:rPr>
      </w:pPr>
      <w:r w:rsidRPr="00820810">
        <w:rPr>
          <w:sz w:val="26"/>
          <w:szCs w:val="26"/>
        </w:rPr>
        <w:t xml:space="preserve">Запровадження вимог до екодизайну для </w:t>
      </w:r>
      <w:r w:rsidR="002020A7" w:rsidRPr="00820810">
        <w:rPr>
          <w:sz w:val="26"/>
          <w:szCs w:val="26"/>
        </w:rPr>
        <w:t>побутових посудомийних машин</w:t>
      </w:r>
      <w:r w:rsidRPr="00820810">
        <w:rPr>
          <w:sz w:val="26"/>
          <w:szCs w:val="26"/>
        </w:rPr>
        <w:t>, які відповідатимуть вимогам оновленого європейського законодавства у цій сфері, дозволить:</w:t>
      </w:r>
    </w:p>
    <w:p w:rsidR="00580083" w:rsidRPr="00820810" w:rsidRDefault="00FA5BD8" w:rsidP="00580083">
      <w:pPr>
        <w:pStyle w:val="aa"/>
        <w:spacing w:after="0"/>
        <w:ind w:left="0" w:firstLine="567"/>
        <w:jc w:val="both"/>
        <w:rPr>
          <w:sz w:val="26"/>
          <w:szCs w:val="26"/>
        </w:rPr>
      </w:pPr>
      <w:r w:rsidRPr="00820810">
        <w:rPr>
          <w:sz w:val="26"/>
          <w:szCs w:val="26"/>
        </w:rPr>
        <w:lastRenderedPageBreak/>
        <w:t xml:space="preserve">забезпечити ефективне використання електроенергії при використанні (експлуатації) </w:t>
      </w:r>
      <w:r w:rsidR="00B37154" w:rsidRPr="00820810">
        <w:rPr>
          <w:sz w:val="26"/>
          <w:szCs w:val="26"/>
        </w:rPr>
        <w:t xml:space="preserve">побутових </w:t>
      </w:r>
      <w:r w:rsidR="002020A7" w:rsidRPr="00820810">
        <w:rPr>
          <w:sz w:val="26"/>
          <w:szCs w:val="26"/>
        </w:rPr>
        <w:t>посудомийних машин</w:t>
      </w:r>
      <w:r w:rsidRPr="00820810">
        <w:rPr>
          <w:sz w:val="26"/>
          <w:szCs w:val="26"/>
        </w:rPr>
        <w:t>;</w:t>
      </w:r>
    </w:p>
    <w:p w:rsidR="00580083" w:rsidRPr="00820810" w:rsidRDefault="00FA5BD8" w:rsidP="00580083">
      <w:pPr>
        <w:pStyle w:val="aa"/>
        <w:spacing w:after="0"/>
        <w:ind w:left="0" w:firstLine="567"/>
        <w:jc w:val="both"/>
        <w:rPr>
          <w:sz w:val="26"/>
          <w:szCs w:val="26"/>
        </w:rPr>
      </w:pPr>
      <w:r w:rsidRPr="00820810">
        <w:rPr>
          <w:sz w:val="26"/>
          <w:szCs w:val="26"/>
        </w:rPr>
        <w:t xml:space="preserve">контролювати та не допустити на споживчий ринок України енергоємних, неефективних </w:t>
      </w:r>
      <w:r w:rsidR="00B37154" w:rsidRPr="00820810">
        <w:rPr>
          <w:sz w:val="26"/>
          <w:szCs w:val="26"/>
        </w:rPr>
        <w:t xml:space="preserve">побутових </w:t>
      </w:r>
      <w:r w:rsidR="002020A7" w:rsidRPr="00820810">
        <w:rPr>
          <w:sz w:val="26"/>
          <w:szCs w:val="26"/>
        </w:rPr>
        <w:t>посудомийних машин</w:t>
      </w:r>
      <w:r w:rsidRPr="00820810">
        <w:rPr>
          <w:sz w:val="26"/>
          <w:szCs w:val="26"/>
        </w:rPr>
        <w:t>;</w:t>
      </w:r>
    </w:p>
    <w:p w:rsidR="00FA5BD8" w:rsidRPr="00820810" w:rsidRDefault="00FA5BD8" w:rsidP="00580083">
      <w:pPr>
        <w:pStyle w:val="aa"/>
        <w:spacing w:after="0"/>
        <w:ind w:left="0" w:firstLine="567"/>
        <w:jc w:val="both"/>
        <w:rPr>
          <w:sz w:val="26"/>
          <w:szCs w:val="26"/>
        </w:rPr>
      </w:pPr>
      <w:r w:rsidRPr="00820810">
        <w:rPr>
          <w:sz w:val="26"/>
          <w:szCs w:val="26"/>
        </w:rPr>
        <w:t>можливість надання продукції на ринок ЄС.</w:t>
      </w:r>
    </w:p>
    <w:p w:rsidR="00FA5BD8" w:rsidRPr="00820810" w:rsidRDefault="00580083" w:rsidP="00580083">
      <w:pPr>
        <w:pStyle w:val="aa"/>
        <w:spacing w:after="0"/>
        <w:ind w:left="0" w:firstLine="567"/>
        <w:jc w:val="both"/>
        <w:rPr>
          <w:sz w:val="26"/>
          <w:szCs w:val="26"/>
        </w:rPr>
      </w:pPr>
      <w:r w:rsidRPr="00820810">
        <w:rPr>
          <w:sz w:val="26"/>
          <w:szCs w:val="26"/>
        </w:rPr>
        <w:t>Прийняття проекту акта</w:t>
      </w:r>
      <w:r w:rsidR="00FA5BD8" w:rsidRPr="00820810">
        <w:rPr>
          <w:sz w:val="26"/>
          <w:szCs w:val="26"/>
        </w:rPr>
        <w:t xml:space="preserve"> забезпечить виконання </w:t>
      </w:r>
      <w:r w:rsidR="00B75066" w:rsidRPr="00820810">
        <w:rPr>
          <w:sz w:val="26"/>
          <w:szCs w:val="26"/>
        </w:rPr>
        <w:t>підпункту 9 пункту 4 Плану заходів щодо розвитку системи технічного регулювання на період до 2025 року, затвердженого розпорядженням Кабінету Міністрів України від 22 вересня  2021року № 1145-р</w:t>
      </w:r>
      <w:r w:rsidRPr="00820810">
        <w:rPr>
          <w:sz w:val="26"/>
          <w:szCs w:val="26"/>
        </w:rPr>
        <w:t xml:space="preserve">, </w:t>
      </w:r>
      <w:r w:rsidR="00B75066" w:rsidRPr="00820810">
        <w:rPr>
          <w:sz w:val="26"/>
          <w:szCs w:val="26"/>
        </w:rPr>
        <w:t>та постанови Кабінету Міністрів України від 16 грудня 2015 року № 1057 «Про визначення сфер діяльності, в яких центральні органи виконавчої влади та Служба безпеки України здійснюють функції технічного регулювання»</w:t>
      </w:r>
      <w:r w:rsidR="00FA5BD8" w:rsidRPr="00820810">
        <w:rPr>
          <w:sz w:val="26"/>
          <w:szCs w:val="26"/>
        </w:rPr>
        <w:t xml:space="preserve">. </w:t>
      </w:r>
    </w:p>
    <w:p w:rsidR="00FA5BD8" w:rsidRPr="00820810" w:rsidRDefault="00FA5BD8" w:rsidP="00FA5BD8">
      <w:pPr>
        <w:pStyle w:val="aa"/>
        <w:spacing w:after="0"/>
        <w:ind w:left="0" w:firstLine="709"/>
        <w:jc w:val="both"/>
        <w:rPr>
          <w:sz w:val="26"/>
          <w:szCs w:val="26"/>
        </w:rPr>
      </w:pPr>
    </w:p>
    <w:p w:rsidR="00FA5BD8" w:rsidRPr="00820810" w:rsidRDefault="00FA5BD8" w:rsidP="00FA5BD8">
      <w:pPr>
        <w:pStyle w:val="a9"/>
        <w:spacing w:after="0" w:line="240" w:lineRule="auto"/>
        <w:ind w:left="0" w:firstLine="567"/>
        <w:jc w:val="both"/>
        <w:rPr>
          <w:rFonts w:ascii="Times New Roman" w:hAnsi="Times New Roman" w:cs="Times New Roman"/>
          <w:b/>
          <w:sz w:val="26"/>
          <w:szCs w:val="26"/>
          <w:lang w:val="uk-UA"/>
        </w:rPr>
      </w:pPr>
      <w:r w:rsidRPr="00820810">
        <w:rPr>
          <w:rFonts w:ascii="Times New Roman" w:hAnsi="Times New Roman" w:cs="Times New Roman"/>
          <w:b/>
          <w:sz w:val="26"/>
          <w:szCs w:val="26"/>
          <w:lang w:val="uk-UA"/>
        </w:rPr>
        <w:t>Основні групи, на які проблема справляє вплив:</w:t>
      </w:r>
    </w:p>
    <w:p w:rsidR="00795962" w:rsidRPr="00820810" w:rsidRDefault="00795962" w:rsidP="00FA5BD8">
      <w:pPr>
        <w:pStyle w:val="a9"/>
        <w:spacing w:after="0" w:line="240" w:lineRule="auto"/>
        <w:ind w:left="0" w:firstLine="567"/>
        <w:jc w:val="both"/>
        <w:rPr>
          <w:rFonts w:ascii="Times New Roman" w:hAnsi="Times New Roman" w:cs="Times New Roman"/>
          <w:b/>
          <w:sz w:val="26"/>
          <w:szCs w:val="2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3068"/>
        <w:gridCol w:w="2595"/>
      </w:tblGrid>
      <w:tr w:rsidR="00FA5BD8" w:rsidRPr="00820810" w:rsidTr="00893127">
        <w:trPr>
          <w:trHeight w:val="297"/>
        </w:trPr>
        <w:tc>
          <w:tcPr>
            <w:tcW w:w="3800" w:type="dxa"/>
            <w:tcBorders>
              <w:left w:val="nil"/>
            </w:tcBorders>
            <w:vAlign w:val="center"/>
          </w:tcPr>
          <w:p w:rsidR="00FA5BD8" w:rsidRPr="00820810" w:rsidRDefault="00FA5BD8" w:rsidP="00893127">
            <w:pPr>
              <w:spacing w:line="276" w:lineRule="auto"/>
              <w:ind w:firstLine="709"/>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Групи</w:t>
            </w:r>
          </w:p>
        </w:tc>
        <w:tc>
          <w:tcPr>
            <w:tcW w:w="3068" w:type="dxa"/>
            <w:vAlign w:val="center"/>
          </w:tcPr>
          <w:p w:rsidR="00FA5BD8" w:rsidRPr="00820810" w:rsidRDefault="00FA5BD8" w:rsidP="00893127">
            <w:pPr>
              <w:spacing w:line="276" w:lineRule="auto"/>
              <w:ind w:firstLine="709"/>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Так</w:t>
            </w:r>
          </w:p>
        </w:tc>
        <w:tc>
          <w:tcPr>
            <w:tcW w:w="2595" w:type="dxa"/>
            <w:tcBorders>
              <w:right w:val="nil"/>
            </w:tcBorders>
            <w:vAlign w:val="center"/>
          </w:tcPr>
          <w:p w:rsidR="00FA5BD8" w:rsidRPr="00820810" w:rsidRDefault="00FA5BD8" w:rsidP="00893127">
            <w:pPr>
              <w:spacing w:line="276" w:lineRule="auto"/>
              <w:ind w:firstLine="709"/>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Ні</w:t>
            </w:r>
          </w:p>
        </w:tc>
      </w:tr>
      <w:tr w:rsidR="00FA5BD8" w:rsidRPr="00820810" w:rsidTr="00893127">
        <w:trPr>
          <w:trHeight w:val="390"/>
        </w:trPr>
        <w:tc>
          <w:tcPr>
            <w:tcW w:w="3800" w:type="dxa"/>
            <w:tcBorders>
              <w:left w:val="nil"/>
              <w:bottom w:val="nil"/>
              <w:right w:val="nil"/>
            </w:tcBorders>
          </w:tcPr>
          <w:p w:rsidR="00FA5BD8" w:rsidRPr="00820810" w:rsidRDefault="00FA5BD8" w:rsidP="00893127">
            <w:pPr>
              <w:spacing w:line="276" w:lineRule="auto"/>
              <w:rPr>
                <w:rFonts w:ascii="Times New Roman" w:hAnsi="Times New Roman" w:cs="Times New Roman"/>
                <w:i/>
                <w:sz w:val="24"/>
                <w:szCs w:val="24"/>
                <w:lang w:val="uk-UA"/>
              </w:rPr>
            </w:pPr>
            <w:r w:rsidRPr="00820810">
              <w:rPr>
                <w:rFonts w:ascii="Times New Roman" w:hAnsi="Times New Roman" w:cs="Times New Roman"/>
                <w:i/>
                <w:sz w:val="24"/>
                <w:szCs w:val="24"/>
                <w:lang w:val="uk-UA"/>
              </w:rPr>
              <w:t>Громадяни</w:t>
            </w:r>
          </w:p>
        </w:tc>
        <w:tc>
          <w:tcPr>
            <w:tcW w:w="3068" w:type="dxa"/>
            <w:tcBorders>
              <w:left w:val="nil"/>
              <w:bottom w:val="nil"/>
              <w:right w:val="nil"/>
            </w:tcBorders>
            <w:vAlign w:val="center"/>
          </w:tcPr>
          <w:p w:rsidR="00FA5BD8" w:rsidRPr="00820810" w:rsidRDefault="00FA5BD8" w:rsidP="00893127">
            <w:pPr>
              <w:spacing w:line="276" w:lineRule="auto"/>
              <w:ind w:firstLine="709"/>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Так</w:t>
            </w:r>
          </w:p>
        </w:tc>
        <w:tc>
          <w:tcPr>
            <w:tcW w:w="2595" w:type="dxa"/>
            <w:tcBorders>
              <w:left w:val="nil"/>
              <w:bottom w:val="nil"/>
              <w:right w:val="nil"/>
            </w:tcBorders>
            <w:vAlign w:val="center"/>
          </w:tcPr>
          <w:p w:rsidR="00FA5BD8" w:rsidRPr="00820810" w:rsidRDefault="00FA5BD8" w:rsidP="00893127">
            <w:pPr>
              <w:spacing w:line="276" w:lineRule="auto"/>
              <w:ind w:firstLine="709"/>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w:t>
            </w:r>
          </w:p>
        </w:tc>
      </w:tr>
      <w:tr w:rsidR="00FA5BD8" w:rsidRPr="00820810" w:rsidTr="00893127">
        <w:trPr>
          <w:trHeight w:val="390"/>
        </w:trPr>
        <w:tc>
          <w:tcPr>
            <w:tcW w:w="3800" w:type="dxa"/>
            <w:tcBorders>
              <w:top w:val="nil"/>
              <w:left w:val="nil"/>
              <w:bottom w:val="nil"/>
              <w:right w:val="nil"/>
            </w:tcBorders>
          </w:tcPr>
          <w:p w:rsidR="00FA5BD8" w:rsidRPr="00820810" w:rsidRDefault="00FA5BD8" w:rsidP="00893127">
            <w:pPr>
              <w:spacing w:line="276" w:lineRule="auto"/>
              <w:rPr>
                <w:rFonts w:ascii="Times New Roman" w:hAnsi="Times New Roman" w:cs="Times New Roman"/>
                <w:i/>
                <w:sz w:val="24"/>
                <w:szCs w:val="24"/>
                <w:lang w:val="uk-UA"/>
              </w:rPr>
            </w:pPr>
            <w:r w:rsidRPr="00820810">
              <w:rPr>
                <w:rFonts w:ascii="Times New Roman" w:hAnsi="Times New Roman" w:cs="Times New Roman"/>
                <w:i/>
                <w:sz w:val="24"/>
                <w:szCs w:val="24"/>
                <w:lang w:val="uk-UA"/>
              </w:rPr>
              <w:t>Держава</w:t>
            </w:r>
          </w:p>
        </w:tc>
        <w:tc>
          <w:tcPr>
            <w:tcW w:w="3068" w:type="dxa"/>
            <w:tcBorders>
              <w:top w:val="nil"/>
              <w:left w:val="nil"/>
              <w:bottom w:val="nil"/>
              <w:right w:val="nil"/>
            </w:tcBorders>
            <w:vAlign w:val="center"/>
          </w:tcPr>
          <w:p w:rsidR="00FA5BD8" w:rsidRPr="00820810" w:rsidRDefault="00FA5BD8" w:rsidP="00893127">
            <w:pPr>
              <w:spacing w:line="276" w:lineRule="auto"/>
              <w:ind w:firstLine="709"/>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Так </w:t>
            </w:r>
          </w:p>
        </w:tc>
        <w:tc>
          <w:tcPr>
            <w:tcW w:w="2595" w:type="dxa"/>
            <w:tcBorders>
              <w:top w:val="nil"/>
              <w:left w:val="nil"/>
              <w:bottom w:val="nil"/>
              <w:right w:val="nil"/>
            </w:tcBorders>
            <w:vAlign w:val="center"/>
          </w:tcPr>
          <w:p w:rsidR="00FA5BD8" w:rsidRPr="00820810" w:rsidRDefault="00FA5BD8" w:rsidP="00893127">
            <w:pPr>
              <w:spacing w:line="276" w:lineRule="auto"/>
              <w:ind w:firstLine="709"/>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w:t>
            </w:r>
          </w:p>
        </w:tc>
      </w:tr>
      <w:tr w:rsidR="00FA5BD8" w:rsidRPr="00820810" w:rsidTr="00893127">
        <w:trPr>
          <w:trHeight w:val="390"/>
        </w:trPr>
        <w:tc>
          <w:tcPr>
            <w:tcW w:w="3800" w:type="dxa"/>
            <w:tcBorders>
              <w:top w:val="nil"/>
              <w:left w:val="nil"/>
              <w:bottom w:val="nil"/>
              <w:right w:val="nil"/>
            </w:tcBorders>
          </w:tcPr>
          <w:p w:rsidR="00FA5BD8" w:rsidRPr="00820810" w:rsidRDefault="00FA5BD8" w:rsidP="00893127">
            <w:pPr>
              <w:spacing w:line="276" w:lineRule="auto"/>
              <w:rPr>
                <w:rFonts w:ascii="Times New Roman" w:hAnsi="Times New Roman" w:cs="Times New Roman"/>
                <w:i/>
                <w:color w:val="000000"/>
                <w:sz w:val="24"/>
                <w:szCs w:val="24"/>
                <w:lang w:val="uk-UA"/>
              </w:rPr>
            </w:pPr>
            <w:r w:rsidRPr="00820810">
              <w:rPr>
                <w:rFonts w:ascii="Times New Roman" w:hAnsi="Times New Roman" w:cs="Times New Roman"/>
                <w:i/>
                <w:sz w:val="24"/>
                <w:szCs w:val="24"/>
                <w:lang w:val="uk-UA"/>
              </w:rPr>
              <w:t>Суб’єкти господарювання</w:t>
            </w:r>
          </w:p>
        </w:tc>
        <w:tc>
          <w:tcPr>
            <w:tcW w:w="3068" w:type="dxa"/>
            <w:tcBorders>
              <w:top w:val="nil"/>
              <w:left w:val="nil"/>
              <w:bottom w:val="nil"/>
              <w:right w:val="nil"/>
            </w:tcBorders>
            <w:shd w:val="clear" w:color="auto" w:fill="auto"/>
            <w:vAlign w:val="center"/>
          </w:tcPr>
          <w:p w:rsidR="00FA5BD8" w:rsidRPr="00820810" w:rsidRDefault="00FA5BD8" w:rsidP="00893127">
            <w:pPr>
              <w:spacing w:line="276" w:lineRule="auto"/>
              <w:ind w:firstLine="709"/>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Так</w:t>
            </w:r>
          </w:p>
        </w:tc>
        <w:tc>
          <w:tcPr>
            <w:tcW w:w="2595" w:type="dxa"/>
            <w:tcBorders>
              <w:top w:val="nil"/>
              <w:left w:val="nil"/>
              <w:bottom w:val="nil"/>
              <w:right w:val="nil"/>
            </w:tcBorders>
            <w:vAlign w:val="center"/>
          </w:tcPr>
          <w:p w:rsidR="00FA5BD8" w:rsidRPr="00820810" w:rsidRDefault="00FA5BD8" w:rsidP="00893127">
            <w:pPr>
              <w:spacing w:line="276" w:lineRule="auto"/>
              <w:ind w:firstLine="709"/>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w:t>
            </w:r>
          </w:p>
        </w:tc>
      </w:tr>
    </w:tbl>
    <w:p w:rsidR="00FA5BD8" w:rsidRPr="00820810" w:rsidRDefault="00FA5BD8" w:rsidP="00FA5BD8">
      <w:pPr>
        <w:pStyle w:val="aa"/>
        <w:spacing w:after="0"/>
        <w:ind w:left="0" w:firstLine="567"/>
        <w:jc w:val="both"/>
        <w:rPr>
          <w:sz w:val="26"/>
          <w:szCs w:val="26"/>
        </w:rPr>
      </w:pPr>
      <w:r w:rsidRPr="00820810">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rsidR="00FA5BD8" w:rsidRPr="00820810" w:rsidRDefault="00FA5BD8" w:rsidP="00FA5BD8">
      <w:pPr>
        <w:pStyle w:val="aa"/>
        <w:spacing w:after="0"/>
        <w:ind w:left="0" w:firstLine="567"/>
        <w:jc w:val="both"/>
        <w:rPr>
          <w:sz w:val="26"/>
          <w:szCs w:val="26"/>
        </w:rPr>
      </w:pPr>
      <w:r w:rsidRPr="00820810">
        <w:rPr>
          <w:sz w:val="26"/>
          <w:szCs w:val="26"/>
        </w:rPr>
        <w:t xml:space="preserve">Проблема </w:t>
      </w:r>
      <w:r w:rsidR="002E1D60" w:rsidRPr="00820810">
        <w:rPr>
          <w:sz w:val="26"/>
          <w:szCs w:val="26"/>
        </w:rPr>
        <w:t xml:space="preserve">повністю </w:t>
      </w:r>
      <w:r w:rsidRPr="00820810">
        <w:rPr>
          <w:sz w:val="26"/>
          <w:szCs w:val="26"/>
        </w:rPr>
        <w:t>не може бути розв’язана за допомогою чинн</w:t>
      </w:r>
      <w:r w:rsidR="002E1D60" w:rsidRPr="00820810">
        <w:rPr>
          <w:sz w:val="26"/>
          <w:szCs w:val="26"/>
        </w:rPr>
        <w:t>ого</w:t>
      </w:r>
      <w:r w:rsidRPr="00820810">
        <w:rPr>
          <w:sz w:val="26"/>
          <w:szCs w:val="26"/>
        </w:rPr>
        <w:t xml:space="preserve"> регуляторн</w:t>
      </w:r>
      <w:r w:rsidR="002E1D60" w:rsidRPr="00820810">
        <w:rPr>
          <w:sz w:val="26"/>
          <w:szCs w:val="26"/>
        </w:rPr>
        <w:t>ого</w:t>
      </w:r>
      <w:r w:rsidRPr="00820810">
        <w:rPr>
          <w:sz w:val="26"/>
          <w:szCs w:val="26"/>
        </w:rPr>
        <w:t xml:space="preserve"> акт</w:t>
      </w:r>
      <w:r w:rsidR="002E1D60" w:rsidRPr="00820810">
        <w:rPr>
          <w:sz w:val="26"/>
          <w:szCs w:val="26"/>
        </w:rPr>
        <w:t>а</w:t>
      </w:r>
      <w:r w:rsidRPr="00820810">
        <w:rPr>
          <w:sz w:val="26"/>
          <w:szCs w:val="26"/>
        </w:rPr>
        <w:t>, оскільки в</w:t>
      </w:r>
      <w:r w:rsidR="002E1D60" w:rsidRPr="00820810">
        <w:rPr>
          <w:sz w:val="26"/>
          <w:szCs w:val="26"/>
        </w:rPr>
        <w:t>ін</w:t>
      </w:r>
      <w:r w:rsidRPr="00820810">
        <w:rPr>
          <w:sz w:val="26"/>
          <w:szCs w:val="26"/>
        </w:rPr>
        <w:t xml:space="preserve"> </w:t>
      </w:r>
      <w:r w:rsidR="002E1D60" w:rsidRPr="00820810">
        <w:rPr>
          <w:sz w:val="26"/>
          <w:szCs w:val="26"/>
        </w:rPr>
        <w:t>потребує оновлення</w:t>
      </w:r>
      <w:r w:rsidRPr="00820810">
        <w:rPr>
          <w:sz w:val="26"/>
          <w:szCs w:val="26"/>
        </w:rPr>
        <w:t>.</w:t>
      </w:r>
    </w:p>
    <w:p w:rsidR="00B513AF" w:rsidRPr="00820810" w:rsidRDefault="00B513AF" w:rsidP="00B07D99">
      <w:pPr>
        <w:pStyle w:val="aa"/>
        <w:spacing w:after="0"/>
        <w:ind w:left="0" w:firstLine="709"/>
        <w:jc w:val="both"/>
        <w:rPr>
          <w:sz w:val="26"/>
          <w:szCs w:val="26"/>
        </w:rPr>
      </w:pPr>
    </w:p>
    <w:p w:rsidR="00E62F4C" w:rsidRPr="00820810" w:rsidRDefault="001F7084" w:rsidP="00902EB5">
      <w:pPr>
        <w:spacing w:after="120" w:line="240" w:lineRule="auto"/>
        <w:contextualSpacing/>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ІІ. Цілі державного регулювання</w:t>
      </w:r>
    </w:p>
    <w:p w:rsidR="008B055D" w:rsidRPr="00820810" w:rsidRDefault="008B055D" w:rsidP="00580083">
      <w:pPr>
        <w:pStyle w:val="aa"/>
        <w:spacing w:after="0"/>
        <w:ind w:left="0" w:firstLine="567"/>
        <w:jc w:val="both"/>
        <w:rPr>
          <w:sz w:val="26"/>
          <w:szCs w:val="26"/>
        </w:rPr>
      </w:pPr>
      <w:r w:rsidRPr="00820810">
        <w:rPr>
          <w:sz w:val="26"/>
          <w:szCs w:val="26"/>
        </w:rPr>
        <w:t xml:space="preserve">Основною метою </w:t>
      </w:r>
      <w:r w:rsidR="0050644D" w:rsidRPr="00820810">
        <w:rPr>
          <w:sz w:val="26"/>
          <w:szCs w:val="26"/>
        </w:rPr>
        <w:t>прийняття</w:t>
      </w:r>
      <w:r w:rsidRPr="00820810">
        <w:rPr>
          <w:sz w:val="26"/>
          <w:szCs w:val="26"/>
        </w:rPr>
        <w:t xml:space="preserve"> </w:t>
      </w:r>
      <w:r w:rsidR="00580083" w:rsidRPr="00820810">
        <w:rPr>
          <w:sz w:val="26"/>
          <w:szCs w:val="26"/>
        </w:rPr>
        <w:t>проекту акта</w:t>
      </w:r>
      <w:r w:rsidRPr="00820810">
        <w:rPr>
          <w:sz w:val="26"/>
          <w:szCs w:val="26"/>
        </w:rPr>
        <w:t xml:space="preserve"> є забезпечення покращення енергетичних та екологічних характеристик для</w:t>
      </w:r>
      <w:r w:rsidR="00420AA2" w:rsidRPr="00820810">
        <w:rPr>
          <w:sz w:val="26"/>
          <w:szCs w:val="26"/>
        </w:rPr>
        <w:t xml:space="preserve"> </w:t>
      </w:r>
      <w:r w:rsidR="006F5C0A" w:rsidRPr="00820810">
        <w:rPr>
          <w:sz w:val="26"/>
          <w:szCs w:val="26"/>
        </w:rPr>
        <w:t>посудомийних машин</w:t>
      </w:r>
      <w:r w:rsidRPr="00820810">
        <w:rPr>
          <w:sz w:val="26"/>
          <w:szCs w:val="26"/>
        </w:rPr>
        <w:t>, що дозволить поступово витіснити з ринку найбільш енергоємні товари та товари з найбільшим негативним впливом н</w:t>
      </w:r>
      <w:r w:rsidR="002E1D60" w:rsidRPr="00820810">
        <w:rPr>
          <w:sz w:val="26"/>
          <w:szCs w:val="26"/>
        </w:rPr>
        <w:t>а екологію, відповідно до оновленого законодавства ЄС.</w:t>
      </w:r>
      <w:r w:rsidRPr="00820810">
        <w:rPr>
          <w:sz w:val="26"/>
          <w:szCs w:val="26"/>
        </w:rPr>
        <w:t xml:space="preserve"> </w:t>
      </w:r>
    </w:p>
    <w:p w:rsidR="00420AA2" w:rsidRPr="00820810" w:rsidRDefault="00420AA2" w:rsidP="00580083">
      <w:pPr>
        <w:pStyle w:val="aa"/>
        <w:spacing w:after="0"/>
        <w:ind w:left="0" w:firstLine="567"/>
        <w:jc w:val="both"/>
        <w:rPr>
          <w:sz w:val="26"/>
          <w:szCs w:val="26"/>
        </w:rPr>
      </w:pPr>
      <w:r w:rsidRPr="00820810">
        <w:rPr>
          <w:sz w:val="26"/>
          <w:szCs w:val="26"/>
        </w:rPr>
        <w:t xml:space="preserve">Це дозволить поступово збільшити випуск енергоефективних </w:t>
      </w:r>
      <w:r w:rsidR="006F5C0A" w:rsidRPr="00820810">
        <w:rPr>
          <w:sz w:val="26"/>
          <w:szCs w:val="26"/>
        </w:rPr>
        <w:t>посудомийних машин</w:t>
      </w:r>
      <w:r w:rsidRPr="00820810">
        <w:rPr>
          <w:sz w:val="26"/>
          <w:szCs w:val="26"/>
        </w:rPr>
        <w:t>, а виробникам – підвищити конкурентоспроможн</w:t>
      </w:r>
      <w:r w:rsidR="006F5C0A" w:rsidRPr="00820810">
        <w:rPr>
          <w:sz w:val="26"/>
          <w:szCs w:val="26"/>
        </w:rPr>
        <w:t>і</w:t>
      </w:r>
      <w:r w:rsidRPr="00820810">
        <w:rPr>
          <w:sz w:val="26"/>
          <w:szCs w:val="26"/>
        </w:rPr>
        <w:t>сть своєї продукції на міжнародному ринку. Також це зменшить загальнодержавний рівень енергетичного споживання та рівень енергоємності валового внутрішнього продукту, що наразі в два-три рази більший, ніж у країнах Європейського Союзу.</w:t>
      </w:r>
    </w:p>
    <w:p w:rsidR="00AB35C1" w:rsidRPr="00820810" w:rsidRDefault="00AB35C1" w:rsidP="00580083">
      <w:pPr>
        <w:spacing w:line="240" w:lineRule="auto"/>
        <w:ind w:firstLine="567"/>
        <w:contextualSpacing/>
        <w:jc w:val="both"/>
        <w:rPr>
          <w:rFonts w:ascii="Times New Roman" w:hAnsi="Times New Roman" w:cs="Times New Roman"/>
          <w:color w:val="000000"/>
          <w:sz w:val="26"/>
          <w:szCs w:val="26"/>
          <w:lang w:val="uk-UA"/>
        </w:rPr>
      </w:pPr>
      <w:r w:rsidRPr="00820810">
        <w:rPr>
          <w:rFonts w:ascii="Times New Roman" w:hAnsi="Times New Roman" w:cs="Times New Roman"/>
          <w:color w:val="000000"/>
          <w:sz w:val="26"/>
          <w:szCs w:val="26"/>
          <w:lang w:val="uk-UA"/>
        </w:rPr>
        <w:t xml:space="preserve">Затвердження </w:t>
      </w:r>
      <w:r w:rsidR="00580083" w:rsidRPr="00820810">
        <w:rPr>
          <w:rFonts w:ascii="Times New Roman" w:hAnsi="Times New Roman" w:cs="Times New Roman"/>
          <w:color w:val="000000"/>
          <w:sz w:val="26"/>
          <w:szCs w:val="26"/>
          <w:lang w:val="uk-UA"/>
        </w:rPr>
        <w:t>проекту акта</w:t>
      </w:r>
      <w:r w:rsidRPr="00820810">
        <w:rPr>
          <w:rFonts w:ascii="Times New Roman" w:hAnsi="Times New Roman" w:cs="Times New Roman"/>
          <w:color w:val="000000"/>
          <w:sz w:val="26"/>
          <w:szCs w:val="26"/>
          <w:lang w:val="uk-UA"/>
        </w:rPr>
        <w:t xml:space="preserve"> забезпечить виконання вимог чинного законодавства.</w:t>
      </w:r>
    </w:p>
    <w:p w:rsidR="002E1D60" w:rsidRPr="00820810" w:rsidRDefault="002E1D60" w:rsidP="002E1D60">
      <w:pPr>
        <w:spacing w:line="240" w:lineRule="auto"/>
        <w:contextualSpacing/>
        <w:jc w:val="both"/>
        <w:rPr>
          <w:rFonts w:ascii="Times New Roman" w:hAnsi="Times New Roman" w:cs="Times New Roman"/>
          <w:color w:val="000000"/>
          <w:sz w:val="26"/>
          <w:szCs w:val="26"/>
          <w:lang w:val="uk-UA"/>
        </w:rPr>
      </w:pPr>
    </w:p>
    <w:p w:rsidR="00FA5BD8" w:rsidRPr="00820810" w:rsidRDefault="00FA5BD8" w:rsidP="00FA5BD8">
      <w:pPr>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ІІІ. Визначення та оцінка альтернативних способів досягнення цілей</w:t>
      </w:r>
    </w:p>
    <w:p w:rsidR="00FA5BD8" w:rsidRPr="00820810" w:rsidRDefault="00FA5BD8" w:rsidP="00FA5BD8">
      <w:pPr>
        <w:pStyle w:val="a9"/>
        <w:numPr>
          <w:ilvl w:val="0"/>
          <w:numId w:val="5"/>
        </w:numPr>
        <w:rPr>
          <w:rFonts w:ascii="Times New Roman" w:hAnsi="Times New Roman" w:cs="Times New Roman"/>
          <w:sz w:val="26"/>
          <w:szCs w:val="26"/>
          <w:lang w:val="uk-UA"/>
        </w:rPr>
      </w:pPr>
      <w:r w:rsidRPr="00820810">
        <w:rPr>
          <w:rFonts w:ascii="Times New Roman" w:hAnsi="Times New Roman" w:cs="Times New Roman"/>
          <w:sz w:val="26"/>
          <w:szCs w:val="26"/>
          <w:lang w:val="uk-UA"/>
        </w:rPr>
        <w:t>Визначення альтернативних способів</w:t>
      </w:r>
    </w:p>
    <w:tbl>
      <w:tblPr>
        <w:tblStyle w:val="ac"/>
        <w:tblW w:w="9782" w:type="dxa"/>
        <w:tblInd w:w="-176" w:type="dxa"/>
        <w:tblLook w:val="04A0" w:firstRow="1" w:lastRow="0" w:firstColumn="1" w:lastColumn="0" w:noHBand="0" w:noVBand="1"/>
      </w:tblPr>
      <w:tblGrid>
        <w:gridCol w:w="3573"/>
        <w:gridCol w:w="6209"/>
      </w:tblGrid>
      <w:tr w:rsidR="00FA5BD8" w:rsidRPr="00820810" w:rsidTr="00795962">
        <w:trPr>
          <w:trHeight w:val="429"/>
        </w:trPr>
        <w:tc>
          <w:tcPr>
            <w:tcW w:w="3573" w:type="dxa"/>
            <w:vAlign w:val="center"/>
          </w:tcPr>
          <w:p w:rsidR="00FA5BD8" w:rsidRPr="00820810" w:rsidRDefault="00FA5BD8" w:rsidP="00795962">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Вид альтернатив</w:t>
            </w:r>
          </w:p>
        </w:tc>
        <w:tc>
          <w:tcPr>
            <w:tcW w:w="6209" w:type="dxa"/>
            <w:vAlign w:val="center"/>
          </w:tcPr>
          <w:p w:rsidR="00FA5BD8" w:rsidRPr="00820810" w:rsidRDefault="00FA5BD8" w:rsidP="00795962">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Опис альтернативи</w:t>
            </w:r>
          </w:p>
        </w:tc>
      </w:tr>
      <w:tr w:rsidR="00FA5BD8" w:rsidRPr="00234976" w:rsidTr="001D09D6">
        <w:tc>
          <w:tcPr>
            <w:tcW w:w="3573" w:type="dxa"/>
          </w:tcPr>
          <w:p w:rsidR="00FA5BD8" w:rsidRPr="00820810" w:rsidRDefault="00FA5BD8" w:rsidP="00893127">
            <w:pPr>
              <w:pStyle w:val="a9"/>
              <w:ind w:left="0"/>
              <w:rPr>
                <w:rFonts w:ascii="Times New Roman" w:hAnsi="Times New Roman" w:cs="Times New Roman"/>
                <w:sz w:val="24"/>
                <w:szCs w:val="24"/>
                <w:lang w:val="uk-UA"/>
              </w:rPr>
            </w:pPr>
            <w:r w:rsidRPr="00820810">
              <w:rPr>
                <w:rFonts w:ascii="Times New Roman" w:hAnsi="Times New Roman" w:cs="Times New Roman"/>
                <w:sz w:val="24"/>
                <w:szCs w:val="24"/>
                <w:lang w:val="uk-UA"/>
              </w:rPr>
              <w:t>Альтернатива 1</w:t>
            </w:r>
          </w:p>
          <w:p w:rsidR="00FA5BD8" w:rsidRPr="00820810" w:rsidRDefault="00FA5BD8" w:rsidP="00893127">
            <w:pPr>
              <w:pStyle w:val="a9"/>
              <w:ind w:left="0"/>
              <w:rPr>
                <w:rFonts w:ascii="Times New Roman" w:hAnsi="Times New Roman" w:cs="Times New Roman"/>
                <w:i/>
                <w:sz w:val="24"/>
                <w:szCs w:val="24"/>
                <w:lang w:val="uk-UA"/>
              </w:rPr>
            </w:pPr>
            <w:r w:rsidRPr="00820810">
              <w:rPr>
                <w:rFonts w:ascii="Times New Roman" w:hAnsi="Times New Roman" w:cs="Times New Roman"/>
                <w:i/>
                <w:sz w:val="24"/>
                <w:szCs w:val="24"/>
                <w:lang w:val="uk-UA"/>
              </w:rPr>
              <w:t>Залишити ситуацію без змін</w:t>
            </w:r>
          </w:p>
        </w:tc>
        <w:tc>
          <w:tcPr>
            <w:tcW w:w="6209" w:type="dxa"/>
          </w:tcPr>
          <w:p w:rsidR="00FA5BD8" w:rsidRPr="00820810" w:rsidRDefault="00FA5BD8" w:rsidP="00893127">
            <w:pPr>
              <w:pStyle w:val="a9"/>
              <w:ind w:left="35" w:firstLine="425"/>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У разі залишення ситуації без змін досягнення визначених цілей державного регулювання неможливе.</w:t>
            </w:r>
          </w:p>
          <w:p w:rsidR="00FA5BD8" w:rsidRPr="00820810" w:rsidRDefault="00FA5BD8" w:rsidP="00893127">
            <w:pPr>
              <w:pStyle w:val="a9"/>
              <w:ind w:left="35" w:firstLine="425"/>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Обрання цього способу не дасть змоги виробникам в повній мірі виконувати вимоги прийнятих Технічних </w:t>
            </w:r>
            <w:r w:rsidRPr="00820810">
              <w:rPr>
                <w:rFonts w:ascii="Times New Roman" w:hAnsi="Times New Roman" w:cs="Times New Roman"/>
                <w:sz w:val="24"/>
                <w:szCs w:val="24"/>
                <w:lang w:val="uk-UA"/>
              </w:rPr>
              <w:lastRenderedPageBreak/>
              <w:t xml:space="preserve">регламентів на ринку продажів </w:t>
            </w:r>
            <w:r w:rsidR="007465BB" w:rsidRPr="00820810">
              <w:rPr>
                <w:rFonts w:ascii="Times New Roman" w:hAnsi="Times New Roman" w:cs="Times New Roman"/>
                <w:sz w:val="24"/>
                <w:szCs w:val="24"/>
                <w:lang w:val="uk-UA"/>
              </w:rPr>
              <w:t>побутових посудомийних машин</w:t>
            </w:r>
            <w:r w:rsidRPr="00820810">
              <w:rPr>
                <w:rFonts w:ascii="Times New Roman" w:hAnsi="Times New Roman" w:cs="Times New Roman"/>
                <w:sz w:val="24"/>
                <w:szCs w:val="24"/>
                <w:lang w:val="uk-UA"/>
              </w:rPr>
              <w:t>. Зобов’язання щодо приведення у відповідність законодавства України до європейського не будуть виконані, що може призвести до погіршення політичних та економічних відносин з європейським співтовариством.</w:t>
            </w:r>
          </w:p>
          <w:p w:rsidR="00FA5BD8" w:rsidRPr="00820810" w:rsidRDefault="00FA5BD8" w:rsidP="00893127">
            <w:pPr>
              <w:pStyle w:val="a9"/>
              <w:ind w:left="0" w:firstLine="431"/>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r>
      <w:tr w:rsidR="00FA5BD8" w:rsidRPr="00820810" w:rsidTr="001D09D6">
        <w:tc>
          <w:tcPr>
            <w:tcW w:w="3573" w:type="dxa"/>
          </w:tcPr>
          <w:p w:rsidR="00FA5BD8" w:rsidRPr="00820810" w:rsidRDefault="00FA5BD8" w:rsidP="00893127">
            <w:pPr>
              <w:pStyle w:val="a9"/>
              <w:ind w:left="0"/>
              <w:rPr>
                <w:rFonts w:ascii="Times New Roman" w:hAnsi="Times New Roman" w:cs="Times New Roman"/>
                <w:sz w:val="24"/>
                <w:szCs w:val="24"/>
                <w:lang w:val="uk-UA"/>
              </w:rPr>
            </w:pPr>
            <w:r w:rsidRPr="00820810">
              <w:rPr>
                <w:rFonts w:ascii="Times New Roman" w:hAnsi="Times New Roman" w:cs="Times New Roman"/>
                <w:sz w:val="24"/>
                <w:szCs w:val="24"/>
                <w:lang w:val="uk-UA"/>
              </w:rPr>
              <w:lastRenderedPageBreak/>
              <w:t>Альтернатива 2</w:t>
            </w:r>
          </w:p>
          <w:p w:rsidR="00FA5BD8" w:rsidRPr="00820810" w:rsidRDefault="00FA5BD8" w:rsidP="00893127">
            <w:pPr>
              <w:pStyle w:val="a9"/>
              <w:ind w:left="0"/>
              <w:rPr>
                <w:rFonts w:ascii="Times New Roman" w:hAnsi="Times New Roman" w:cs="Times New Roman"/>
                <w:i/>
                <w:sz w:val="24"/>
                <w:szCs w:val="24"/>
                <w:lang w:val="uk-UA"/>
              </w:rPr>
            </w:pPr>
            <w:r w:rsidRPr="00820810">
              <w:rPr>
                <w:rFonts w:ascii="Times New Roman" w:hAnsi="Times New Roman" w:cs="Times New Roman"/>
                <w:i/>
                <w:sz w:val="24"/>
                <w:szCs w:val="24"/>
                <w:lang w:val="uk-UA"/>
              </w:rPr>
              <w:t>Прийняття регуляторного акта</w:t>
            </w:r>
          </w:p>
        </w:tc>
        <w:tc>
          <w:tcPr>
            <w:tcW w:w="6209" w:type="dxa"/>
          </w:tcPr>
          <w:p w:rsidR="00FA5BD8" w:rsidRPr="00820810" w:rsidRDefault="00FA5BD8" w:rsidP="00893127">
            <w:pPr>
              <w:pStyle w:val="a9"/>
              <w:ind w:left="0" w:firstLine="431"/>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Забезпечує досягнення цілей державного регулювання.</w:t>
            </w:r>
          </w:p>
          <w:p w:rsidR="00FA5BD8" w:rsidRPr="00820810" w:rsidRDefault="00FA5BD8" w:rsidP="00893127">
            <w:pPr>
              <w:pStyle w:val="a9"/>
              <w:ind w:left="0" w:firstLine="431"/>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FA5BD8" w:rsidRPr="00820810" w:rsidRDefault="00FA5BD8" w:rsidP="00893127">
            <w:pPr>
              <w:ind w:firstLine="431"/>
              <w:contextualSpacing/>
              <w:jc w:val="both"/>
              <w:rPr>
                <w:rFonts w:ascii="Times New Roman" w:hAnsi="Times New Roman" w:cs="Times New Roman"/>
                <w:sz w:val="24"/>
                <w:szCs w:val="24"/>
                <w:lang w:val="uk-UA"/>
              </w:rPr>
            </w:pPr>
            <w:r w:rsidRPr="00820810">
              <w:rPr>
                <w:rFonts w:ascii="Times New Roman" w:hAnsi="Times New Roman" w:cs="Times New Roman"/>
                <w:color w:val="000000"/>
                <w:sz w:val="24"/>
                <w:szCs w:val="24"/>
                <w:lang w:val="uk-UA"/>
              </w:rPr>
              <w:t xml:space="preserve">Дозволяє забезпечити </w:t>
            </w:r>
            <w:r w:rsidRPr="00820810">
              <w:rPr>
                <w:rFonts w:ascii="Times New Roman" w:hAnsi="Times New Roman" w:cs="Times New Roman"/>
                <w:sz w:val="24"/>
                <w:szCs w:val="24"/>
                <w:lang w:val="uk-UA"/>
              </w:rPr>
              <w:t>споживачів даного обладнання мати повну та достовірну інформацію щодо вимог до екодизайну, а виробникам – підвищити конкурентоспроможність своєї продукції на міжнародному ринку.</w:t>
            </w:r>
          </w:p>
          <w:p w:rsidR="00FA5BD8" w:rsidRPr="00820810" w:rsidRDefault="00FA5BD8" w:rsidP="00580083">
            <w:pPr>
              <w:spacing w:line="276" w:lineRule="auto"/>
              <w:ind w:firstLine="431"/>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Збільшення кількості енергоефективних товарів на ринку</w:t>
            </w:r>
          </w:p>
        </w:tc>
      </w:tr>
    </w:tbl>
    <w:p w:rsidR="009D755D" w:rsidRPr="00820810" w:rsidRDefault="009D755D" w:rsidP="00E62F4C">
      <w:pPr>
        <w:pStyle w:val="a9"/>
        <w:spacing w:after="120" w:line="240" w:lineRule="auto"/>
        <w:ind w:left="709"/>
        <w:rPr>
          <w:rFonts w:ascii="Times New Roman" w:hAnsi="Times New Roman" w:cs="Times New Roman"/>
          <w:sz w:val="26"/>
          <w:szCs w:val="26"/>
          <w:lang w:val="uk-UA"/>
        </w:rPr>
      </w:pPr>
    </w:p>
    <w:p w:rsidR="0029146A" w:rsidRPr="00820810" w:rsidRDefault="00B07D99" w:rsidP="002A6EBF">
      <w:pPr>
        <w:pStyle w:val="a9"/>
        <w:ind w:left="0" w:firstLine="709"/>
        <w:rPr>
          <w:rFonts w:ascii="Times New Roman" w:hAnsi="Times New Roman" w:cs="Times New Roman"/>
          <w:sz w:val="12"/>
          <w:szCs w:val="12"/>
          <w:lang w:val="uk-UA"/>
        </w:rPr>
      </w:pPr>
      <w:r w:rsidRPr="00820810">
        <w:rPr>
          <w:rFonts w:ascii="Times New Roman" w:hAnsi="Times New Roman" w:cs="Times New Roman"/>
          <w:sz w:val="26"/>
          <w:szCs w:val="26"/>
          <w:lang w:val="uk-UA"/>
        </w:rPr>
        <w:t>2. </w:t>
      </w:r>
      <w:r w:rsidR="00677415" w:rsidRPr="00820810">
        <w:rPr>
          <w:rFonts w:ascii="Times New Roman" w:hAnsi="Times New Roman" w:cs="Times New Roman"/>
          <w:sz w:val="26"/>
          <w:szCs w:val="26"/>
          <w:lang w:val="uk-UA"/>
        </w:rPr>
        <w:t>Оцінка вибраних альтернативних способів досягнення цілей</w:t>
      </w:r>
    </w:p>
    <w:p w:rsidR="002A6EBF" w:rsidRPr="00820810" w:rsidRDefault="00DD54A9" w:rsidP="00677415">
      <w:pPr>
        <w:pStyle w:val="a9"/>
        <w:rPr>
          <w:rFonts w:ascii="Times New Roman" w:hAnsi="Times New Roman" w:cs="Times New Roman"/>
          <w:i/>
          <w:sz w:val="26"/>
          <w:szCs w:val="26"/>
          <w:lang w:val="uk-UA"/>
        </w:rPr>
      </w:pPr>
      <w:r w:rsidRPr="00820810">
        <w:rPr>
          <w:rFonts w:ascii="Times New Roman" w:hAnsi="Times New Roman" w:cs="Times New Roman"/>
          <w:i/>
          <w:sz w:val="26"/>
          <w:szCs w:val="26"/>
          <w:lang w:val="uk-UA"/>
        </w:rPr>
        <w:t>Оцінка впливу на сферу інтересів держави</w:t>
      </w:r>
    </w:p>
    <w:p w:rsidR="005B1DAA" w:rsidRPr="00820810" w:rsidRDefault="005B1DAA" w:rsidP="00677415">
      <w:pPr>
        <w:pStyle w:val="a9"/>
        <w:rPr>
          <w:rFonts w:ascii="Times New Roman" w:hAnsi="Times New Roman" w:cs="Times New Roman"/>
          <w:i/>
          <w:sz w:val="26"/>
          <w:szCs w:val="26"/>
          <w:lang w:val="uk-UA"/>
        </w:rPr>
      </w:pPr>
    </w:p>
    <w:tbl>
      <w:tblPr>
        <w:tblStyle w:val="ac"/>
        <w:tblW w:w="9782" w:type="dxa"/>
        <w:tblInd w:w="-176" w:type="dxa"/>
        <w:tblLayout w:type="fixed"/>
        <w:tblLook w:val="04A0" w:firstRow="1" w:lastRow="0" w:firstColumn="1" w:lastColumn="0" w:noHBand="0" w:noVBand="1"/>
      </w:tblPr>
      <w:tblGrid>
        <w:gridCol w:w="2127"/>
        <w:gridCol w:w="3969"/>
        <w:gridCol w:w="3686"/>
      </w:tblGrid>
      <w:tr w:rsidR="00684F94" w:rsidRPr="00820810" w:rsidTr="00795962">
        <w:trPr>
          <w:trHeight w:val="403"/>
        </w:trPr>
        <w:tc>
          <w:tcPr>
            <w:tcW w:w="2127" w:type="dxa"/>
            <w:vAlign w:val="center"/>
          </w:tcPr>
          <w:p w:rsidR="00DD54A9" w:rsidRPr="00820810" w:rsidRDefault="00DD54A9" w:rsidP="00795962">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Вид альтернативи</w:t>
            </w:r>
          </w:p>
        </w:tc>
        <w:tc>
          <w:tcPr>
            <w:tcW w:w="3969" w:type="dxa"/>
            <w:vAlign w:val="center"/>
          </w:tcPr>
          <w:p w:rsidR="00DD54A9" w:rsidRPr="00820810" w:rsidRDefault="00DD54A9" w:rsidP="00795962">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Вигоди</w:t>
            </w:r>
          </w:p>
        </w:tc>
        <w:tc>
          <w:tcPr>
            <w:tcW w:w="3686" w:type="dxa"/>
            <w:vAlign w:val="center"/>
          </w:tcPr>
          <w:p w:rsidR="00DD54A9" w:rsidRPr="00820810" w:rsidRDefault="00DD54A9" w:rsidP="00795962">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Витрати</w:t>
            </w:r>
          </w:p>
        </w:tc>
      </w:tr>
      <w:tr w:rsidR="00684F94" w:rsidRPr="00820810" w:rsidTr="005B1DAA">
        <w:trPr>
          <w:trHeight w:val="4061"/>
        </w:trPr>
        <w:tc>
          <w:tcPr>
            <w:tcW w:w="2127" w:type="dxa"/>
          </w:tcPr>
          <w:p w:rsidR="00DD54A9" w:rsidRPr="00820810" w:rsidRDefault="00114E9F" w:rsidP="00AB35C1">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1</w:t>
            </w:r>
            <w:r w:rsidRPr="00820810">
              <w:rPr>
                <w:rFonts w:ascii="Times New Roman" w:hAnsi="Times New Roman" w:cs="Times New Roman"/>
                <w:i/>
                <w:sz w:val="24"/>
                <w:szCs w:val="24"/>
                <w:lang w:val="uk-UA"/>
              </w:rPr>
              <w:br/>
            </w:r>
            <w:r w:rsidR="00DD54A9" w:rsidRPr="00820810">
              <w:rPr>
                <w:rFonts w:ascii="Times New Roman" w:hAnsi="Times New Roman" w:cs="Times New Roman"/>
                <w:i/>
                <w:sz w:val="24"/>
                <w:szCs w:val="24"/>
                <w:lang w:val="uk-UA"/>
              </w:rPr>
              <w:t>Залиш</w:t>
            </w:r>
            <w:r w:rsidR="00AB35C1" w:rsidRPr="00820810">
              <w:rPr>
                <w:rFonts w:ascii="Times New Roman" w:hAnsi="Times New Roman" w:cs="Times New Roman"/>
                <w:i/>
                <w:sz w:val="24"/>
                <w:szCs w:val="24"/>
                <w:lang w:val="uk-UA"/>
              </w:rPr>
              <w:t>ити</w:t>
            </w:r>
            <w:r w:rsidR="00DD54A9" w:rsidRPr="00820810">
              <w:rPr>
                <w:rFonts w:ascii="Times New Roman" w:hAnsi="Times New Roman" w:cs="Times New Roman"/>
                <w:i/>
                <w:sz w:val="24"/>
                <w:szCs w:val="24"/>
                <w:lang w:val="uk-UA"/>
              </w:rPr>
              <w:t xml:space="preserve"> ситуаці</w:t>
            </w:r>
            <w:r w:rsidR="00AB35C1" w:rsidRPr="00820810">
              <w:rPr>
                <w:rFonts w:ascii="Times New Roman" w:hAnsi="Times New Roman" w:cs="Times New Roman"/>
                <w:i/>
                <w:sz w:val="24"/>
                <w:szCs w:val="24"/>
                <w:lang w:val="uk-UA"/>
              </w:rPr>
              <w:t>ю</w:t>
            </w:r>
            <w:r w:rsidR="00DD54A9" w:rsidRPr="00820810">
              <w:rPr>
                <w:rFonts w:ascii="Times New Roman" w:hAnsi="Times New Roman" w:cs="Times New Roman"/>
                <w:i/>
                <w:sz w:val="24"/>
                <w:szCs w:val="24"/>
                <w:lang w:val="uk-UA"/>
              </w:rPr>
              <w:t xml:space="preserve"> без змін</w:t>
            </w:r>
          </w:p>
        </w:tc>
        <w:tc>
          <w:tcPr>
            <w:tcW w:w="3969" w:type="dxa"/>
          </w:tcPr>
          <w:p w:rsidR="00580083" w:rsidRPr="00820810" w:rsidRDefault="00114E9F" w:rsidP="00580083">
            <w:pPr>
              <w:pStyle w:val="a9"/>
              <w:ind w:left="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Вигоди відсутні</w:t>
            </w:r>
            <w:r w:rsidR="00580083" w:rsidRPr="00820810">
              <w:rPr>
                <w:rFonts w:ascii="Times New Roman" w:hAnsi="Times New Roman" w:cs="Times New Roman"/>
                <w:sz w:val="24"/>
                <w:szCs w:val="24"/>
                <w:lang w:val="uk-UA"/>
              </w:rPr>
              <w:t xml:space="preserve"> </w:t>
            </w:r>
          </w:p>
          <w:p w:rsidR="00580083" w:rsidRPr="00820810" w:rsidRDefault="00580083" w:rsidP="00580083">
            <w:pPr>
              <w:pStyle w:val="a9"/>
              <w:ind w:left="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Створення технічних бар’єрів під час торгівлі між Україною та ЄС.</w:t>
            </w:r>
          </w:p>
          <w:p w:rsidR="00580083" w:rsidRPr="00820810" w:rsidRDefault="00580083" w:rsidP="00580083">
            <w:pPr>
              <w:pStyle w:val="a9"/>
              <w:ind w:left="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Відсутність європейського підходу до енергоефективної  продукції.</w:t>
            </w:r>
          </w:p>
          <w:p w:rsidR="00580083" w:rsidRPr="00820810" w:rsidRDefault="00580083" w:rsidP="00580083">
            <w:pPr>
              <w:pStyle w:val="a9"/>
              <w:ind w:left="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rsidR="00DD54A9" w:rsidRPr="00820810" w:rsidRDefault="00DD54A9" w:rsidP="00C617A8">
            <w:pPr>
              <w:pStyle w:val="a9"/>
              <w:ind w:left="0" w:firstLine="317"/>
              <w:rPr>
                <w:b/>
                <w:sz w:val="24"/>
                <w:szCs w:val="24"/>
                <w:lang w:val="uk-UA"/>
              </w:rPr>
            </w:pPr>
          </w:p>
        </w:tc>
        <w:tc>
          <w:tcPr>
            <w:tcW w:w="3686" w:type="dxa"/>
          </w:tcPr>
          <w:p w:rsidR="00752ED7" w:rsidRPr="00820810" w:rsidRDefault="00580083" w:rsidP="00580083">
            <w:pPr>
              <w:pStyle w:val="a9"/>
              <w:ind w:left="0"/>
              <w:jc w:val="center"/>
              <w:rPr>
                <w:rFonts w:ascii="Times New Roman" w:hAnsi="Times New Roman" w:cs="Times New Roman"/>
                <w:sz w:val="24"/>
                <w:szCs w:val="24"/>
                <w:lang w:val="uk-UA"/>
              </w:rPr>
            </w:pPr>
            <w:r w:rsidRPr="00820810">
              <w:rPr>
                <w:rFonts w:ascii="Times New Roman" w:eastAsia="Calibri" w:hAnsi="Times New Roman" w:cs="Times New Roman"/>
                <w:sz w:val="24"/>
                <w:szCs w:val="24"/>
                <w:lang w:val="uk-UA"/>
              </w:rPr>
              <w:t>Відсутні</w:t>
            </w:r>
          </w:p>
        </w:tc>
      </w:tr>
      <w:tr w:rsidR="00DD54A9" w:rsidRPr="00820810" w:rsidTr="001D09D6">
        <w:tc>
          <w:tcPr>
            <w:tcW w:w="2127" w:type="dxa"/>
          </w:tcPr>
          <w:p w:rsidR="00ED5A1D" w:rsidRPr="00820810" w:rsidRDefault="00ED5A1D" w:rsidP="00DD54A9">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2</w:t>
            </w:r>
          </w:p>
          <w:p w:rsidR="00DD54A9" w:rsidRPr="00820810" w:rsidRDefault="00DD54A9" w:rsidP="00846AAD">
            <w:pPr>
              <w:pStyle w:val="a9"/>
              <w:ind w:left="0"/>
              <w:rPr>
                <w:rFonts w:ascii="Times New Roman" w:hAnsi="Times New Roman" w:cs="Times New Roman"/>
                <w:i/>
                <w:sz w:val="24"/>
                <w:szCs w:val="24"/>
                <w:lang w:val="uk-UA"/>
              </w:rPr>
            </w:pPr>
            <w:r w:rsidRPr="00820810">
              <w:rPr>
                <w:rFonts w:ascii="Times New Roman" w:hAnsi="Times New Roman" w:cs="Times New Roman"/>
                <w:i/>
                <w:sz w:val="24"/>
                <w:szCs w:val="24"/>
                <w:lang w:val="uk-UA"/>
              </w:rPr>
              <w:t>Прийняття регуляторного акт</w:t>
            </w:r>
            <w:r w:rsidR="00846AAD" w:rsidRPr="00820810">
              <w:rPr>
                <w:rFonts w:ascii="Times New Roman" w:hAnsi="Times New Roman" w:cs="Times New Roman"/>
                <w:i/>
                <w:sz w:val="24"/>
                <w:szCs w:val="24"/>
                <w:lang w:val="uk-UA"/>
              </w:rPr>
              <w:t>а</w:t>
            </w:r>
          </w:p>
        </w:tc>
        <w:tc>
          <w:tcPr>
            <w:tcW w:w="3969" w:type="dxa"/>
          </w:tcPr>
          <w:p w:rsidR="002A6EBF" w:rsidRPr="00820810" w:rsidRDefault="002A6EBF" w:rsidP="002A6EBF">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будуть виконані, що призведе до покращення політичних та економічних відносин з європейським співтовариством.</w:t>
            </w:r>
          </w:p>
          <w:p w:rsidR="00DD54A9" w:rsidRPr="00820810" w:rsidRDefault="002A6EBF" w:rsidP="002A6EBF">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Усунення технічних бар’єрів під час введення в обіг та </w:t>
            </w:r>
            <w:r w:rsidRPr="00820810">
              <w:rPr>
                <w:rFonts w:ascii="Times New Roman" w:hAnsi="Times New Roman" w:cs="Times New Roman"/>
                <w:sz w:val="24"/>
                <w:szCs w:val="24"/>
                <w:lang w:val="uk-UA"/>
              </w:rPr>
              <w:lastRenderedPageBreak/>
              <w:t>розповсюдження товарів на ринку України.</w:t>
            </w:r>
          </w:p>
        </w:tc>
        <w:tc>
          <w:tcPr>
            <w:tcW w:w="3686" w:type="dxa"/>
          </w:tcPr>
          <w:p w:rsidR="00DD54A9" w:rsidRPr="00820810" w:rsidRDefault="00A607A5" w:rsidP="00A607A5">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lastRenderedPageBreak/>
              <w:t>Відсутні</w:t>
            </w:r>
          </w:p>
        </w:tc>
      </w:tr>
    </w:tbl>
    <w:p w:rsidR="005B1DAA" w:rsidRPr="00820810" w:rsidRDefault="005B1DAA" w:rsidP="00B12D64">
      <w:pPr>
        <w:ind w:firstLine="709"/>
        <w:rPr>
          <w:rFonts w:ascii="Times New Roman" w:hAnsi="Times New Roman" w:cs="Times New Roman"/>
          <w:i/>
          <w:sz w:val="26"/>
          <w:szCs w:val="26"/>
          <w:lang w:val="uk-UA"/>
        </w:rPr>
      </w:pPr>
    </w:p>
    <w:p w:rsidR="002A6EBF" w:rsidRPr="00820810" w:rsidRDefault="002A6EBF" w:rsidP="00B12D64">
      <w:pPr>
        <w:ind w:firstLine="709"/>
        <w:rPr>
          <w:rFonts w:ascii="Times New Roman" w:hAnsi="Times New Roman" w:cs="Times New Roman"/>
          <w:i/>
          <w:sz w:val="26"/>
          <w:szCs w:val="26"/>
          <w:lang w:val="uk-UA"/>
        </w:rPr>
      </w:pPr>
      <w:r w:rsidRPr="00820810">
        <w:rPr>
          <w:rFonts w:ascii="Times New Roman" w:hAnsi="Times New Roman" w:cs="Times New Roman"/>
          <w:i/>
          <w:sz w:val="26"/>
          <w:szCs w:val="26"/>
          <w:lang w:val="uk-UA"/>
        </w:rPr>
        <w:t>Оцінка впливу на сферу інтересів громадян</w:t>
      </w:r>
    </w:p>
    <w:tbl>
      <w:tblPr>
        <w:tblStyle w:val="ac"/>
        <w:tblW w:w="9782" w:type="dxa"/>
        <w:tblInd w:w="-176" w:type="dxa"/>
        <w:tblLook w:val="04A0" w:firstRow="1" w:lastRow="0" w:firstColumn="1" w:lastColumn="0" w:noHBand="0" w:noVBand="1"/>
      </w:tblPr>
      <w:tblGrid>
        <w:gridCol w:w="2127"/>
        <w:gridCol w:w="3969"/>
        <w:gridCol w:w="3686"/>
      </w:tblGrid>
      <w:tr w:rsidR="002A6EBF" w:rsidRPr="00820810" w:rsidTr="005B1DAA">
        <w:trPr>
          <w:trHeight w:val="474"/>
        </w:trPr>
        <w:tc>
          <w:tcPr>
            <w:tcW w:w="2127" w:type="dxa"/>
            <w:vAlign w:val="center"/>
          </w:tcPr>
          <w:p w:rsidR="002A6EBF" w:rsidRPr="00820810" w:rsidRDefault="002A6EBF" w:rsidP="005B1DAA">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Вид альтернативи</w:t>
            </w:r>
          </w:p>
        </w:tc>
        <w:tc>
          <w:tcPr>
            <w:tcW w:w="3969" w:type="dxa"/>
            <w:vAlign w:val="center"/>
          </w:tcPr>
          <w:p w:rsidR="002A6EBF" w:rsidRPr="00820810" w:rsidRDefault="002A6EBF" w:rsidP="005B1DAA">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Вигоди</w:t>
            </w:r>
          </w:p>
        </w:tc>
        <w:tc>
          <w:tcPr>
            <w:tcW w:w="3686" w:type="dxa"/>
            <w:vAlign w:val="center"/>
          </w:tcPr>
          <w:p w:rsidR="002A6EBF" w:rsidRPr="00820810" w:rsidRDefault="002A6EBF" w:rsidP="005B1DAA">
            <w:pPr>
              <w:pStyle w:val="a9"/>
              <w:ind w:left="0"/>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Витрати</w:t>
            </w:r>
          </w:p>
        </w:tc>
      </w:tr>
      <w:tr w:rsidR="002A6EBF" w:rsidRPr="00820810" w:rsidTr="005B1DAA">
        <w:tc>
          <w:tcPr>
            <w:tcW w:w="2127" w:type="dxa"/>
          </w:tcPr>
          <w:p w:rsidR="002A6EBF" w:rsidRPr="00820810" w:rsidRDefault="002A6EBF" w:rsidP="006A16DF">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1</w:t>
            </w:r>
          </w:p>
          <w:p w:rsidR="002A6EBF" w:rsidRPr="00820810" w:rsidRDefault="002A6EBF" w:rsidP="006A16DF">
            <w:pPr>
              <w:pStyle w:val="a9"/>
              <w:ind w:left="0"/>
              <w:rPr>
                <w:rFonts w:ascii="Times New Roman" w:hAnsi="Times New Roman" w:cs="Times New Roman"/>
                <w:i/>
                <w:sz w:val="24"/>
                <w:szCs w:val="24"/>
                <w:lang w:val="uk-UA"/>
              </w:rPr>
            </w:pPr>
            <w:r w:rsidRPr="00820810">
              <w:rPr>
                <w:rFonts w:ascii="Times New Roman" w:hAnsi="Times New Roman" w:cs="Times New Roman"/>
                <w:i/>
                <w:sz w:val="24"/>
                <w:szCs w:val="24"/>
                <w:lang w:val="uk-UA"/>
              </w:rPr>
              <w:t>Залишити ситуацію без змін</w:t>
            </w:r>
          </w:p>
        </w:tc>
        <w:tc>
          <w:tcPr>
            <w:tcW w:w="3969" w:type="dxa"/>
          </w:tcPr>
          <w:p w:rsidR="002A6EBF" w:rsidRPr="00820810" w:rsidRDefault="002A6EBF" w:rsidP="006A16DF">
            <w:pPr>
              <w:pStyle w:val="a9"/>
              <w:ind w:left="0"/>
              <w:jc w:val="center"/>
              <w:rPr>
                <w:b/>
                <w:sz w:val="24"/>
                <w:szCs w:val="24"/>
                <w:lang w:val="uk-UA"/>
              </w:rPr>
            </w:pPr>
            <w:r w:rsidRPr="00820810">
              <w:rPr>
                <w:rFonts w:ascii="Times New Roman" w:hAnsi="Times New Roman" w:cs="Times New Roman"/>
                <w:sz w:val="24"/>
                <w:szCs w:val="24"/>
                <w:lang w:val="uk-UA"/>
              </w:rPr>
              <w:t>Вигоди відсутні</w:t>
            </w:r>
          </w:p>
        </w:tc>
        <w:tc>
          <w:tcPr>
            <w:tcW w:w="3686" w:type="dxa"/>
          </w:tcPr>
          <w:p w:rsidR="00472F55" w:rsidRPr="00820810" w:rsidRDefault="002A6EBF" w:rsidP="00472F55">
            <w:pPr>
              <w:pStyle w:val="a9"/>
              <w:ind w:left="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Відсутність споживчого вибору між дешевою, енергоємною продукцією та енергоефективною. Надмірні витрати за використання електричної енергії, використання неефективног</w:t>
            </w:r>
            <w:r w:rsidR="00472F55" w:rsidRPr="00820810">
              <w:rPr>
                <w:rFonts w:ascii="Times New Roman" w:hAnsi="Times New Roman" w:cs="Times New Roman"/>
                <w:sz w:val="24"/>
                <w:szCs w:val="24"/>
                <w:lang w:val="uk-UA"/>
              </w:rPr>
              <w:t>о та неекологічного обладнання</w:t>
            </w:r>
          </w:p>
          <w:p w:rsidR="002A6EBF" w:rsidRPr="00820810" w:rsidRDefault="002A6EBF" w:rsidP="00472F55">
            <w:pPr>
              <w:pStyle w:val="a9"/>
              <w:ind w:left="0"/>
              <w:jc w:val="both"/>
              <w:rPr>
                <w:rFonts w:ascii="Times New Roman" w:hAnsi="Times New Roman" w:cs="Times New Roman"/>
                <w:sz w:val="24"/>
                <w:szCs w:val="24"/>
                <w:lang w:val="uk-UA"/>
              </w:rPr>
            </w:pPr>
          </w:p>
        </w:tc>
      </w:tr>
      <w:tr w:rsidR="002A6EBF" w:rsidRPr="00820810" w:rsidTr="005B1DAA">
        <w:tc>
          <w:tcPr>
            <w:tcW w:w="2127" w:type="dxa"/>
          </w:tcPr>
          <w:p w:rsidR="002A6EBF" w:rsidRPr="00820810" w:rsidRDefault="002A6EBF" w:rsidP="006A16DF">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2</w:t>
            </w:r>
          </w:p>
          <w:p w:rsidR="002A6EBF" w:rsidRPr="00820810" w:rsidRDefault="002A6EBF" w:rsidP="006A16DF">
            <w:pPr>
              <w:pStyle w:val="a9"/>
              <w:ind w:left="0"/>
              <w:rPr>
                <w:rFonts w:ascii="Times New Roman" w:hAnsi="Times New Roman" w:cs="Times New Roman"/>
                <w:i/>
                <w:sz w:val="24"/>
                <w:szCs w:val="24"/>
                <w:lang w:val="uk-UA"/>
              </w:rPr>
            </w:pPr>
            <w:r w:rsidRPr="00820810">
              <w:rPr>
                <w:rFonts w:ascii="Times New Roman" w:hAnsi="Times New Roman" w:cs="Times New Roman"/>
                <w:i/>
                <w:sz w:val="24"/>
                <w:szCs w:val="24"/>
                <w:lang w:val="uk-UA"/>
              </w:rPr>
              <w:t>Прийняття регуляторного акта</w:t>
            </w:r>
          </w:p>
        </w:tc>
        <w:tc>
          <w:tcPr>
            <w:tcW w:w="3969" w:type="dxa"/>
          </w:tcPr>
          <w:p w:rsidR="002A6EBF" w:rsidRPr="00820810" w:rsidRDefault="002A6EBF" w:rsidP="00472F55">
            <w:pPr>
              <w:pStyle w:val="a9"/>
              <w:ind w:left="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Наявність споживчого вибору між дешевою, енергоємною продукцією та енергоефективною. Зменшення витрат за використання електричної енергії, використання енергоефектив</w:t>
            </w:r>
            <w:r w:rsidR="00472F55" w:rsidRPr="00820810">
              <w:rPr>
                <w:rFonts w:ascii="Times New Roman" w:hAnsi="Times New Roman" w:cs="Times New Roman"/>
                <w:sz w:val="24"/>
                <w:szCs w:val="24"/>
                <w:lang w:val="uk-UA"/>
              </w:rPr>
              <w:t>ного та екологічного обладнання.</w:t>
            </w:r>
          </w:p>
        </w:tc>
        <w:tc>
          <w:tcPr>
            <w:tcW w:w="3686" w:type="dxa"/>
          </w:tcPr>
          <w:p w:rsidR="002A6EBF" w:rsidRPr="00820810" w:rsidRDefault="002A6EBF" w:rsidP="006A16DF">
            <w:pPr>
              <w:pStyle w:val="a9"/>
              <w:ind w:left="0"/>
              <w:rPr>
                <w:rFonts w:ascii="Times New Roman" w:hAnsi="Times New Roman" w:cs="Times New Roman"/>
                <w:sz w:val="24"/>
                <w:szCs w:val="24"/>
                <w:lang w:val="uk-UA"/>
              </w:rPr>
            </w:pPr>
            <w:r w:rsidRPr="00820810">
              <w:rPr>
                <w:rFonts w:ascii="Times New Roman" w:hAnsi="Times New Roman" w:cs="Times New Roman"/>
                <w:sz w:val="24"/>
                <w:szCs w:val="24"/>
                <w:lang w:val="uk-UA"/>
              </w:rPr>
              <w:t>Витрат не передбачається</w:t>
            </w:r>
          </w:p>
        </w:tc>
      </w:tr>
    </w:tbl>
    <w:p w:rsidR="00580083" w:rsidRPr="00820810" w:rsidRDefault="00580083" w:rsidP="001E4892">
      <w:pPr>
        <w:ind w:firstLine="709"/>
        <w:rPr>
          <w:rFonts w:ascii="Times New Roman" w:hAnsi="Times New Roman" w:cs="Times New Roman"/>
          <w:i/>
          <w:sz w:val="26"/>
          <w:szCs w:val="26"/>
          <w:lang w:val="uk-UA"/>
        </w:rPr>
      </w:pPr>
    </w:p>
    <w:p w:rsidR="00763CE1" w:rsidRPr="00820810" w:rsidRDefault="00763CE1" w:rsidP="001E4892">
      <w:pPr>
        <w:ind w:firstLine="709"/>
        <w:rPr>
          <w:rFonts w:ascii="Times New Roman" w:hAnsi="Times New Roman" w:cs="Times New Roman"/>
          <w:i/>
          <w:sz w:val="26"/>
          <w:szCs w:val="26"/>
          <w:lang w:val="uk-UA"/>
        </w:rPr>
      </w:pPr>
      <w:r w:rsidRPr="00820810">
        <w:rPr>
          <w:rFonts w:ascii="Times New Roman" w:hAnsi="Times New Roman" w:cs="Times New Roman"/>
          <w:i/>
          <w:sz w:val="26"/>
          <w:szCs w:val="26"/>
          <w:lang w:val="uk-UA"/>
        </w:rPr>
        <w:t xml:space="preserve">Оцінка впливу на сферу інтересів суб’єктів господарювання </w:t>
      </w:r>
    </w:p>
    <w:tbl>
      <w:tblPr>
        <w:tblW w:w="5212"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052"/>
        <w:gridCol w:w="1123"/>
        <w:gridCol w:w="1121"/>
        <w:gridCol w:w="984"/>
        <w:gridCol w:w="982"/>
        <w:gridCol w:w="1520"/>
      </w:tblGrid>
      <w:tr w:rsidR="00763CE1" w:rsidRPr="00820810" w:rsidTr="005B1DAA">
        <w:tc>
          <w:tcPr>
            <w:tcW w:w="2071" w:type="pct"/>
            <w:tcBorders>
              <w:top w:val="single" w:sz="6" w:space="0" w:color="000000"/>
              <w:left w:val="single" w:sz="4" w:space="0" w:color="auto"/>
              <w:bottom w:val="single" w:sz="6" w:space="0" w:color="000000"/>
              <w:right w:val="single" w:sz="6" w:space="0" w:color="000000"/>
            </w:tcBorders>
            <w:shd w:val="clear" w:color="auto" w:fill="auto"/>
            <w:vAlign w:val="center"/>
          </w:tcPr>
          <w:p w:rsidR="00763CE1" w:rsidRPr="00820810" w:rsidRDefault="00763CE1" w:rsidP="005B1DAA">
            <w:pPr>
              <w:jc w:val="center"/>
              <w:rPr>
                <w:rFonts w:ascii="Times New Roman" w:hAnsi="Times New Roman" w:cs="Times New Roman"/>
                <w:b/>
                <w:color w:val="000000"/>
                <w:sz w:val="24"/>
                <w:szCs w:val="24"/>
                <w:lang w:val="uk-UA"/>
              </w:rPr>
            </w:pPr>
            <w:r w:rsidRPr="00820810">
              <w:rPr>
                <w:rFonts w:ascii="Times New Roman" w:hAnsi="Times New Roman" w:cs="Times New Roman"/>
                <w:b/>
                <w:color w:val="000000"/>
                <w:sz w:val="24"/>
                <w:szCs w:val="24"/>
                <w:lang w:val="uk-UA"/>
              </w:rPr>
              <w:t>Показник</w:t>
            </w:r>
          </w:p>
        </w:tc>
        <w:tc>
          <w:tcPr>
            <w:tcW w:w="574" w:type="pct"/>
            <w:tcBorders>
              <w:top w:val="single" w:sz="6" w:space="0" w:color="000000"/>
              <w:left w:val="single" w:sz="6" w:space="0" w:color="000000"/>
              <w:bottom w:val="single" w:sz="6" w:space="0" w:color="000000"/>
              <w:right w:val="single" w:sz="6" w:space="0" w:color="000000"/>
            </w:tcBorders>
            <w:shd w:val="clear" w:color="auto" w:fill="auto"/>
            <w:vAlign w:val="center"/>
          </w:tcPr>
          <w:p w:rsidR="00763CE1" w:rsidRPr="00820810" w:rsidRDefault="00763CE1" w:rsidP="005B1DAA">
            <w:pPr>
              <w:jc w:val="center"/>
              <w:rPr>
                <w:rFonts w:ascii="Times New Roman" w:hAnsi="Times New Roman" w:cs="Times New Roman"/>
                <w:b/>
                <w:color w:val="000000"/>
                <w:sz w:val="24"/>
                <w:szCs w:val="24"/>
                <w:lang w:val="uk-UA"/>
              </w:rPr>
            </w:pPr>
            <w:r w:rsidRPr="00820810">
              <w:rPr>
                <w:rFonts w:ascii="Times New Roman" w:hAnsi="Times New Roman" w:cs="Times New Roman"/>
                <w:b/>
                <w:color w:val="000000"/>
                <w:sz w:val="24"/>
                <w:szCs w:val="24"/>
                <w:lang w:val="uk-UA"/>
              </w:rPr>
              <w:t>Великі</w:t>
            </w:r>
          </w:p>
        </w:tc>
        <w:tc>
          <w:tcPr>
            <w:tcW w:w="573" w:type="pct"/>
            <w:tcBorders>
              <w:top w:val="single" w:sz="6" w:space="0" w:color="000000"/>
              <w:left w:val="single" w:sz="6" w:space="0" w:color="000000"/>
              <w:bottom w:val="single" w:sz="6" w:space="0" w:color="000000"/>
              <w:right w:val="single" w:sz="6" w:space="0" w:color="000000"/>
            </w:tcBorders>
            <w:shd w:val="clear" w:color="auto" w:fill="auto"/>
            <w:vAlign w:val="center"/>
          </w:tcPr>
          <w:p w:rsidR="00763CE1" w:rsidRPr="00820810" w:rsidRDefault="00763CE1" w:rsidP="005B1DAA">
            <w:pPr>
              <w:jc w:val="center"/>
              <w:rPr>
                <w:rFonts w:ascii="Times New Roman" w:hAnsi="Times New Roman" w:cs="Times New Roman"/>
                <w:b/>
                <w:color w:val="000000"/>
                <w:sz w:val="24"/>
                <w:szCs w:val="24"/>
                <w:lang w:val="uk-UA"/>
              </w:rPr>
            </w:pPr>
            <w:r w:rsidRPr="00820810">
              <w:rPr>
                <w:rFonts w:ascii="Times New Roman" w:hAnsi="Times New Roman" w:cs="Times New Roman"/>
                <w:b/>
                <w:color w:val="000000"/>
                <w:sz w:val="24"/>
                <w:szCs w:val="24"/>
                <w:lang w:val="uk-UA"/>
              </w:rPr>
              <w:t>Середні</w:t>
            </w:r>
          </w:p>
        </w:tc>
        <w:tc>
          <w:tcPr>
            <w:tcW w:w="503" w:type="pct"/>
            <w:tcBorders>
              <w:top w:val="single" w:sz="6" w:space="0" w:color="000000"/>
              <w:left w:val="single" w:sz="6" w:space="0" w:color="000000"/>
              <w:bottom w:val="single" w:sz="6" w:space="0" w:color="000000"/>
              <w:right w:val="single" w:sz="6" w:space="0" w:color="000000"/>
            </w:tcBorders>
            <w:shd w:val="clear" w:color="auto" w:fill="auto"/>
            <w:vAlign w:val="center"/>
          </w:tcPr>
          <w:p w:rsidR="00763CE1" w:rsidRPr="00820810" w:rsidRDefault="00763CE1" w:rsidP="005B1DAA">
            <w:pPr>
              <w:jc w:val="center"/>
              <w:rPr>
                <w:rFonts w:ascii="Times New Roman" w:hAnsi="Times New Roman" w:cs="Times New Roman"/>
                <w:b/>
                <w:color w:val="000000"/>
                <w:sz w:val="24"/>
                <w:szCs w:val="24"/>
                <w:lang w:val="uk-UA"/>
              </w:rPr>
            </w:pPr>
            <w:r w:rsidRPr="00820810">
              <w:rPr>
                <w:rFonts w:ascii="Times New Roman" w:hAnsi="Times New Roman" w:cs="Times New Roman"/>
                <w:b/>
                <w:color w:val="000000"/>
                <w:sz w:val="24"/>
                <w:szCs w:val="24"/>
                <w:lang w:val="uk-UA"/>
              </w:rPr>
              <w:t>Малі</w:t>
            </w:r>
          </w:p>
        </w:tc>
        <w:tc>
          <w:tcPr>
            <w:tcW w:w="5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763CE1" w:rsidRPr="00820810" w:rsidRDefault="00763CE1" w:rsidP="005B1DAA">
            <w:pPr>
              <w:jc w:val="center"/>
              <w:rPr>
                <w:rFonts w:ascii="Times New Roman" w:hAnsi="Times New Roman" w:cs="Times New Roman"/>
                <w:b/>
                <w:color w:val="000000"/>
                <w:sz w:val="24"/>
                <w:szCs w:val="24"/>
                <w:lang w:val="uk-UA"/>
              </w:rPr>
            </w:pPr>
            <w:r w:rsidRPr="00820810">
              <w:rPr>
                <w:rFonts w:ascii="Times New Roman" w:hAnsi="Times New Roman" w:cs="Times New Roman"/>
                <w:b/>
                <w:color w:val="000000"/>
                <w:sz w:val="24"/>
                <w:szCs w:val="24"/>
                <w:lang w:val="uk-UA"/>
              </w:rPr>
              <w:t>Мікро</w:t>
            </w:r>
          </w:p>
        </w:tc>
        <w:tc>
          <w:tcPr>
            <w:tcW w:w="7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763CE1" w:rsidRPr="00820810" w:rsidRDefault="00763CE1" w:rsidP="005B1DAA">
            <w:pPr>
              <w:jc w:val="center"/>
              <w:rPr>
                <w:rFonts w:ascii="Times New Roman" w:hAnsi="Times New Roman" w:cs="Times New Roman"/>
                <w:b/>
                <w:color w:val="000000"/>
                <w:sz w:val="24"/>
                <w:szCs w:val="24"/>
                <w:lang w:val="uk-UA"/>
              </w:rPr>
            </w:pPr>
            <w:r w:rsidRPr="00820810">
              <w:rPr>
                <w:rFonts w:ascii="Times New Roman" w:hAnsi="Times New Roman" w:cs="Times New Roman"/>
                <w:b/>
                <w:color w:val="000000"/>
                <w:sz w:val="24"/>
                <w:szCs w:val="24"/>
                <w:lang w:val="uk-UA"/>
              </w:rPr>
              <w:t>Разом</w:t>
            </w:r>
          </w:p>
        </w:tc>
      </w:tr>
      <w:tr w:rsidR="00763CE1" w:rsidRPr="00820810" w:rsidTr="001D09D6">
        <w:trPr>
          <w:trHeight w:val="797"/>
        </w:trPr>
        <w:tc>
          <w:tcPr>
            <w:tcW w:w="2071" w:type="pct"/>
            <w:tcBorders>
              <w:top w:val="single" w:sz="6" w:space="0" w:color="000000"/>
              <w:left w:val="single" w:sz="4" w:space="0" w:color="auto"/>
              <w:bottom w:val="single" w:sz="4" w:space="0" w:color="auto"/>
              <w:right w:val="single" w:sz="4" w:space="0" w:color="auto"/>
            </w:tcBorders>
            <w:shd w:val="clear" w:color="auto" w:fill="auto"/>
          </w:tcPr>
          <w:p w:rsidR="00763CE1" w:rsidRPr="00820810" w:rsidRDefault="00763CE1" w:rsidP="00893127">
            <w:pPr>
              <w:rPr>
                <w:rFonts w:ascii="Times New Roman" w:hAnsi="Times New Roman" w:cs="Times New Roman"/>
                <w:color w:val="000000"/>
                <w:sz w:val="24"/>
                <w:szCs w:val="24"/>
                <w:vertAlign w:val="superscript"/>
                <w:lang w:val="uk-UA"/>
              </w:rPr>
            </w:pPr>
            <w:r w:rsidRPr="00820810">
              <w:rPr>
                <w:rFonts w:ascii="Times New Roman" w:hAnsi="Times New Roman" w:cs="Times New Roman"/>
                <w:color w:val="000000"/>
                <w:sz w:val="24"/>
                <w:szCs w:val="24"/>
                <w:lang w:val="uk-UA"/>
              </w:rPr>
              <w:t>Кількість суб’єктів господарювання (виробники та постачальники енергоспоживчої продукції), що підпадають під дію регулювання, одиниць</w:t>
            </w:r>
            <w:r w:rsidRPr="00820810">
              <w:rPr>
                <w:rFonts w:ascii="Times New Roman" w:hAnsi="Times New Roman" w:cs="Times New Roman"/>
                <w:color w:val="000000"/>
                <w:sz w:val="24"/>
                <w:szCs w:val="24"/>
                <w:vertAlign w:val="superscript"/>
                <w:lang w:val="uk-UA"/>
              </w:rPr>
              <w:t>*</w:t>
            </w:r>
          </w:p>
        </w:tc>
        <w:tc>
          <w:tcPr>
            <w:tcW w:w="574" w:type="pct"/>
            <w:tcBorders>
              <w:top w:val="single" w:sz="6" w:space="0" w:color="000000"/>
              <w:left w:val="single" w:sz="4" w:space="0" w:color="auto"/>
              <w:bottom w:val="single" w:sz="4" w:space="0" w:color="auto"/>
              <w:right w:val="single" w:sz="4" w:space="0" w:color="auto"/>
            </w:tcBorders>
            <w:shd w:val="clear" w:color="auto" w:fill="auto"/>
            <w:vAlign w:val="center"/>
          </w:tcPr>
          <w:p w:rsidR="00763CE1" w:rsidRPr="00820810" w:rsidRDefault="00AB12EC" w:rsidP="00893127">
            <w:pPr>
              <w:pStyle w:val="rvps14"/>
              <w:spacing w:before="150" w:beforeAutospacing="0" w:after="150" w:afterAutospacing="0"/>
              <w:jc w:val="center"/>
              <w:textAlignment w:val="baseline"/>
            </w:pPr>
            <w:r w:rsidRPr="00820810">
              <w:t>5</w:t>
            </w:r>
          </w:p>
        </w:tc>
        <w:tc>
          <w:tcPr>
            <w:tcW w:w="573" w:type="pct"/>
            <w:tcBorders>
              <w:top w:val="single" w:sz="6" w:space="0" w:color="000000"/>
              <w:left w:val="single" w:sz="4" w:space="0" w:color="auto"/>
              <w:bottom w:val="single" w:sz="4" w:space="0" w:color="auto"/>
              <w:right w:val="single" w:sz="4" w:space="0" w:color="auto"/>
            </w:tcBorders>
            <w:shd w:val="clear" w:color="auto" w:fill="auto"/>
            <w:vAlign w:val="center"/>
          </w:tcPr>
          <w:p w:rsidR="00763CE1" w:rsidRPr="00820810" w:rsidRDefault="00AB12EC" w:rsidP="00AB12EC">
            <w:pPr>
              <w:pStyle w:val="rvps14"/>
              <w:spacing w:before="150" w:beforeAutospacing="0" w:after="150" w:afterAutospacing="0"/>
              <w:jc w:val="center"/>
              <w:textAlignment w:val="baseline"/>
            </w:pPr>
            <w:r w:rsidRPr="00820810">
              <w:t>3</w:t>
            </w:r>
          </w:p>
        </w:tc>
        <w:tc>
          <w:tcPr>
            <w:tcW w:w="503" w:type="pct"/>
            <w:tcBorders>
              <w:top w:val="single" w:sz="6" w:space="0" w:color="000000"/>
              <w:left w:val="single" w:sz="4" w:space="0" w:color="auto"/>
              <w:bottom w:val="single" w:sz="4" w:space="0" w:color="auto"/>
              <w:right w:val="single" w:sz="4" w:space="0" w:color="auto"/>
            </w:tcBorders>
            <w:shd w:val="clear" w:color="auto" w:fill="auto"/>
            <w:vAlign w:val="center"/>
          </w:tcPr>
          <w:p w:rsidR="00763CE1" w:rsidRPr="00820810" w:rsidRDefault="00AB12EC" w:rsidP="00AB12EC">
            <w:pPr>
              <w:pStyle w:val="rvps14"/>
              <w:spacing w:before="150" w:beforeAutospacing="0" w:after="150" w:afterAutospacing="0"/>
              <w:jc w:val="center"/>
              <w:textAlignment w:val="baseline"/>
            </w:pPr>
            <w:r w:rsidRPr="00820810">
              <w:t>0</w:t>
            </w:r>
          </w:p>
        </w:tc>
        <w:tc>
          <w:tcPr>
            <w:tcW w:w="502" w:type="pct"/>
            <w:tcBorders>
              <w:top w:val="single" w:sz="6" w:space="0" w:color="000000"/>
              <w:left w:val="single" w:sz="4" w:space="0" w:color="auto"/>
              <w:bottom w:val="single" w:sz="4" w:space="0" w:color="auto"/>
              <w:right w:val="single" w:sz="4" w:space="0" w:color="auto"/>
            </w:tcBorders>
            <w:shd w:val="clear" w:color="auto" w:fill="auto"/>
            <w:vAlign w:val="center"/>
          </w:tcPr>
          <w:p w:rsidR="00763CE1" w:rsidRPr="00820810" w:rsidRDefault="00763CE1" w:rsidP="00893127">
            <w:pPr>
              <w:pStyle w:val="rvps14"/>
              <w:spacing w:before="150" w:beforeAutospacing="0" w:after="150" w:afterAutospacing="0"/>
              <w:jc w:val="center"/>
              <w:textAlignment w:val="baseline"/>
            </w:pPr>
            <w:r w:rsidRPr="00820810">
              <w:t>0</w:t>
            </w:r>
          </w:p>
        </w:tc>
        <w:tc>
          <w:tcPr>
            <w:tcW w:w="777" w:type="pct"/>
            <w:tcBorders>
              <w:top w:val="single" w:sz="6" w:space="0" w:color="000000"/>
              <w:left w:val="single" w:sz="4" w:space="0" w:color="auto"/>
              <w:bottom w:val="single" w:sz="4" w:space="0" w:color="auto"/>
              <w:right w:val="single" w:sz="4" w:space="0" w:color="auto"/>
            </w:tcBorders>
            <w:shd w:val="clear" w:color="auto" w:fill="auto"/>
            <w:vAlign w:val="center"/>
          </w:tcPr>
          <w:p w:rsidR="00763CE1" w:rsidRPr="00820810" w:rsidRDefault="00291993" w:rsidP="0003506D">
            <w:pPr>
              <w:pStyle w:val="rvps14"/>
              <w:spacing w:before="150" w:beforeAutospacing="0" w:after="150" w:afterAutospacing="0"/>
              <w:jc w:val="center"/>
              <w:textAlignment w:val="baseline"/>
            </w:pPr>
            <w:r w:rsidRPr="00820810">
              <w:t>8</w:t>
            </w:r>
          </w:p>
        </w:tc>
      </w:tr>
      <w:tr w:rsidR="00AB12EC" w:rsidRPr="00820810" w:rsidTr="00AB12EC">
        <w:trPr>
          <w:trHeight w:val="722"/>
        </w:trPr>
        <w:tc>
          <w:tcPr>
            <w:tcW w:w="2071" w:type="pct"/>
            <w:tcBorders>
              <w:top w:val="single" w:sz="4" w:space="0" w:color="auto"/>
              <w:left w:val="single" w:sz="4" w:space="0" w:color="auto"/>
              <w:bottom w:val="single" w:sz="4" w:space="0" w:color="auto"/>
              <w:right w:val="single" w:sz="4" w:space="0" w:color="auto"/>
            </w:tcBorders>
            <w:shd w:val="clear" w:color="auto" w:fill="auto"/>
          </w:tcPr>
          <w:p w:rsidR="00AB12EC" w:rsidRPr="00820810" w:rsidRDefault="00AB12EC" w:rsidP="00893127">
            <w:pPr>
              <w:rPr>
                <w:rFonts w:ascii="Times New Roman" w:hAnsi="Times New Roman" w:cs="Times New Roman"/>
                <w:color w:val="000000"/>
                <w:sz w:val="24"/>
                <w:szCs w:val="24"/>
                <w:lang w:val="uk-UA"/>
              </w:rPr>
            </w:pPr>
            <w:r w:rsidRPr="00820810">
              <w:rPr>
                <w:rFonts w:ascii="Times New Roman" w:hAnsi="Times New Roman" w:cs="Times New Roman"/>
                <w:sz w:val="24"/>
                <w:szCs w:val="24"/>
                <w:lang w:val="uk-UA"/>
              </w:rPr>
              <w:t>Питома вага групи у загальній кількості, відсотків</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AB12EC" w:rsidRPr="00820810" w:rsidRDefault="00AB12EC" w:rsidP="00AB12EC">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62,5%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AB12EC" w:rsidRPr="00820810" w:rsidRDefault="00AB12EC" w:rsidP="00AB12EC">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37,5%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B12EC" w:rsidRPr="00820810" w:rsidRDefault="00AB12EC" w:rsidP="00AB12EC">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AB12EC" w:rsidRPr="00820810" w:rsidRDefault="00AB12EC" w:rsidP="00AB12EC">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AB12EC" w:rsidRPr="00820810" w:rsidRDefault="00AB12EC" w:rsidP="00AB12EC">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100,0%</w:t>
            </w:r>
          </w:p>
        </w:tc>
      </w:tr>
    </w:tbl>
    <w:p w:rsidR="008826B1" w:rsidRPr="00820810" w:rsidRDefault="00D908F8" w:rsidP="00D908F8">
      <w:pPr>
        <w:pStyle w:val="a9"/>
        <w:ind w:left="-284" w:firstLine="284"/>
        <w:jc w:val="both"/>
        <w:rPr>
          <w:rFonts w:ascii="Times New Roman" w:hAnsi="Times New Roman" w:cs="Times New Roman"/>
          <w:i/>
          <w:sz w:val="26"/>
          <w:szCs w:val="26"/>
          <w:lang w:val="uk-UA"/>
        </w:rPr>
      </w:pPr>
      <w:r w:rsidRPr="00820810">
        <w:rPr>
          <w:rFonts w:ascii="Times New Roman" w:hAnsi="Times New Roman" w:cs="Times New Roman"/>
          <w:i/>
          <w:sz w:val="26"/>
          <w:szCs w:val="26"/>
          <w:lang w:val="uk-UA"/>
        </w:rPr>
        <w:t>*Згідно з аналітичними та статистичними даними, наявними в Держенергоефективності</w:t>
      </w:r>
    </w:p>
    <w:p w:rsidR="008826B1" w:rsidRPr="00820810" w:rsidRDefault="008826B1" w:rsidP="00D860C9">
      <w:pPr>
        <w:pStyle w:val="a9"/>
        <w:rPr>
          <w:rFonts w:ascii="Times New Roman" w:hAnsi="Times New Roman" w:cs="Times New Roman"/>
          <w:i/>
          <w:sz w:val="26"/>
          <w:szCs w:val="26"/>
          <w:lang w:val="uk-UA"/>
        </w:rPr>
      </w:pPr>
    </w:p>
    <w:p w:rsidR="00893127" w:rsidRPr="00820810" w:rsidRDefault="00893127" w:rsidP="00893127">
      <w:pPr>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 xml:space="preserve">ВИТРАТИ </w:t>
      </w:r>
      <w:r w:rsidRPr="00820810">
        <w:rPr>
          <w:rFonts w:ascii="Times New Roman" w:hAnsi="Times New Roman" w:cs="Times New Roman"/>
          <w:b/>
          <w:sz w:val="26"/>
          <w:szCs w:val="26"/>
          <w:lang w:val="uk-UA"/>
        </w:rPr>
        <w:br/>
        <w:t>на одного суб’єкта господарювання великого і середнього підприємництва, які виникають внаслідок дії регуляторного акта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0"/>
        <w:gridCol w:w="5893"/>
        <w:gridCol w:w="1515"/>
        <w:gridCol w:w="1526"/>
      </w:tblGrid>
      <w:tr w:rsidR="00893127" w:rsidRPr="00820810" w:rsidTr="00893127">
        <w:trPr>
          <w:trHeight w:val="485"/>
        </w:trPr>
        <w:tc>
          <w:tcPr>
            <w:tcW w:w="240" w:type="pct"/>
            <w:tcBorders>
              <w:top w:val="outset" w:sz="6" w:space="0" w:color="000000"/>
              <w:left w:val="single" w:sz="4" w:space="0" w:color="auto"/>
              <w:bottom w:val="outset" w:sz="6" w:space="0" w:color="000000"/>
              <w:right w:val="outset" w:sz="6" w:space="0" w:color="000000"/>
            </w:tcBorders>
            <w:shd w:val="clear" w:color="auto" w:fill="auto"/>
            <w:vAlign w:val="center"/>
          </w:tcPr>
          <w:p w:rsidR="00893127" w:rsidRPr="00820810" w:rsidRDefault="00893127" w:rsidP="00893127">
            <w:pPr>
              <w:spacing w:before="100" w:beforeAutospacing="1" w:after="100" w:afterAutospacing="1"/>
              <w:jc w:val="center"/>
              <w:rPr>
                <w:rFonts w:ascii="Times New Roman" w:hAnsi="Times New Roman" w:cs="Times New Roman"/>
                <w:i/>
                <w:sz w:val="24"/>
                <w:szCs w:val="24"/>
                <w:lang w:val="uk-UA"/>
              </w:rPr>
            </w:pPr>
            <w:r w:rsidRPr="00820810">
              <w:rPr>
                <w:rFonts w:ascii="Times New Roman" w:hAnsi="Times New Roman" w:cs="Times New Roman"/>
                <w:i/>
                <w:sz w:val="24"/>
                <w:szCs w:val="24"/>
                <w:lang w:val="uk-UA"/>
              </w:rPr>
              <w:t>№</w:t>
            </w:r>
          </w:p>
        </w:tc>
        <w:tc>
          <w:tcPr>
            <w:tcW w:w="3140" w:type="pct"/>
            <w:tcBorders>
              <w:top w:val="outset" w:sz="6" w:space="0" w:color="000000"/>
              <w:left w:val="outset" w:sz="6" w:space="0" w:color="000000"/>
              <w:bottom w:val="outset" w:sz="6" w:space="0" w:color="000000"/>
              <w:right w:val="outset" w:sz="6" w:space="0" w:color="000000"/>
            </w:tcBorders>
            <w:shd w:val="clear" w:color="auto" w:fill="auto"/>
            <w:vAlign w:val="center"/>
          </w:tcPr>
          <w:p w:rsidR="00893127" w:rsidRPr="00820810" w:rsidRDefault="00893127" w:rsidP="00893127">
            <w:pPr>
              <w:spacing w:before="100" w:beforeAutospacing="1" w:after="100" w:afterAutospacing="1"/>
              <w:jc w:val="center"/>
              <w:rPr>
                <w:rFonts w:ascii="Times New Roman" w:hAnsi="Times New Roman" w:cs="Times New Roman"/>
                <w:i/>
                <w:sz w:val="24"/>
                <w:szCs w:val="24"/>
                <w:lang w:val="uk-UA"/>
              </w:rPr>
            </w:pPr>
            <w:r w:rsidRPr="00820810">
              <w:rPr>
                <w:rFonts w:ascii="Times New Roman" w:hAnsi="Times New Roman" w:cs="Times New Roman"/>
                <w:i/>
                <w:sz w:val="24"/>
                <w:szCs w:val="24"/>
                <w:lang w:val="uk-UA"/>
              </w:rPr>
              <w:t>Витрати</w:t>
            </w:r>
          </w:p>
        </w:tc>
        <w:tc>
          <w:tcPr>
            <w:tcW w:w="807" w:type="pct"/>
            <w:tcBorders>
              <w:top w:val="outset" w:sz="6" w:space="0" w:color="000000"/>
              <w:left w:val="outset" w:sz="6" w:space="0" w:color="000000"/>
              <w:bottom w:val="outset" w:sz="6" w:space="0" w:color="000000"/>
              <w:right w:val="outset" w:sz="6" w:space="0" w:color="000000"/>
            </w:tcBorders>
            <w:shd w:val="clear" w:color="auto" w:fill="auto"/>
            <w:vAlign w:val="center"/>
          </w:tcPr>
          <w:p w:rsidR="00893127" w:rsidRPr="00820810" w:rsidRDefault="00893127" w:rsidP="00893127">
            <w:pPr>
              <w:spacing w:before="100" w:beforeAutospacing="1" w:after="100" w:afterAutospacing="1"/>
              <w:jc w:val="center"/>
              <w:rPr>
                <w:rFonts w:ascii="Times New Roman" w:hAnsi="Times New Roman" w:cs="Times New Roman"/>
                <w:i/>
                <w:sz w:val="24"/>
                <w:szCs w:val="24"/>
                <w:lang w:val="uk-UA"/>
              </w:rPr>
            </w:pPr>
            <w:r w:rsidRPr="00820810">
              <w:rPr>
                <w:rFonts w:ascii="Times New Roman" w:hAnsi="Times New Roman" w:cs="Times New Roman"/>
                <w:i/>
                <w:sz w:val="24"/>
                <w:szCs w:val="24"/>
                <w:lang w:val="uk-UA"/>
              </w:rPr>
              <w:t>За перший рік</w:t>
            </w:r>
          </w:p>
        </w:tc>
        <w:tc>
          <w:tcPr>
            <w:tcW w:w="813" w:type="pct"/>
            <w:tcBorders>
              <w:top w:val="outset" w:sz="6" w:space="0" w:color="000000"/>
              <w:left w:val="outset" w:sz="6" w:space="0" w:color="000000"/>
              <w:bottom w:val="outset" w:sz="6" w:space="0" w:color="000000"/>
              <w:right w:val="single" w:sz="4" w:space="0" w:color="auto"/>
            </w:tcBorders>
            <w:shd w:val="clear" w:color="auto" w:fill="auto"/>
            <w:vAlign w:val="center"/>
          </w:tcPr>
          <w:p w:rsidR="00893127" w:rsidRPr="00820810" w:rsidRDefault="00893127" w:rsidP="00893127">
            <w:pPr>
              <w:spacing w:before="100" w:beforeAutospacing="1" w:after="100" w:afterAutospacing="1"/>
              <w:jc w:val="center"/>
              <w:rPr>
                <w:rFonts w:ascii="Times New Roman" w:hAnsi="Times New Roman" w:cs="Times New Roman"/>
                <w:i/>
                <w:sz w:val="24"/>
                <w:szCs w:val="24"/>
                <w:lang w:val="uk-UA"/>
              </w:rPr>
            </w:pPr>
            <w:r w:rsidRPr="00820810">
              <w:rPr>
                <w:rFonts w:ascii="Times New Roman" w:hAnsi="Times New Roman" w:cs="Times New Roman"/>
                <w:i/>
                <w:sz w:val="24"/>
                <w:szCs w:val="24"/>
                <w:lang w:val="uk-UA"/>
              </w:rPr>
              <w:t>За п’ять років</w:t>
            </w:r>
          </w:p>
        </w:tc>
      </w:tr>
      <w:tr w:rsidR="00893127" w:rsidRPr="00820810" w:rsidTr="00893127">
        <w:tc>
          <w:tcPr>
            <w:tcW w:w="240" w:type="pct"/>
            <w:tcBorders>
              <w:top w:val="outset" w:sz="6" w:space="0" w:color="000000"/>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1</w:t>
            </w:r>
          </w:p>
        </w:tc>
        <w:tc>
          <w:tcPr>
            <w:tcW w:w="3140" w:type="pct"/>
            <w:tcBorders>
              <w:top w:val="outset" w:sz="6" w:space="0" w:color="000000"/>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7" w:type="pct"/>
            <w:tcBorders>
              <w:top w:val="outset" w:sz="6" w:space="0" w:color="000000"/>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1 300 000</w:t>
            </w:r>
          </w:p>
        </w:tc>
        <w:tc>
          <w:tcPr>
            <w:tcW w:w="813" w:type="pct"/>
            <w:tcBorders>
              <w:top w:val="outset" w:sz="6" w:space="0" w:color="000000"/>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6 500 000</w:t>
            </w:r>
          </w:p>
        </w:tc>
      </w:tr>
      <w:tr w:rsidR="00893127" w:rsidRPr="00820810" w:rsidTr="00893127">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lastRenderedPageBreak/>
              <w:t>2</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130 000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650 000</w:t>
            </w:r>
          </w:p>
        </w:tc>
      </w:tr>
      <w:tr w:rsidR="00893127" w:rsidRPr="00820810" w:rsidTr="00893127">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3</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26 000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130 000</w:t>
            </w:r>
          </w:p>
        </w:tc>
      </w:tr>
      <w:tr w:rsidR="00893127" w:rsidRPr="00820810" w:rsidTr="00893127">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4</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2 600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13 000</w:t>
            </w:r>
          </w:p>
        </w:tc>
      </w:tr>
      <w:tr w:rsidR="00893127" w:rsidRPr="00820810" w:rsidTr="00893127">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5</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13 000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65 000</w:t>
            </w:r>
          </w:p>
        </w:tc>
      </w:tr>
      <w:tr w:rsidR="00893127" w:rsidRPr="00820810" w:rsidTr="00893127">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6</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Витрати на оборотні активи (</w:t>
            </w:r>
            <w:r w:rsidRPr="00820810">
              <w:rPr>
                <w:rFonts w:ascii="Times New Roman" w:eastAsia="Calibri" w:hAnsi="Times New Roman" w:cs="Times New Roman"/>
                <w:sz w:val="24"/>
                <w:szCs w:val="24"/>
                <w:lang w:val="uk-UA"/>
              </w:rPr>
              <w:t>матеріали, вдосконалення технологій виробництва</w:t>
            </w:r>
            <w:r w:rsidRPr="00820810">
              <w:rPr>
                <w:rFonts w:ascii="Times New Roman" w:hAnsi="Times New Roman" w:cs="Times New Roman"/>
                <w:sz w:val="24"/>
                <w:szCs w:val="24"/>
                <w:lang w:val="uk-UA"/>
              </w:rPr>
              <w:t xml:space="preserve">), гривень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260 000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1 300 000</w:t>
            </w:r>
          </w:p>
        </w:tc>
      </w:tr>
      <w:tr w:rsidR="00893127" w:rsidRPr="00820810" w:rsidTr="00893127">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7</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Витрати, пов’язані із </w:t>
            </w:r>
            <w:proofErr w:type="spellStart"/>
            <w:r w:rsidRPr="00820810">
              <w:rPr>
                <w:rFonts w:ascii="Times New Roman" w:hAnsi="Times New Roman" w:cs="Times New Roman"/>
                <w:sz w:val="24"/>
                <w:szCs w:val="24"/>
                <w:lang w:val="uk-UA"/>
              </w:rPr>
              <w:t>наймом</w:t>
            </w:r>
            <w:proofErr w:type="spellEnd"/>
            <w:r w:rsidRPr="00820810">
              <w:rPr>
                <w:rFonts w:ascii="Times New Roman" w:hAnsi="Times New Roman" w:cs="Times New Roman"/>
                <w:sz w:val="24"/>
                <w:szCs w:val="24"/>
                <w:lang w:val="uk-UA"/>
              </w:rPr>
              <w:t xml:space="preserve"> додаткового персоналу, гривень</w:t>
            </w:r>
          </w:p>
        </w:tc>
        <w:tc>
          <w:tcPr>
            <w:tcW w:w="807" w:type="pct"/>
            <w:tcBorders>
              <w:top w:val="outset" w:sz="6" w:space="0" w:color="000000"/>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130 000</w:t>
            </w:r>
          </w:p>
        </w:tc>
        <w:tc>
          <w:tcPr>
            <w:tcW w:w="813" w:type="pct"/>
            <w:tcBorders>
              <w:top w:val="outset" w:sz="6" w:space="0" w:color="000000"/>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650 000</w:t>
            </w:r>
          </w:p>
        </w:tc>
      </w:tr>
      <w:tr w:rsidR="00893127" w:rsidRPr="00820810" w:rsidTr="00893127">
        <w:trPr>
          <w:trHeight w:val="1414"/>
        </w:trPr>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jc w:val="center"/>
              <w:rPr>
                <w:rFonts w:ascii="Times New Roman" w:hAnsi="Times New Roman" w:cs="Times New Roman"/>
                <w:sz w:val="24"/>
                <w:szCs w:val="24"/>
                <w:lang w:val="uk-UA"/>
              </w:rPr>
            </w:pPr>
            <w:r w:rsidRPr="00820810">
              <w:rPr>
                <w:rFonts w:ascii="Times New Roman" w:eastAsia="Calibri" w:hAnsi="Times New Roman" w:cs="Times New Roman"/>
                <w:sz w:val="24"/>
                <w:szCs w:val="24"/>
                <w:lang w:val="uk-UA"/>
              </w:rPr>
              <w:t>8</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after="0"/>
              <w:rPr>
                <w:rFonts w:ascii="Times New Roman" w:hAnsi="Times New Roman" w:cs="Times New Roman"/>
                <w:sz w:val="24"/>
                <w:szCs w:val="24"/>
                <w:lang w:val="uk-UA"/>
              </w:rPr>
            </w:pPr>
            <w:r w:rsidRPr="00820810">
              <w:rPr>
                <w:rFonts w:ascii="Times New Roman" w:eastAsia="Calibri"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150 робіт (декларацій відповідності на партію товару) на рік, додаткові витрати 1500 грн/робота),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45 500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227 500</w:t>
            </w:r>
          </w:p>
        </w:tc>
      </w:tr>
      <w:tr w:rsidR="00893127" w:rsidRPr="00820810" w:rsidTr="00893127">
        <w:trPr>
          <w:trHeight w:val="479"/>
        </w:trPr>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9</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РАЗОМ (сума рядків: 1+2+3+4+5+6+7+8),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1 907 100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9 535 500</w:t>
            </w:r>
          </w:p>
        </w:tc>
      </w:tr>
      <w:tr w:rsidR="00893127" w:rsidRPr="00820810" w:rsidTr="00893127">
        <w:trPr>
          <w:trHeight w:val="825"/>
        </w:trPr>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10</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Кількість суб’єктів господарювання великого та середнього підприємництва (виробники), на яких буде поширено регулювання*, одиниць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8</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8</w:t>
            </w:r>
          </w:p>
        </w:tc>
      </w:tr>
      <w:tr w:rsidR="00893127" w:rsidRPr="00820810" w:rsidTr="00893127">
        <w:tc>
          <w:tcPr>
            <w:tcW w:w="2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11</w:t>
            </w:r>
          </w:p>
        </w:tc>
        <w:tc>
          <w:tcPr>
            <w:tcW w:w="3140" w:type="pct"/>
            <w:tcBorders>
              <w:top w:val="single" w:sz="4" w:space="0" w:color="auto"/>
              <w:left w:val="single" w:sz="4" w:space="0" w:color="auto"/>
              <w:bottom w:val="single" w:sz="4" w:space="0" w:color="auto"/>
              <w:right w:val="single" w:sz="4" w:space="0" w:color="auto"/>
            </w:tcBorders>
            <w:shd w:val="clear" w:color="auto" w:fill="auto"/>
          </w:tcPr>
          <w:p w:rsidR="00893127" w:rsidRPr="00820810" w:rsidRDefault="00893127" w:rsidP="00893127">
            <w:pPr>
              <w:spacing w:before="100" w:beforeAutospacing="1" w:after="100" w:afterAutospacing="1" w:line="240" w:lineRule="auto"/>
              <w:rPr>
                <w:rFonts w:ascii="Times New Roman" w:hAnsi="Times New Roman" w:cs="Times New Roman"/>
                <w:sz w:val="24"/>
                <w:szCs w:val="24"/>
                <w:lang w:val="uk-UA"/>
              </w:rPr>
            </w:pPr>
            <w:r w:rsidRPr="00820810">
              <w:rPr>
                <w:rFonts w:ascii="Times New Roman" w:hAnsi="Times New Roman" w:cs="Times New Roman"/>
                <w:sz w:val="24"/>
                <w:szCs w:val="24"/>
                <w:lang w:val="uk-UA"/>
              </w:rPr>
              <w:t>Сумарні витрати виробників на виконання регулювання (вартість регулювання) (рядок 9 х рядок 10),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15 256 800</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93127" w:rsidRPr="00820810" w:rsidRDefault="00893127" w:rsidP="00893127">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76 284 000</w:t>
            </w:r>
          </w:p>
        </w:tc>
      </w:tr>
    </w:tbl>
    <w:p w:rsidR="00893127" w:rsidRPr="00820810" w:rsidRDefault="00893127" w:rsidP="00893127">
      <w:pPr>
        <w:spacing w:after="0" w:line="240" w:lineRule="auto"/>
        <w:ind w:firstLine="709"/>
        <w:jc w:val="both"/>
        <w:rPr>
          <w:rFonts w:ascii="Times New Roman" w:hAnsi="Times New Roman" w:cs="Times New Roman"/>
          <w:i/>
          <w:sz w:val="24"/>
          <w:szCs w:val="24"/>
          <w:lang w:val="uk-UA"/>
        </w:rPr>
      </w:pPr>
      <w:r w:rsidRPr="00820810">
        <w:rPr>
          <w:rFonts w:ascii="Times New Roman" w:hAnsi="Times New Roman" w:cs="Times New Roman"/>
          <w:i/>
          <w:sz w:val="24"/>
          <w:szCs w:val="24"/>
          <w:lang w:val="uk-UA"/>
        </w:rPr>
        <w:t>*Для підрахунку витрат на одного суб’єкта господарювання великого і середнього підприємництва, які виникають внаслідок дії регуляторного акта, використовувався метод середніх можливих витрат.</w:t>
      </w:r>
    </w:p>
    <w:p w:rsidR="00893127" w:rsidRPr="00820810" w:rsidRDefault="00893127" w:rsidP="00893127">
      <w:pPr>
        <w:spacing w:after="0" w:line="240" w:lineRule="auto"/>
        <w:ind w:firstLine="709"/>
        <w:jc w:val="both"/>
        <w:rPr>
          <w:rFonts w:ascii="Times New Roman" w:hAnsi="Times New Roman" w:cs="Times New Roman"/>
          <w:i/>
          <w:sz w:val="24"/>
          <w:szCs w:val="24"/>
          <w:lang w:val="uk-UA"/>
        </w:rPr>
      </w:pPr>
    </w:p>
    <w:p w:rsidR="00893127" w:rsidRPr="00820810" w:rsidRDefault="00893127" w:rsidP="00893127">
      <w:pPr>
        <w:tabs>
          <w:tab w:val="left" w:pos="0"/>
        </w:tabs>
        <w:spacing w:after="0"/>
        <w:ind w:firstLine="567"/>
        <w:rPr>
          <w:rFonts w:ascii="Times New Roman" w:hAnsi="Times New Roman" w:cs="Times New Roman"/>
          <w:sz w:val="26"/>
          <w:szCs w:val="26"/>
          <w:highlight w:val="white"/>
          <w:lang w:val="uk-UA"/>
        </w:rPr>
      </w:pPr>
      <w:r w:rsidRPr="00820810">
        <w:rPr>
          <w:rFonts w:ascii="Times New Roman" w:hAnsi="Times New Roman" w:cs="Times New Roman"/>
          <w:sz w:val="26"/>
          <w:szCs w:val="26"/>
          <w:highlight w:val="white"/>
          <w:lang w:val="uk-UA"/>
        </w:rPr>
        <w:t>Розрахунок відповідних витрат на одного суб’єкта господарювання</w:t>
      </w:r>
    </w:p>
    <w:p w:rsidR="00893127" w:rsidRPr="00820810" w:rsidRDefault="00893127" w:rsidP="00893127">
      <w:pPr>
        <w:tabs>
          <w:tab w:val="left" w:pos="1406"/>
        </w:tabs>
        <w:spacing w:after="0"/>
        <w:ind w:firstLine="720"/>
        <w:jc w:val="both"/>
        <w:rPr>
          <w:rFonts w:ascii="Times New Roman" w:hAnsi="Times New Roman" w:cs="Times New Roman"/>
          <w:sz w:val="26"/>
          <w:szCs w:val="26"/>
          <w:highlight w:val="white"/>
          <w:lang w:val="uk-UA"/>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35"/>
        <w:gridCol w:w="1770"/>
        <w:gridCol w:w="1665"/>
        <w:gridCol w:w="1875"/>
      </w:tblGrid>
      <w:tr w:rsidR="00893127" w:rsidRPr="00820810" w:rsidTr="00893127">
        <w:trPr>
          <w:trHeight w:val="890"/>
        </w:trPr>
        <w:tc>
          <w:tcPr>
            <w:tcW w:w="4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Вид витрат</w:t>
            </w:r>
          </w:p>
        </w:tc>
        <w:tc>
          <w:tcPr>
            <w:tcW w:w="1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У перший рік</w:t>
            </w:r>
          </w:p>
        </w:tc>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Періодичні (за рік)</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за п’ять років</w:t>
            </w:r>
          </w:p>
        </w:tc>
      </w:tr>
      <w:tr w:rsidR="00893127" w:rsidRPr="00820810" w:rsidTr="00893127">
        <w:trPr>
          <w:trHeight w:val="1790"/>
        </w:trPr>
        <w:tc>
          <w:tcPr>
            <w:tcW w:w="4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893127" w:rsidP="00893127">
            <w:pPr>
              <w:tabs>
                <w:tab w:val="left" w:pos="1406"/>
              </w:tabs>
              <w:jc w:val="both"/>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FE7353"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color w:val="000000"/>
                <w:sz w:val="24"/>
                <w:szCs w:val="24"/>
                <w:lang w:val="uk-UA"/>
              </w:rPr>
              <w:t>1 300 000</w:t>
            </w:r>
          </w:p>
        </w:tc>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234976" w:rsidP="00893127">
            <w:pPr>
              <w:tabs>
                <w:tab w:val="left" w:pos="1406"/>
              </w:tabs>
              <w:jc w:val="center"/>
              <w:rPr>
                <w:rFonts w:ascii="Times New Roman" w:hAnsi="Times New Roman" w:cs="Times New Roman"/>
                <w:color w:val="FF0000"/>
                <w:sz w:val="24"/>
                <w:szCs w:val="24"/>
                <w:highlight w:val="white"/>
                <w:lang w:val="uk-UA"/>
              </w:rPr>
            </w:pPr>
            <w:r w:rsidRPr="00234976">
              <w:rPr>
                <w:rFonts w:ascii="Times New Roman" w:hAnsi="Times New Roman" w:cs="Times New Roman"/>
                <w:sz w:val="24"/>
                <w:szCs w:val="24"/>
                <w:highlight w:val="white"/>
                <w:lang w:val="uk-UA"/>
              </w:rPr>
              <w:t>-</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FE7353"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color w:val="000000"/>
                <w:sz w:val="24"/>
                <w:szCs w:val="24"/>
                <w:lang w:val="uk-UA"/>
              </w:rPr>
              <w:t>6 500 000</w:t>
            </w:r>
          </w:p>
        </w:tc>
      </w:tr>
    </w:tbl>
    <w:p w:rsidR="00893127" w:rsidRPr="00820810" w:rsidRDefault="00893127" w:rsidP="00893127">
      <w:pPr>
        <w:tabs>
          <w:tab w:val="left" w:pos="1406"/>
        </w:tabs>
        <w:jc w:val="both"/>
        <w:rPr>
          <w:rFonts w:ascii="Times New Roman" w:hAnsi="Times New Roman" w:cs="Times New Roman"/>
          <w:sz w:val="24"/>
          <w:szCs w:val="24"/>
          <w:highlight w:val="white"/>
          <w:lang w:val="uk-UA"/>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26"/>
        <w:gridCol w:w="3530"/>
        <w:gridCol w:w="1988"/>
      </w:tblGrid>
      <w:tr w:rsidR="00893127" w:rsidRPr="00820810" w:rsidTr="00FE7353">
        <w:trPr>
          <w:trHeight w:val="1080"/>
        </w:trPr>
        <w:tc>
          <w:tcPr>
            <w:tcW w:w="41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lastRenderedPageBreak/>
              <w:t>Вид витрат</w:t>
            </w:r>
          </w:p>
        </w:tc>
        <w:tc>
          <w:tcPr>
            <w:tcW w:w="3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сплату податків та зборів (змінених/ нововведених) (за рік)</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за п’ять років</w:t>
            </w:r>
          </w:p>
        </w:tc>
      </w:tr>
      <w:tr w:rsidR="00FE7353" w:rsidRPr="00820810" w:rsidTr="00FE7353">
        <w:trPr>
          <w:trHeight w:val="1490"/>
        </w:trPr>
        <w:tc>
          <w:tcPr>
            <w:tcW w:w="4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tabs>
                <w:tab w:val="left" w:pos="1406"/>
              </w:tabs>
              <w:jc w:val="both"/>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Податки та збори (зміна розміру податків/зборів, виникнення необхідності у сплаті податків/зборів)</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130 000</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650 000</w:t>
            </w:r>
          </w:p>
        </w:tc>
      </w:tr>
    </w:tbl>
    <w:p w:rsidR="00893127" w:rsidRPr="00820810" w:rsidRDefault="00893127" w:rsidP="00893127">
      <w:pPr>
        <w:tabs>
          <w:tab w:val="left" w:pos="1406"/>
        </w:tabs>
        <w:jc w:val="both"/>
        <w:rPr>
          <w:rFonts w:ascii="Times New Roman" w:hAnsi="Times New Roman" w:cs="Times New Roman"/>
          <w:sz w:val="24"/>
          <w:szCs w:val="24"/>
          <w:highlight w:val="white"/>
          <w:lang w:val="uk-UA"/>
        </w:rPr>
      </w:pPr>
      <w:bookmarkStart w:id="0" w:name="_e2xyhjn16rtm" w:colFirst="0" w:colLast="0"/>
      <w:bookmarkEnd w:id="0"/>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52"/>
        <w:gridCol w:w="1545"/>
        <w:gridCol w:w="1920"/>
        <w:gridCol w:w="1433"/>
        <w:gridCol w:w="1485"/>
      </w:tblGrid>
      <w:tr w:rsidR="00893127" w:rsidRPr="00820810" w:rsidTr="00FE7353">
        <w:trPr>
          <w:trHeight w:val="2070"/>
        </w:trPr>
        <w:tc>
          <w:tcPr>
            <w:tcW w:w="325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Вид витрат</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ведення обліку, підготовку та подання звітності (за рік)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оплату штрафних санкцій за рік</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Разом за рік</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за п’ять років</w:t>
            </w:r>
          </w:p>
        </w:tc>
      </w:tr>
      <w:tr w:rsidR="00FE7353" w:rsidRPr="00820810" w:rsidTr="00FE7353">
        <w:trPr>
          <w:trHeight w:val="2295"/>
        </w:trPr>
        <w:tc>
          <w:tcPr>
            <w:tcW w:w="325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tabs>
                <w:tab w:val="left" w:pos="1406"/>
              </w:tabs>
              <w:jc w:val="both"/>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пов’язані із веденням обліку, підготовкою та поданням звітності державним органам (витрати часу персоналу)</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234976" w:rsidRDefault="00234976" w:rsidP="00FE7353">
            <w:pPr>
              <w:tabs>
                <w:tab w:val="left" w:pos="1406"/>
              </w:tabs>
              <w:jc w:val="center"/>
              <w:rPr>
                <w:rFonts w:ascii="Times New Roman" w:hAnsi="Times New Roman" w:cs="Times New Roman"/>
                <w:sz w:val="24"/>
                <w:szCs w:val="24"/>
                <w:highlight w:val="white"/>
                <w:lang w:val="uk-UA"/>
              </w:rPr>
            </w:pPr>
            <w:r>
              <w:rPr>
                <w:rFonts w:ascii="Times New Roman" w:hAnsi="Times New Roman" w:cs="Times New Roman"/>
                <w:sz w:val="24"/>
                <w:szCs w:val="24"/>
                <w:highlight w:val="white"/>
                <w:lang w:val="uk-UA"/>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234976" w:rsidP="00FE7353">
            <w:pPr>
              <w:tabs>
                <w:tab w:val="left" w:pos="1406"/>
              </w:tabs>
              <w:jc w:val="center"/>
              <w:rPr>
                <w:rFonts w:ascii="Times New Roman" w:hAnsi="Times New Roman" w:cs="Times New Roman"/>
                <w:sz w:val="24"/>
                <w:szCs w:val="24"/>
                <w:highlight w:val="white"/>
                <w:lang w:val="uk-UA"/>
              </w:rPr>
            </w:pPr>
            <w:r>
              <w:rPr>
                <w:rFonts w:ascii="Times New Roman" w:hAnsi="Times New Roman" w:cs="Times New Roman"/>
                <w:sz w:val="24"/>
                <w:szCs w:val="24"/>
                <w:highlight w:val="white"/>
                <w:lang w:val="uk-UA"/>
              </w:rPr>
              <w:t>-</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26 000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130 000</w:t>
            </w:r>
          </w:p>
        </w:tc>
      </w:tr>
    </w:tbl>
    <w:p w:rsidR="00893127" w:rsidRPr="00820810" w:rsidRDefault="00893127" w:rsidP="00893127">
      <w:pPr>
        <w:tabs>
          <w:tab w:val="left" w:pos="1406"/>
        </w:tabs>
        <w:jc w:val="both"/>
        <w:rPr>
          <w:rFonts w:ascii="Times New Roman" w:hAnsi="Times New Roman" w:cs="Times New Roman"/>
          <w:sz w:val="24"/>
          <w:szCs w:val="24"/>
          <w:highlight w:val="white"/>
          <w:lang w:val="uk-UA"/>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15"/>
        <w:gridCol w:w="2190"/>
        <w:gridCol w:w="1920"/>
        <w:gridCol w:w="1485"/>
        <w:gridCol w:w="1327"/>
      </w:tblGrid>
      <w:tr w:rsidR="00893127" w:rsidRPr="00820810" w:rsidTr="00893127">
        <w:trPr>
          <w:trHeight w:val="2505"/>
        </w:trPr>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Вид витрат</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адміністрування заходів державного нагляду (контролю) (за рік)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оплату штрафних санкцій та усунення виявлених порушень (за рік)</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Разом за рік</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за п’ять років</w:t>
            </w:r>
          </w:p>
        </w:tc>
      </w:tr>
      <w:tr w:rsidR="00FE7353" w:rsidRPr="00820810" w:rsidTr="00FE7353">
        <w:trPr>
          <w:trHeight w:val="2390"/>
        </w:trPr>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tabs>
                <w:tab w:val="left" w:pos="1406"/>
              </w:tabs>
              <w:jc w:val="both"/>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234976" w:rsidP="00FE7353">
            <w:pPr>
              <w:tabs>
                <w:tab w:val="left" w:pos="1406"/>
              </w:tabs>
              <w:jc w:val="center"/>
              <w:rPr>
                <w:rFonts w:ascii="Times New Roman" w:hAnsi="Times New Roman" w:cs="Times New Roman"/>
                <w:sz w:val="24"/>
                <w:szCs w:val="24"/>
                <w:highlight w:val="white"/>
                <w:lang w:val="uk-UA"/>
              </w:rPr>
            </w:pPr>
            <w:r>
              <w:rPr>
                <w:rFonts w:ascii="Times New Roman" w:hAnsi="Times New Roman" w:cs="Times New Roman"/>
                <w:sz w:val="24"/>
                <w:szCs w:val="24"/>
                <w:highlight w:val="white"/>
                <w:lang w:val="uk-UA"/>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234976" w:rsidRDefault="00234976" w:rsidP="00FE7353">
            <w:pPr>
              <w:tabs>
                <w:tab w:val="left" w:pos="1406"/>
              </w:tabs>
              <w:jc w:val="center"/>
              <w:rPr>
                <w:rFonts w:ascii="Times New Roman" w:hAnsi="Times New Roman" w:cs="Times New Roman"/>
                <w:sz w:val="24"/>
                <w:szCs w:val="24"/>
                <w:highlight w:val="white"/>
                <w:lang w:val="uk-UA"/>
              </w:rPr>
            </w:pPr>
            <w:r>
              <w:rPr>
                <w:rFonts w:ascii="Times New Roman" w:hAnsi="Times New Roman" w:cs="Times New Roman"/>
                <w:sz w:val="24"/>
                <w:szCs w:val="24"/>
                <w:highlight w:val="white"/>
                <w:lang w:val="uk-UA"/>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2 600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13 000</w:t>
            </w:r>
          </w:p>
        </w:tc>
      </w:tr>
    </w:tbl>
    <w:p w:rsidR="00893127" w:rsidRPr="00820810" w:rsidRDefault="00893127" w:rsidP="00893127">
      <w:pPr>
        <w:pBdr>
          <w:top w:val="nil"/>
          <w:left w:val="nil"/>
          <w:bottom w:val="nil"/>
          <w:right w:val="nil"/>
          <w:between w:val="nil"/>
        </w:pBdr>
        <w:tabs>
          <w:tab w:val="left" w:pos="1406"/>
        </w:tabs>
        <w:jc w:val="both"/>
        <w:rPr>
          <w:rFonts w:ascii="Times New Roman" w:hAnsi="Times New Roman" w:cs="Times New Roman"/>
          <w:sz w:val="24"/>
          <w:szCs w:val="24"/>
          <w:highlight w:val="white"/>
          <w:lang w:val="uk-UA"/>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75"/>
        <w:gridCol w:w="2310"/>
        <w:gridCol w:w="2010"/>
        <w:gridCol w:w="1425"/>
        <w:gridCol w:w="1410"/>
      </w:tblGrid>
      <w:tr w:rsidR="00893127" w:rsidRPr="00820810" w:rsidTr="00893127">
        <w:trPr>
          <w:trHeight w:val="2250"/>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lastRenderedPageBreak/>
              <w:t>Вид витрат</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проходження відповідних процедур (витрати часу, витрати на експертизи, тощо)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безпосередньо на дозволи, ліцензії, сертифікати, страхові поліси (за рік - стартовий)</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Разом за рік (стартовий)</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за п’ять років</w:t>
            </w:r>
          </w:p>
        </w:tc>
      </w:tr>
      <w:tr w:rsidR="00893127" w:rsidRPr="00820810" w:rsidTr="00893127">
        <w:trPr>
          <w:trHeight w:val="2250"/>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both"/>
              <w:rPr>
                <w:rFonts w:ascii="Times New Roman" w:hAnsi="Times New Roman" w:cs="Times New Roman"/>
                <w:sz w:val="24"/>
                <w:szCs w:val="24"/>
                <w:highlight w:val="white"/>
                <w:lang w:val="uk-UA"/>
              </w:rPr>
            </w:pPr>
            <w:bookmarkStart w:id="1" w:name="_7mt8lgvklv7n" w:colFirst="0" w:colLast="0"/>
            <w:bookmarkEnd w:id="1"/>
            <w:r w:rsidRPr="00820810">
              <w:rPr>
                <w:rFonts w:ascii="Times New Roman" w:hAnsi="Times New Roman" w:cs="Times New Roman"/>
                <w:sz w:val="24"/>
                <w:szCs w:val="24"/>
                <w:highlight w:val="white"/>
                <w:lang w:val="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234976" w:rsidRDefault="00234976" w:rsidP="00FE7353">
            <w:pPr>
              <w:tabs>
                <w:tab w:val="left" w:pos="1406"/>
              </w:tabs>
              <w:ind w:right="100"/>
              <w:jc w:val="center"/>
              <w:rPr>
                <w:rFonts w:ascii="Times New Roman" w:hAnsi="Times New Roman" w:cs="Times New Roman"/>
                <w:sz w:val="24"/>
                <w:szCs w:val="24"/>
                <w:highlight w:val="white"/>
                <w:lang w:val="uk-UA"/>
              </w:rPr>
            </w:pPr>
            <w:r w:rsidRPr="00234976">
              <w:rPr>
                <w:rFonts w:ascii="Times New Roman" w:hAnsi="Times New Roman" w:cs="Times New Roman"/>
                <w:sz w:val="24"/>
                <w:szCs w:val="24"/>
                <w:highlight w:val="white"/>
                <w:lang w:val="uk-UA"/>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234976" w:rsidRDefault="00234976" w:rsidP="00FE7353">
            <w:pPr>
              <w:tabs>
                <w:tab w:val="left" w:pos="1406"/>
              </w:tabs>
              <w:ind w:right="100"/>
              <w:jc w:val="center"/>
              <w:rPr>
                <w:rFonts w:ascii="Times New Roman" w:hAnsi="Times New Roman" w:cs="Times New Roman"/>
                <w:sz w:val="24"/>
                <w:szCs w:val="24"/>
                <w:highlight w:val="white"/>
                <w:lang w:val="uk-UA"/>
              </w:rPr>
            </w:pPr>
            <w:r w:rsidRPr="00234976">
              <w:rPr>
                <w:rFonts w:ascii="Times New Roman" w:hAnsi="Times New Roman" w:cs="Times New Roman"/>
                <w:sz w:val="24"/>
                <w:szCs w:val="24"/>
                <w:highlight w:val="white"/>
                <w:lang w:val="uk-UA"/>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FE7353"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13 000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FE7353"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65 000</w:t>
            </w:r>
          </w:p>
        </w:tc>
      </w:tr>
    </w:tbl>
    <w:p w:rsidR="00893127" w:rsidRPr="00820810" w:rsidRDefault="00893127" w:rsidP="00893127">
      <w:pPr>
        <w:tabs>
          <w:tab w:val="left" w:pos="1406"/>
        </w:tabs>
        <w:jc w:val="both"/>
        <w:rPr>
          <w:rFonts w:ascii="Times New Roman" w:hAnsi="Times New Roman" w:cs="Times New Roman"/>
          <w:sz w:val="24"/>
          <w:szCs w:val="24"/>
          <w:highlight w:val="white"/>
          <w:lang w:val="uk-UA"/>
        </w:rPr>
      </w:pPr>
      <w:bookmarkStart w:id="2" w:name="_x4xp565rxkda" w:colFirst="0" w:colLast="0"/>
      <w:bookmarkEnd w:id="2"/>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0"/>
        <w:gridCol w:w="1770"/>
        <w:gridCol w:w="2580"/>
        <w:gridCol w:w="2730"/>
      </w:tblGrid>
      <w:tr w:rsidR="00893127" w:rsidRPr="00820810" w:rsidTr="00893127">
        <w:trPr>
          <w:trHeight w:val="890"/>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Вид витрат</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За рік (стартовий)</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Періодичні (за наступний рік)</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за п’ять років</w:t>
            </w:r>
          </w:p>
        </w:tc>
      </w:tr>
      <w:tr w:rsidR="00FE7353" w:rsidRPr="00820810" w:rsidTr="00FE7353">
        <w:trPr>
          <w:trHeight w:val="1790"/>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tabs>
                <w:tab w:val="left" w:pos="1406"/>
              </w:tabs>
              <w:ind w:right="100"/>
              <w:jc w:val="both"/>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оборотні активи (матеріали, канцелярські товари тощо)</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260 000</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234976" w:rsidP="00FE7353">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color w:val="000000"/>
                <w:sz w:val="24"/>
                <w:szCs w:val="24"/>
                <w:lang w:val="uk-UA"/>
              </w:rPr>
              <w:t>1 300 000</w:t>
            </w:r>
          </w:p>
        </w:tc>
      </w:tr>
    </w:tbl>
    <w:p w:rsidR="00893127" w:rsidRPr="00820810" w:rsidRDefault="00893127" w:rsidP="00893127">
      <w:pPr>
        <w:pBdr>
          <w:top w:val="nil"/>
          <w:left w:val="nil"/>
          <w:bottom w:val="nil"/>
          <w:right w:val="nil"/>
          <w:between w:val="nil"/>
        </w:pBdr>
        <w:tabs>
          <w:tab w:val="left" w:pos="1406"/>
        </w:tabs>
        <w:jc w:val="both"/>
        <w:rPr>
          <w:rFonts w:ascii="Times New Roman" w:hAnsi="Times New Roman" w:cs="Times New Roman"/>
          <w:sz w:val="24"/>
          <w:szCs w:val="24"/>
          <w:highlight w:val="white"/>
          <w:lang w:val="uk-UA"/>
        </w:rPr>
      </w:pPr>
      <w:bookmarkStart w:id="3" w:name="_tdp6uvway7ux" w:colFirst="0" w:colLast="0"/>
      <w:bookmarkEnd w:id="3"/>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69"/>
        <w:gridCol w:w="3470"/>
        <w:gridCol w:w="3499"/>
      </w:tblGrid>
      <w:tr w:rsidR="00893127" w:rsidRPr="00820810" w:rsidTr="00893127">
        <w:trPr>
          <w:trHeight w:val="1190"/>
        </w:trPr>
        <w:tc>
          <w:tcPr>
            <w:tcW w:w="26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Вид витрат</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на оплату праці додатково найманого персоналу (за рік)</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93127" w:rsidRPr="00820810" w:rsidRDefault="00893127" w:rsidP="00893127">
            <w:pPr>
              <w:tabs>
                <w:tab w:val="left" w:pos="1406"/>
              </w:tabs>
              <w:ind w:right="100"/>
              <w:jc w:val="center"/>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t>Витрати за п’ять років</w:t>
            </w:r>
          </w:p>
        </w:tc>
      </w:tr>
      <w:tr w:rsidR="00FE7353" w:rsidRPr="00820810" w:rsidTr="00FE7353">
        <w:trPr>
          <w:trHeight w:val="1490"/>
        </w:trPr>
        <w:tc>
          <w:tcPr>
            <w:tcW w:w="26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tabs>
                <w:tab w:val="left" w:pos="1406"/>
              </w:tabs>
              <w:ind w:right="100"/>
              <w:jc w:val="both"/>
              <w:rPr>
                <w:rFonts w:ascii="Times New Roman" w:hAnsi="Times New Roman" w:cs="Times New Roman"/>
                <w:sz w:val="24"/>
                <w:szCs w:val="24"/>
                <w:highlight w:val="white"/>
                <w:lang w:val="uk-UA"/>
              </w:rPr>
            </w:pPr>
            <w:r w:rsidRPr="00820810">
              <w:rPr>
                <w:rFonts w:ascii="Times New Roman" w:hAnsi="Times New Roman" w:cs="Times New Roman"/>
                <w:sz w:val="24"/>
                <w:szCs w:val="24"/>
                <w:highlight w:val="white"/>
                <w:lang w:val="uk-UA"/>
              </w:rPr>
              <w:lastRenderedPageBreak/>
              <w:t xml:space="preserve">Витрати, пов’язані із </w:t>
            </w:r>
            <w:proofErr w:type="spellStart"/>
            <w:r w:rsidRPr="00820810">
              <w:rPr>
                <w:rFonts w:ascii="Times New Roman" w:hAnsi="Times New Roman" w:cs="Times New Roman"/>
                <w:sz w:val="24"/>
                <w:szCs w:val="24"/>
                <w:highlight w:val="white"/>
                <w:lang w:val="uk-UA"/>
              </w:rPr>
              <w:t>наймом</w:t>
            </w:r>
            <w:proofErr w:type="spellEnd"/>
            <w:r w:rsidRPr="00820810">
              <w:rPr>
                <w:rFonts w:ascii="Times New Roman" w:hAnsi="Times New Roman" w:cs="Times New Roman"/>
                <w:sz w:val="24"/>
                <w:szCs w:val="24"/>
                <w:highlight w:val="white"/>
                <w:lang w:val="uk-UA"/>
              </w:rPr>
              <w:t xml:space="preserve"> додаткового персоналу</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130 000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E7353" w:rsidRPr="00820810" w:rsidRDefault="00FE7353" w:rsidP="00FE7353">
            <w:pPr>
              <w:jc w:val="center"/>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650 000</w:t>
            </w:r>
          </w:p>
        </w:tc>
      </w:tr>
    </w:tbl>
    <w:p w:rsidR="00893127" w:rsidRPr="00820810" w:rsidRDefault="00893127" w:rsidP="00893127">
      <w:pPr>
        <w:pBdr>
          <w:top w:val="nil"/>
          <w:left w:val="nil"/>
          <w:bottom w:val="nil"/>
          <w:right w:val="nil"/>
          <w:between w:val="nil"/>
        </w:pBdr>
        <w:tabs>
          <w:tab w:val="left" w:pos="1406"/>
        </w:tabs>
        <w:ind w:left="-284" w:right="140"/>
        <w:jc w:val="both"/>
        <w:rPr>
          <w:rFonts w:ascii="Times New Roman" w:hAnsi="Times New Roman" w:cs="Times New Roman"/>
          <w:color w:val="000000"/>
          <w:sz w:val="26"/>
          <w:szCs w:val="26"/>
          <w:lang w:val="uk-UA"/>
        </w:rPr>
      </w:pPr>
    </w:p>
    <w:tbl>
      <w:tblPr>
        <w:tblStyle w:val="ac"/>
        <w:tblW w:w="9640" w:type="dxa"/>
        <w:tblInd w:w="-34" w:type="dxa"/>
        <w:tblLook w:val="04A0" w:firstRow="1" w:lastRow="0" w:firstColumn="1" w:lastColumn="0" w:noHBand="0" w:noVBand="1"/>
      </w:tblPr>
      <w:tblGrid>
        <w:gridCol w:w="1843"/>
        <w:gridCol w:w="3828"/>
        <w:gridCol w:w="3969"/>
      </w:tblGrid>
      <w:tr w:rsidR="006A16DF" w:rsidRPr="00820810" w:rsidTr="00FE7353">
        <w:trPr>
          <w:trHeight w:val="629"/>
        </w:trPr>
        <w:tc>
          <w:tcPr>
            <w:tcW w:w="1843" w:type="dxa"/>
            <w:vAlign w:val="center"/>
          </w:tcPr>
          <w:p w:rsidR="006A16DF" w:rsidRPr="00820810" w:rsidRDefault="006A16DF" w:rsidP="006A16DF">
            <w:pPr>
              <w:pStyle w:val="a9"/>
              <w:ind w:left="0"/>
              <w:jc w:val="center"/>
              <w:rPr>
                <w:rFonts w:ascii="Times New Roman" w:hAnsi="Times New Roman" w:cs="Times New Roman"/>
                <w:b/>
                <w:i/>
                <w:sz w:val="26"/>
                <w:szCs w:val="26"/>
                <w:lang w:val="uk-UA"/>
              </w:rPr>
            </w:pPr>
            <w:r w:rsidRPr="00820810">
              <w:rPr>
                <w:rFonts w:ascii="Times New Roman" w:hAnsi="Times New Roman" w:cs="Times New Roman"/>
                <w:b/>
                <w:sz w:val="24"/>
                <w:szCs w:val="24"/>
                <w:lang w:val="uk-UA"/>
              </w:rPr>
              <w:t>Вид альтернативи</w:t>
            </w:r>
          </w:p>
        </w:tc>
        <w:tc>
          <w:tcPr>
            <w:tcW w:w="3828" w:type="dxa"/>
            <w:vAlign w:val="center"/>
          </w:tcPr>
          <w:p w:rsidR="006A16DF" w:rsidRPr="00820810" w:rsidRDefault="006A16DF" w:rsidP="006A16DF">
            <w:pPr>
              <w:pStyle w:val="a9"/>
              <w:ind w:left="0"/>
              <w:jc w:val="center"/>
              <w:rPr>
                <w:rFonts w:ascii="Times New Roman" w:hAnsi="Times New Roman" w:cs="Times New Roman"/>
                <w:b/>
                <w:i/>
                <w:sz w:val="26"/>
                <w:szCs w:val="26"/>
                <w:lang w:val="uk-UA"/>
              </w:rPr>
            </w:pPr>
            <w:r w:rsidRPr="00820810">
              <w:rPr>
                <w:rFonts w:ascii="Times New Roman" w:hAnsi="Times New Roman" w:cs="Times New Roman"/>
                <w:b/>
                <w:sz w:val="24"/>
                <w:szCs w:val="24"/>
                <w:lang w:val="uk-UA"/>
              </w:rPr>
              <w:t>Вигоди</w:t>
            </w:r>
          </w:p>
        </w:tc>
        <w:tc>
          <w:tcPr>
            <w:tcW w:w="3969" w:type="dxa"/>
            <w:vAlign w:val="center"/>
          </w:tcPr>
          <w:p w:rsidR="006A16DF" w:rsidRPr="00820810" w:rsidRDefault="006A16DF" w:rsidP="006A16DF">
            <w:pPr>
              <w:pStyle w:val="a9"/>
              <w:ind w:left="0"/>
              <w:jc w:val="center"/>
              <w:rPr>
                <w:rFonts w:ascii="Times New Roman" w:hAnsi="Times New Roman" w:cs="Times New Roman"/>
                <w:b/>
                <w:i/>
                <w:sz w:val="26"/>
                <w:szCs w:val="26"/>
                <w:lang w:val="uk-UA"/>
              </w:rPr>
            </w:pPr>
            <w:r w:rsidRPr="00820810">
              <w:rPr>
                <w:rFonts w:ascii="Times New Roman" w:hAnsi="Times New Roman" w:cs="Times New Roman"/>
                <w:b/>
                <w:sz w:val="24"/>
                <w:szCs w:val="24"/>
                <w:lang w:val="uk-UA"/>
              </w:rPr>
              <w:t>Витрати</w:t>
            </w:r>
          </w:p>
        </w:tc>
      </w:tr>
      <w:tr w:rsidR="006A16DF" w:rsidRPr="00820810" w:rsidTr="00FE7353">
        <w:tc>
          <w:tcPr>
            <w:tcW w:w="1843" w:type="dxa"/>
          </w:tcPr>
          <w:p w:rsidR="006A16DF" w:rsidRPr="00820810" w:rsidRDefault="006A16DF" w:rsidP="006A16DF">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1</w:t>
            </w:r>
          </w:p>
          <w:p w:rsidR="006A16DF" w:rsidRPr="00820810" w:rsidRDefault="006A16DF" w:rsidP="006A16DF">
            <w:pPr>
              <w:pStyle w:val="a9"/>
              <w:ind w:left="0"/>
              <w:rPr>
                <w:rFonts w:ascii="Times New Roman" w:hAnsi="Times New Roman" w:cs="Times New Roman"/>
                <w:i/>
                <w:sz w:val="26"/>
                <w:szCs w:val="26"/>
                <w:lang w:val="uk-UA"/>
              </w:rPr>
            </w:pPr>
            <w:r w:rsidRPr="00820810">
              <w:rPr>
                <w:rFonts w:ascii="Times New Roman" w:hAnsi="Times New Roman" w:cs="Times New Roman"/>
                <w:i/>
                <w:sz w:val="24"/>
                <w:szCs w:val="24"/>
                <w:lang w:val="uk-UA"/>
              </w:rPr>
              <w:t>Залишити ситуацію без змін</w:t>
            </w:r>
          </w:p>
        </w:tc>
        <w:tc>
          <w:tcPr>
            <w:tcW w:w="3828" w:type="dxa"/>
          </w:tcPr>
          <w:p w:rsidR="006A16DF" w:rsidRPr="00820810" w:rsidRDefault="006A16DF" w:rsidP="006A16DF">
            <w:pPr>
              <w:pStyle w:val="a9"/>
              <w:ind w:left="0"/>
              <w:jc w:val="center"/>
              <w:rPr>
                <w:rFonts w:ascii="Times New Roman" w:hAnsi="Times New Roman" w:cs="Times New Roman"/>
                <w:i/>
                <w:sz w:val="26"/>
                <w:szCs w:val="26"/>
                <w:lang w:val="uk-UA"/>
              </w:rPr>
            </w:pPr>
            <w:r w:rsidRPr="00820810">
              <w:rPr>
                <w:rFonts w:ascii="Times New Roman" w:hAnsi="Times New Roman" w:cs="Times New Roman"/>
                <w:sz w:val="24"/>
                <w:szCs w:val="24"/>
                <w:lang w:val="uk-UA"/>
              </w:rPr>
              <w:t>Відсутні</w:t>
            </w:r>
          </w:p>
        </w:tc>
        <w:tc>
          <w:tcPr>
            <w:tcW w:w="3969" w:type="dxa"/>
          </w:tcPr>
          <w:p w:rsidR="006A16DF" w:rsidRPr="00820810" w:rsidRDefault="006A16DF" w:rsidP="006A16DF">
            <w:pPr>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p>
          <w:p w:rsidR="006A16DF" w:rsidRPr="00820810" w:rsidRDefault="006A16DF" w:rsidP="006A16DF">
            <w:pPr>
              <w:pStyle w:val="a9"/>
              <w:ind w:left="0"/>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820810">
              <w:rPr>
                <w:rFonts w:ascii="Times New Roman" w:hAnsi="Times New Roman" w:cs="Times New Roman"/>
                <w:color w:val="000000"/>
                <w:sz w:val="24"/>
                <w:szCs w:val="24"/>
                <w:lang w:val="uk-UA"/>
              </w:rPr>
              <w:br/>
              <w:t>Втрата можливості відповідати вимогам законодавства ЄС. Неможливість надання своєї продукції на ринок ЄС.</w:t>
            </w:r>
          </w:p>
          <w:p w:rsidR="00A607A5" w:rsidRPr="00820810" w:rsidRDefault="006A16DF" w:rsidP="006A16DF">
            <w:pPr>
              <w:pStyle w:val="a9"/>
              <w:ind w:left="0"/>
              <w:jc w:val="both"/>
              <w:rPr>
                <w:rFonts w:ascii="Times New Roman" w:eastAsia="Calibri" w:hAnsi="Times New Roman" w:cs="Times New Roman"/>
                <w:sz w:val="24"/>
                <w:szCs w:val="24"/>
                <w:lang w:val="uk-UA"/>
              </w:rPr>
            </w:pPr>
            <w:r w:rsidRPr="00820810">
              <w:rPr>
                <w:rFonts w:ascii="Times New Roman" w:eastAsia="Calibri" w:hAnsi="Times New Roman" w:cs="Times New Roman"/>
                <w:sz w:val="24"/>
                <w:szCs w:val="24"/>
                <w:lang w:val="uk-UA"/>
              </w:rPr>
              <w:t>Вищезазначене призведе до додаткових витрат</w:t>
            </w:r>
            <w:r w:rsidR="00A607A5" w:rsidRPr="00820810">
              <w:rPr>
                <w:rFonts w:ascii="Times New Roman" w:eastAsia="Calibri" w:hAnsi="Times New Roman" w:cs="Times New Roman"/>
                <w:sz w:val="24"/>
                <w:szCs w:val="24"/>
                <w:lang w:val="uk-UA"/>
              </w:rPr>
              <w:t xml:space="preserve"> </w:t>
            </w:r>
          </w:p>
          <w:p w:rsidR="00A607A5" w:rsidRPr="00234976" w:rsidRDefault="00234976" w:rsidP="00234976">
            <w:pPr>
              <w:pStyle w:val="a9"/>
              <w:ind w:left="0"/>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 </w:t>
            </w:r>
          </w:p>
        </w:tc>
      </w:tr>
      <w:tr w:rsidR="006A16DF" w:rsidRPr="00820810" w:rsidTr="00FE7353">
        <w:tc>
          <w:tcPr>
            <w:tcW w:w="1843" w:type="dxa"/>
          </w:tcPr>
          <w:p w:rsidR="006A16DF" w:rsidRPr="00820810" w:rsidRDefault="006A16DF" w:rsidP="006A16DF">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2</w:t>
            </w:r>
          </w:p>
          <w:p w:rsidR="006A16DF" w:rsidRPr="00820810" w:rsidRDefault="006A16DF" w:rsidP="006A16DF">
            <w:pPr>
              <w:pStyle w:val="a9"/>
              <w:ind w:left="0"/>
              <w:rPr>
                <w:rFonts w:ascii="Times New Roman" w:hAnsi="Times New Roman" w:cs="Times New Roman"/>
                <w:i/>
                <w:sz w:val="26"/>
                <w:szCs w:val="26"/>
                <w:lang w:val="uk-UA"/>
              </w:rPr>
            </w:pPr>
            <w:r w:rsidRPr="00820810">
              <w:rPr>
                <w:rFonts w:ascii="Times New Roman" w:hAnsi="Times New Roman" w:cs="Times New Roman"/>
                <w:i/>
                <w:sz w:val="24"/>
                <w:szCs w:val="24"/>
                <w:lang w:val="uk-UA"/>
              </w:rPr>
              <w:t>Прийняття регуляторного акта</w:t>
            </w:r>
          </w:p>
        </w:tc>
        <w:tc>
          <w:tcPr>
            <w:tcW w:w="3828" w:type="dxa"/>
          </w:tcPr>
          <w:p w:rsidR="006A16DF" w:rsidRPr="00820810" w:rsidRDefault="006A16DF" w:rsidP="006A16DF">
            <w:pPr>
              <w:pStyle w:val="a9"/>
              <w:ind w:left="0"/>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Можливість мати імідж підприємства, що продає енергоефективне обладнання та слідує правилам європейських стандартів.</w:t>
            </w:r>
          </w:p>
          <w:p w:rsidR="006A16DF" w:rsidRPr="00820810" w:rsidRDefault="006A16DF" w:rsidP="006A16DF">
            <w:pPr>
              <w:pStyle w:val="a9"/>
              <w:ind w:left="0"/>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Можливість мати конкурентні переваги, так як споживач матиме повну інформацію про енергоефективність продукту.</w:t>
            </w:r>
          </w:p>
          <w:p w:rsidR="006A16DF" w:rsidRPr="00820810" w:rsidRDefault="006A16DF" w:rsidP="006A16DF">
            <w:pPr>
              <w:pStyle w:val="a9"/>
              <w:ind w:left="0"/>
              <w:jc w:val="both"/>
              <w:rPr>
                <w:rFonts w:ascii="Times New Roman" w:hAnsi="Times New Roman" w:cs="Times New Roman"/>
                <w:i/>
                <w:sz w:val="26"/>
                <w:szCs w:val="26"/>
                <w:lang w:val="uk-UA"/>
              </w:rPr>
            </w:pPr>
            <w:r w:rsidRPr="00820810">
              <w:rPr>
                <w:rFonts w:ascii="Times New Roman" w:hAnsi="Times New Roman" w:cs="Times New Roman"/>
                <w:color w:val="000000"/>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969" w:type="dxa"/>
          </w:tcPr>
          <w:p w:rsidR="006A16DF" w:rsidRPr="00820810" w:rsidRDefault="00763CE1" w:rsidP="003B621E">
            <w:pPr>
              <w:pStyle w:val="a9"/>
              <w:ind w:left="0"/>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Витра</w:t>
            </w:r>
            <w:r w:rsidR="00160F1D" w:rsidRPr="00820810">
              <w:rPr>
                <w:rFonts w:ascii="Times New Roman" w:hAnsi="Times New Roman" w:cs="Times New Roman"/>
                <w:color w:val="000000"/>
                <w:sz w:val="24"/>
                <w:szCs w:val="24"/>
                <w:lang w:val="uk-UA"/>
              </w:rPr>
              <w:t>ти суб’єктів господарювання в</w:t>
            </w:r>
            <w:r w:rsidR="003B621E" w:rsidRPr="00820810">
              <w:rPr>
                <w:rFonts w:ascii="Times New Roman" w:hAnsi="Times New Roman" w:cs="Times New Roman"/>
                <w:color w:val="000000"/>
                <w:sz w:val="24"/>
                <w:szCs w:val="24"/>
                <w:lang w:val="uk-UA"/>
              </w:rPr>
              <w:t>еликого і середнього підприємни</w:t>
            </w:r>
            <w:r w:rsidR="00160F1D" w:rsidRPr="00820810">
              <w:rPr>
                <w:rFonts w:ascii="Times New Roman" w:hAnsi="Times New Roman" w:cs="Times New Roman"/>
                <w:color w:val="000000"/>
                <w:sz w:val="24"/>
                <w:szCs w:val="24"/>
                <w:lang w:val="uk-UA"/>
              </w:rPr>
              <w:t>цтва</w:t>
            </w:r>
            <w:r w:rsidR="003B621E" w:rsidRPr="00820810">
              <w:rPr>
                <w:rFonts w:ascii="Times New Roman" w:hAnsi="Times New Roman" w:cs="Times New Roman"/>
                <w:color w:val="000000"/>
                <w:sz w:val="24"/>
                <w:szCs w:val="24"/>
                <w:lang w:val="uk-UA"/>
              </w:rPr>
              <w:t>, які виникають  внаслідок дії регуляторного акта</w:t>
            </w:r>
          </w:p>
          <w:p w:rsidR="00A607A5" w:rsidRPr="00820810" w:rsidRDefault="00A607A5" w:rsidP="00A607A5">
            <w:pPr>
              <w:spacing w:line="360" w:lineRule="auto"/>
              <w:ind w:right="-108"/>
              <w:jc w:val="center"/>
              <w:rPr>
                <w:rFonts w:ascii="Times New Roman" w:hAnsi="Times New Roman" w:cs="Times New Roman"/>
                <w:sz w:val="24"/>
                <w:szCs w:val="24"/>
                <w:lang w:val="uk-UA"/>
              </w:rPr>
            </w:pPr>
          </w:p>
          <w:p w:rsidR="00A607A5" w:rsidRPr="00820810" w:rsidRDefault="00A607A5" w:rsidP="00A607A5">
            <w:pPr>
              <w:spacing w:line="360" w:lineRule="auto"/>
              <w:ind w:right="-108"/>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15 256 800 грн (1 рік)</w:t>
            </w:r>
          </w:p>
          <w:p w:rsidR="00A607A5" w:rsidRPr="00820810" w:rsidRDefault="00A607A5" w:rsidP="00A607A5">
            <w:pPr>
              <w:pStyle w:val="a9"/>
              <w:ind w:left="0"/>
              <w:jc w:val="center"/>
              <w:rPr>
                <w:rFonts w:ascii="Times New Roman" w:hAnsi="Times New Roman" w:cs="Times New Roman"/>
                <w:color w:val="000000"/>
                <w:sz w:val="24"/>
                <w:szCs w:val="24"/>
                <w:lang w:val="uk-UA"/>
              </w:rPr>
            </w:pPr>
            <w:r w:rsidRPr="00820810">
              <w:rPr>
                <w:rFonts w:ascii="Times New Roman" w:hAnsi="Times New Roman" w:cs="Times New Roman"/>
                <w:sz w:val="24"/>
                <w:szCs w:val="24"/>
                <w:lang w:val="uk-UA"/>
              </w:rPr>
              <w:t>76 284 000 грн (5 років)</w:t>
            </w:r>
          </w:p>
        </w:tc>
      </w:tr>
    </w:tbl>
    <w:p w:rsidR="00EF1D55" w:rsidRPr="00820810" w:rsidRDefault="00EF1D55" w:rsidP="00D860C9">
      <w:pPr>
        <w:pStyle w:val="a9"/>
        <w:rPr>
          <w:rFonts w:ascii="Times New Roman" w:hAnsi="Times New Roman" w:cs="Times New Roman"/>
          <w:i/>
          <w:sz w:val="26"/>
          <w:szCs w:val="26"/>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7"/>
        <w:gridCol w:w="2835"/>
      </w:tblGrid>
      <w:tr w:rsidR="00475B59" w:rsidRPr="00820810" w:rsidTr="005B1DAA">
        <w:tc>
          <w:tcPr>
            <w:tcW w:w="6947" w:type="dxa"/>
            <w:tcBorders>
              <w:top w:val="single" w:sz="4" w:space="0" w:color="auto"/>
              <w:left w:val="single" w:sz="4" w:space="0" w:color="auto"/>
              <w:bottom w:val="single" w:sz="4" w:space="0" w:color="auto"/>
              <w:right w:val="single" w:sz="4" w:space="0" w:color="auto"/>
            </w:tcBorders>
            <w:shd w:val="clear" w:color="auto" w:fill="auto"/>
          </w:tcPr>
          <w:p w:rsidR="00475B59" w:rsidRPr="00820810" w:rsidRDefault="00475B59" w:rsidP="00475B59">
            <w:pPr>
              <w:spacing w:after="0"/>
              <w:contextualSpacing/>
              <w:rPr>
                <w:rFonts w:ascii="Times New Roman" w:eastAsia="Calibri" w:hAnsi="Times New Roman" w:cs="Times New Roman"/>
                <w:b/>
                <w:sz w:val="24"/>
                <w:szCs w:val="24"/>
                <w:lang w:val="uk-UA"/>
              </w:rPr>
            </w:pPr>
            <w:r w:rsidRPr="00820810">
              <w:rPr>
                <w:rFonts w:ascii="Times New Roman" w:eastAsia="Calibri" w:hAnsi="Times New Roman" w:cs="Times New Roman"/>
                <w:b/>
                <w:sz w:val="24"/>
                <w:szCs w:val="24"/>
                <w:lang w:val="uk-UA"/>
              </w:rPr>
              <w:t>Сумарні витрати за альтернативами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75B59" w:rsidRPr="00820810" w:rsidRDefault="00475B59" w:rsidP="00893127">
            <w:pPr>
              <w:jc w:val="center"/>
              <w:rPr>
                <w:rFonts w:ascii="Times New Roman" w:eastAsia="Calibri" w:hAnsi="Times New Roman" w:cs="Times New Roman"/>
                <w:b/>
                <w:sz w:val="24"/>
                <w:szCs w:val="24"/>
                <w:lang w:val="uk-UA"/>
              </w:rPr>
            </w:pPr>
            <w:r w:rsidRPr="00820810">
              <w:rPr>
                <w:rFonts w:ascii="Times New Roman" w:eastAsia="Calibri" w:hAnsi="Times New Roman" w:cs="Times New Roman"/>
                <w:b/>
                <w:sz w:val="24"/>
                <w:szCs w:val="24"/>
                <w:lang w:val="uk-UA"/>
              </w:rPr>
              <w:t>Сума витрат, гривень</w:t>
            </w:r>
          </w:p>
        </w:tc>
      </w:tr>
      <w:tr w:rsidR="00475B59" w:rsidRPr="00820810" w:rsidTr="005B1DAA">
        <w:tc>
          <w:tcPr>
            <w:tcW w:w="6947" w:type="dxa"/>
            <w:tcBorders>
              <w:top w:val="single" w:sz="4" w:space="0" w:color="auto"/>
              <w:left w:val="single" w:sz="4" w:space="0" w:color="auto"/>
              <w:bottom w:val="single" w:sz="4" w:space="0" w:color="auto"/>
              <w:right w:val="single" w:sz="4" w:space="0" w:color="auto"/>
            </w:tcBorders>
            <w:shd w:val="clear" w:color="auto" w:fill="auto"/>
          </w:tcPr>
          <w:p w:rsidR="00475B59" w:rsidRPr="00820810" w:rsidRDefault="00475B59" w:rsidP="00893127">
            <w:pPr>
              <w:spacing w:after="0"/>
              <w:contextualSpacing/>
              <w:rPr>
                <w:rFonts w:ascii="Times New Roman" w:eastAsia="Calibri" w:hAnsi="Times New Roman" w:cs="Times New Roman"/>
                <w:sz w:val="24"/>
                <w:szCs w:val="24"/>
                <w:lang w:val="uk-UA"/>
              </w:rPr>
            </w:pPr>
            <w:r w:rsidRPr="00820810">
              <w:rPr>
                <w:rFonts w:ascii="Times New Roman" w:eastAsia="Calibri" w:hAnsi="Times New Roman" w:cs="Times New Roman"/>
                <w:sz w:val="24"/>
                <w:szCs w:val="24"/>
                <w:lang w:val="uk-UA"/>
              </w:rPr>
              <w:t>Альтернатива 1</w:t>
            </w:r>
          </w:p>
          <w:p w:rsidR="00475B59" w:rsidRPr="00820810" w:rsidRDefault="00475B59" w:rsidP="00475B59">
            <w:pPr>
              <w:spacing w:after="0"/>
              <w:contextualSpacing/>
              <w:rPr>
                <w:rFonts w:ascii="Times New Roman" w:eastAsia="Calibri" w:hAnsi="Times New Roman" w:cs="Times New Roman"/>
                <w:sz w:val="24"/>
                <w:szCs w:val="24"/>
                <w:lang w:val="uk-UA"/>
              </w:rPr>
            </w:pPr>
            <w:r w:rsidRPr="00820810">
              <w:rPr>
                <w:rFonts w:ascii="Times New Roman" w:eastAsia="Calibri" w:hAnsi="Times New Roman" w:cs="Times New Roman"/>
                <w:sz w:val="24"/>
                <w:szCs w:val="24"/>
                <w:lang w:val="uk-UA"/>
              </w:rPr>
              <w:t>Залишити ситуацію без змін</w:t>
            </w:r>
          </w:p>
          <w:p w:rsidR="00475B59" w:rsidRPr="00820810" w:rsidRDefault="00475B59" w:rsidP="00475B59">
            <w:pPr>
              <w:spacing w:after="0"/>
              <w:contextualSpacing/>
              <w:rPr>
                <w:rFonts w:ascii="Times New Roman" w:eastAsia="Calibri"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75B59" w:rsidRPr="00820810" w:rsidRDefault="00234976" w:rsidP="00475B5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r>
      <w:tr w:rsidR="00475B59" w:rsidRPr="00820810" w:rsidTr="005B1DAA">
        <w:tc>
          <w:tcPr>
            <w:tcW w:w="6947" w:type="dxa"/>
            <w:tcBorders>
              <w:top w:val="single" w:sz="4" w:space="0" w:color="auto"/>
              <w:left w:val="single" w:sz="4" w:space="0" w:color="auto"/>
              <w:bottom w:val="single" w:sz="4" w:space="0" w:color="auto"/>
              <w:right w:val="single" w:sz="4" w:space="0" w:color="auto"/>
            </w:tcBorders>
            <w:shd w:val="clear" w:color="auto" w:fill="auto"/>
          </w:tcPr>
          <w:p w:rsidR="00475B59" w:rsidRPr="00820810" w:rsidRDefault="00475B59" w:rsidP="00893127">
            <w:pPr>
              <w:spacing w:after="0"/>
              <w:contextualSpacing/>
              <w:rPr>
                <w:rFonts w:ascii="Times New Roman" w:eastAsia="Calibri" w:hAnsi="Times New Roman" w:cs="Times New Roman"/>
                <w:sz w:val="24"/>
                <w:szCs w:val="24"/>
                <w:lang w:val="uk-UA"/>
              </w:rPr>
            </w:pPr>
            <w:r w:rsidRPr="00820810">
              <w:rPr>
                <w:rFonts w:ascii="Times New Roman" w:eastAsia="Calibri" w:hAnsi="Times New Roman" w:cs="Times New Roman"/>
                <w:sz w:val="24"/>
                <w:szCs w:val="24"/>
                <w:lang w:val="uk-UA"/>
              </w:rPr>
              <w:t>Альтернатива 2</w:t>
            </w:r>
          </w:p>
          <w:p w:rsidR="00475B59" w:rsidRPr="00820810" w:rsidRDefault="00475B59" w:rsidP="00475B59">
            <w:pPr>
              <w:spacing w:after="0"/>
              <w:contextualSpacing/>
              <w:rPr>
                <w:rFonts w:ascii="Times New Roman" w:eastAsia="Calibri" w:hAnsi="Times New Roman" w:cs="Times New Roman"/>
                <w:sz w:val="24"/>
                <w:szCs w:val="24"/>
                <w:lang w:val="uk-UA"/>
              </w:rPr>
            </w:pPr>
            <w:r w:rsidRPr="00820810">
              <w:rPr>
                <w:rFonts w:ascii="Times New Roman" w:eastAsia="Calibri" w:hAnsi="Times New Roman" w:cs="Times New Roman"/>
                <w:sz w:val="24"/>
                <w:szCs w:val="24"/>
                <w:lang w:val="uk-UA"/>
              </w:rPr>
              <w:t>Прийняття регуляторного акта</w:t>
            </w:r>
          </w:p>
          <w:p w:rsidR="00475B59" w:rsidRPr="00820810" w:rsidRDefault="00475B59" w:rsidP="00475B59">
            <w:pPr>
              <w:spacing w:after="0"/>
              <w:contextualSpacing/>
              <w:rPr>
                <w:rFonts w:ascii="Times New Roman" w:eastAsia="Calibri"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5962" w:rsidRPr="00820810" w:rsidRDefault="00276A8B" w:rsidP="0003119F">
            <w:pPr>
              <w:spacing w:after="0" w:line="360" w:lineRule="auto"/>
              <w:ind w:right="-108"/>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15 256 800</w:t>
            </w:r>
            <w:r w:rsidR="00795962" w:rsidRPr="00820810">
              <w:rPr>
                <w:rFonts w:ascii="Times New Roman" w:hAnsi="Times New Roman" w:cs="Times New Roman"/>
                <w:sz w:val="24"/>
                <w:szCs w:val="24"/>
                <w:lang w:val="uk-UA"/>
              </w:rPr>
              <w:t xml:space="preserve"> грн</w:t>
            </w:r>
            <w:r w:rsidR="00E51DDE" w:rsidRPr="00820810">
              <w:rPr>
                <w:rFonts w:ascii="Times New Roman" w:hAnsi="Times New Roman" w:cs="Times New Roman"/>
                <w:sz w:val="24"/>
                <w:szCs w:val="24"/>
                <w:lang w:val="uk-UA"/>
              </w:rPr>
              <w:t xml:space="preserve"> (1 рік)</w:t>
            </w:r>
          </w:p>
          <w:p w:rsidR="00475B59" w:rsidRPr="00820810" w:rsidRDefault="00276A8B" w:rsidP="005B1DAA">
            <w:pPr>
              <w:spacing w:after="0" w:line="360" w:lineRule="auto"/>
              <w:ind w:right="-108"/>
              <w:jc w:val="center"/>
              <w:rPr>
                <w:rFonts w:ascii="Times New Roman" w:eastAsia="Calibri" w:hAnsi="Times New Roman" w:cs="Times New Roman"/>
                <w:sz w:val="24"/>
                <w:szCs w:val="24"/>
                <w:lang w:val="uk-UA"/>
              </w:rPr>
            </w:pPr>
            <w:r w:rsidRPr="00820810">
              <w:rPr>
                <w:rFonts w:ascii="Times New Roman" w:hAnsi="Times New Roman" w:cs="Times New Roman"/>
                <w:sz w:val="24"/>
                <w:szCs w:val="24"/>
                <w:lang w:val="uk-UA"/>
              </w:rPr>
              <w:t xml:space="preserve">76 284 000 </w:t>
            </w:r>
            <w:r w:rsidR="006D5EE2" w:rsidRPr="00820810">
              <w:rPr>
                <w:rFonts w:ascii="Times New Roman" w:hAnsi="Times New Roman" w:cs="Times New Roman"/>
                <w:sz w:val="24"/>
                <w:szCs w:val="24"/>
                <w:lang w:val="uk-UA"/>
              </w:rPr>
              <w:t>грн (5 років)</w:t>
            </w:r>
          </w:p>
        </w:tc>
      </w:tr>
    </w:tbl>
    <w:p w:rsidR="00C9367F" w:rsidRPr="00820810" w:rsidRDefault="00C9367F" w:rsidP="007E2964">
      <w:pPr>
        <w:spacing w:after="0" w:line="276" w:lineRule="auto"/>
        <w:jc w:val="center"/>
        <w:rPr>
          <w:rFonts w:ascii="Times New Roman" w:hAnsi="Times New Roman" w:cs="Times New Roman"/>
          <w:b/>
          <w:sz w:val="26"/>
          <w:szCs w:val="26"/>
          <w:lang w:val="uk-UA"/>
        </w:rPr>
      </w:pPr>
    </w:p>
    <w:p w:rsidR="00C9367F" w:rsidRPr="00820810" w:rsidRDefault="004767B8" w:rsidP="00902EB5">
      <w:pPr>
        <w:spacing w:after="120" w:line="240" w:lineRule="auto"/>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IV. Вибір найбільш оптимального альтернативного способу досягнення цілей</w:t>
      </w:r>
    </w:p>
    <w:p w:rsidR="00897116" w:rsidRPr="00820810" w:rsidRDefault="00897116" w:rsidP="00897116">
      <w:pPr>
        <w:spacing w:after="0" w:line="276" w:lineRule="auto"/>
        <w:jc w:val="center"/>
        <w:rPr>
          <w:rFonts w:ascii="Times New Roman" w:hAnsi="Times New Roman" w:cs="Times New Roman"/>
          <w:sz w:val="8"/>
          <w:szCs w:val="8"/>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3"/>
        <w:gridCol w:w="5812"/>
      </w:tblGrid>
      <w:tr w:rsidR="006A16DF" w:rsidRPr="00820810" w:rsidTr="00D13707">
        <w:trPr>
          <w:trHeight w:val="2089"/>
        </w:trPr>
        <w:tc>
          <w:tcPr>
            <w:tcW w:w="2127" w:type="dxa"/>
            <w:vAlign w:val="center"/>
          </w:tcPr>
          <w:p w:rsidR="006A16DF" w:rsidRPr="00820810" w:rsidRDefault="006A16DF" w:rsidP="00D13707">
            <w:pPr>
              <w:spacing w:line="240" w:lineRule="auto"/>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lastRenderedPageBreak/>
              <w:t>Рейтинг результативності (досягнення цілей під час вирішення проблеми)</w:t>
            </w:r>
          </w:p>
        </w:tc>
        <w:tc>
          <w:tcPr>
            <w:tcW w:w="1843" w:type="dxa"/>
            <w:vAlign w:val="center"/>
          </w:tcPr>
          <w:p w:rsidR="006A16DF" w:rsidRPr="00820810" w:rsidRDefault="006A16DF" w:rsidP="00D13707">
            <w:pPr>
              <w:spacing w:line="240" w:lineRule="auto"/>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 xml:space="preserve">Бал </w:t>
            </w:r>
            <w:proofErr w:type="spellStart"/>
            <w:r w:rsidRPr="00820810">
              <w:rPr>
                <w:rFonts w:ascii="Times New Roman" w:hAnsi="Times New Roman" w:cs="Times New Roman"/>
                <w:b/>
                <w:sz w:val="24"/>
                <w:szCs w:val="24"/>
                <w:lang w:val="uk-UA"/>
              </w:rPr>
              <w:t>результа</w:t>
            </w:r>
            <w:r w:rsidR="00D13707" w:rsidRPr="00820810">
              <w:rPr>
                <w:rFonts w:ascii="Times New Roman" w:hAnsi="Times New Roman" w:cs="Times New Roman"/>
                <w:b/>
                <w:sz w:val="24"/>
                <w:szCs w:val="24"/>
                <w:lang w:val="uk-UA"/>
              </w:rPr>
              <w:t>-</w:t>
            </w:r>
            <w:r w:rsidRPr="00820810">
              <w:rPr>
                <w:rFonts w:ascii="Times New Roman" w:hAnsi="Times New Roman" w:cs="Times New Roman"/>
                <w:b/>
                <w:sz w:val="24"/>
                <w:szCs w:val="24"/>
                <w:lang w:val="uk-UA"/>
              </w:rPr>
              <w:t>тивності</w:t>
            </w:r>
            <w:proofErr w:type="spellEnd"/>
            <w:r w:rsidRPr="00820810">
              <w:rPr>
                <w:rFonts w:ascii="Times New Roman" w:hAnsi="Times New Roman" w:cs="Times New Roman"/>
                <w:b/>
                <w:sz w:val="24"/>
                <w:szCs w:val="24"/>
                <w:lang w:val="uk-UA"/>
              </w:rPr>
              <w:t xml:space="preserve"> (за чотири</w:t>
            </w:r>
            <w:r w:rsidR="00D92977" w:rsidRPr="00820810">
              <w:rPr>
                <w:rFonts w:ascii="Times New Roman" w:hAnsi="Times New Roman" w:cs="Times New Roman"/>
                <w:b/>
                <w:sz w:val="24"/>
                <w:szCs w:val="24"/>
                <w:lang w:val="uk-UA"/>
              </w:rPr>
              <w:t>-</w:t>
            </w:r>
            <w:r w:rsidRPr="00820810">
              <w:rPr>
                <w:rFonts w:ascii="Times New Roman" w:hAnsi="Times New Roman" w:cs="Times New Roman"/>
                <w:b/>
                <w:sz w:val="24"/>
                <w:szCs w:val="24"/>
                <w:lang w:val="uk-UA"/>
              </w:rPr>
              <w:t>бальною системою оцінки)</w:t>
            </w:r>
          </w:p>
        </w:tc>
        <w:tc>
          <w:tcPr>
            <w:tcW w:w="5812" w:type="dxa"/>
            <w:vAlign w:val="center"/>
          </w:tcPr>
          <w:p w:rsidR="006A16DF" w:rsidRPr="00820810" w:rsidRDefault="006A16DF" w:rsidP="00D13707">
            <w:pPr>
              <w:spacing w:line="240" w:lineRule="auto"/>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 xml:space="preserve">Коментарі щодо присвоєння відповідного </w:t>
            </w:r>
            <w:proofErr w:type="spellStart"/>
            <w:r w:rsidRPr="00820810">
              <w:rPr>
                <w:rFonts w:ascii="Times New Roman" w:hAnsi="Times New Roman" w:cs="Times New Roman"/>
                <w:b/>
                <w:sz w:val="24"/>
                <w:szCs w:val="24"/>
                <w:lang w:val="uk-UA"/>
              </w:rPr>
              <w:t>бала</w:t>
            </w:r>
            <w:proofErr w:type="spellEnd"/>
          </w:p>
        </w:tc>
      </w:tr>
      <w:tr w:rsidR="006A16DF" w:rsidRPr="00820810" w:rsidTr="00D13707">
        <w:trPr>
          <w:trHeight w:val="548"/>
        </w:trPr>
        <w:tc>
          <w:tcPr>
            <w:tcW w:w="2127" w:type="dxa"/>
          </w:tcPr>
          <w:p w:rsidR="006A16DF" w:rsidRPr="00820810" w:rsidRDefault="006A16DF" w:rsidP="006A16DF">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1</w:t>
            </w:r>
          </w:p>
          <w:p w:rsidR="006A16DF" w:rsidRPr="00820810" w:rsidRDefault="006A16DF" w:rsidP="006A16DF">
            <w:pPr>
              <w:spacing w:before="120"/>
              <w:ind w:left="-11"/>
              <w:jc w:val="both"/>
              <w:rPr>
                <w:rFonts w:ascii="Times New Roman" w:hAnsi="Times New Roman" w:cs="Times New Roman"/>
                <w:b/>
                <w:i/>
                <w:sz w:val="24"/>
                <w:szCs w:val="24"/>
                <w:lang w:val="uk-UA"/>
              </w:rPr>
            </w:pPr>
            <w:r w:rsidRPr="00820810">
              <w:rPr>
                <w:rFonts w:ascii="Times New Roman" w:hAnsi="Times New Roman" w:cs="Times New Roman"/>
                <w:i/>
                <w:sz w:val="24"/>
                <w:szCs w:val="24"/>
                <w:lang w:val="uk-UA"/>
              </w:rPr>
              <w:t>Залишити ситуацію без змін</w:t>
            </w:r>
            <w:r w:rsidRPr="00820810">
              <w:rPr>
                <w:rFonts w:ascii="Times New Roman" w:hAnsi="Times New Roman" w:cs="Times New Roman"/>
                <w:sz w:val="24"/>
                <w:szCs w:val="24"/>
                <w:lang w:val="uk-UA"/>
              </w:rPr>
              <w:t xml:space="preserve"> </w:t>
            </w:r>
          </w:p>
          <w:p w:rsidR="006A16DF" w:rsidRPr="00820810" w:rsidRDefault="006A16DF" w:rsidP="006A16DF">
            <w:pPr>
              <w:jc w:val="both"/>
              <w:rPr>
                <w:rFonts w:ascii="Times New Roman" w:hAnsi="Times New Roman" w:cs="Times New Roman"/>
                <w:sz w:val="24"/>
                <w:szCs w:val="24"/>
                <w:lang w:val="uk-UA"/>
              </w:rPr>
            </w:pPr>
          </w:p>
        </w:tc>
        <w:tc>
          <w:tcPr>
            <w:tcW w:w="1843" w:type="dxa"/>
          </w:tcPr>
          <w:p w:rsidR="006A16DF" w:rsidRPr="00820810" w:rsidRDefault="006A16DF" w:rsidP="006A16DF">
            <w:pPr>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1</w:t>
            </w:r>
          </w:p>
        </w:tc>
        <w:tc>
          <w:tcPr>
            <w:tcW w:w="5812" w:type="dxa"/>
          </w:tcPr>
          <w:p w:rsidR="006A16DF" w:rsidRPr="00820810" w:rsidRDefault="006A16DF" w:rsidP="00A607A5">
            <w:pPr>
              <w:pStyle w:val="a9"/>
              <w:ind w:left="0" w:firstLine="319"/>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Відмова від запровадження системи</w:t>
            </w:r>
            <w:r w:rsidR="00D7637F" w:rsidRPr="00820810">
              <w:rPr>
                <w:rFonts w:ascii="Times New Roman" w:hAnsi="Times New Roman" w:cs="Times New Roman"/>
                <w:sz w:val="24"/>
                <w:szCs w:val="24"/>
                <w:lang w:val="uk-UA"/>
              </w:rPr>
              <w:t xml:space="preserve"> покращення енергетичних та екологічних характеристик даного обладнання не дає </w:t>
            </w:r>
            <w:r w:rsidR="00361295" w:rsidRPr="00820810">
              <w:rPr>
                <w:rFonts w:ascii="Times New Roman" w:hAnsi="Times New Roman" w:cs="Times New Roman"/>
                <w:sz w:val="24"/>
                <w:szCs w:val="24"/>
                <w:lang w:val="uk-UA"/>
              </w:rPr>
              <w:t>змоги досяг</w:t>
            </w:r>
            <w:r w:rsidRPr="00820810">
              <w:rPr>
                <w:rFonts w:ascii="Times New Roman" w:hAnsi="Times New Roman" w:cs="Times New Roman"/>
                <w:sz w:val="24"/>
                <w:szCs w:val="24"/>
                <w:lang w:val="uk-UA"/>
              </w:rPr>
              <w:t xml:space="preserve">ти поставлених цілей державного регулювання та призведе до: </w:t>
            </w:r>
          </w:p>
          <w:p w:rsidR="006A16DF" w:rsidRPr="00820810" w:rsidRDefault="006A16DF" w:rsidP="006A16DF">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rsidR="006A16DF" w:rsidRPr="00820810" w:rsidRDefault="006A16DF" w:rsidP="006A16DF">
            <w:pPr>
              <w:pStyle w:val="a9"/>
              <w:spacing w:after="0"/>
              <w:ind w:left="0" w:firstLine="317"/>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D92977" w:rsidRPr="00820810">
              <w:rPr>
                <w:rFonts w:ascii="Times New Roman" w:hAnsi="Times New Roman" w:cs="Times New Roman"/>
                <w:color w:val="000000"/>
                <w:sz w:val="24"/>
                <w:szCs w:val="24"/>
                <w:lang w:val="uk-UA"/>
              </w:rPr>
              <w:t>енергоефективних товарів</w:t>
            </w:r>
            <w:r w:rsidRPr="00820810">
              <w:rPr>
                <w:rFonts w:ascii="Times New Roman" w:hAnsi="Times New Roman" w:cs="Times New Roman"/>
                <w:color w:val="000000"/>
                <w:sz w:val="24"/>
                <w:szCs w:val="24"/>
                <w:lang w:val="uk-UA"/>
              </w:rPr>
              <w:t>, оскільки тарифи на енергетичні ресурси зростатимуть;</w:t>
            </w:r>
          </w:p>
          <w:p w:rsidR="006A16DF" w:rsidRPr="00820810" w:rsidRDefault="006A16DF" w:rsidP="006A16DF">
            <w:pPr>
              <w:spacing w:after="0"/>
              <w:ind w:firstLine="317"/>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відсутності можливості мати імідж підприємства, що виробляє та продає енергоефективне обладнання;</w:t>
            </w:r>
          </w:p>
          <w:p w:rsidR="006A16DF" w:rsidRPr="00820810" w:rsidRDefault="006A16DF" w:rsidP="006A16DF">
            <w:pPr>
              <w:spacing w:after="0"/>
              <w:ind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надмірних витрат за використання електричної енергії;</w:t>
            </w:r>
          </w:p>
          <w:p w:rsidR="006A16DF" w:rsidRPr="00820810" w:rsidRDefault="006A16DF" w:rsidP="006A16DF">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створення технічних бар’єрів під час торгівлі між Україною та ЄС;</w:t>
            </w:r>
          </w:p>
          <w:p w:rsidR="006A16DF" w:rsidRPr="00820810" w:rsidRDefault="006A16DF" w:rsidP="006A16DF">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відсутності споживчого вибору між дешевою, енергоємною продукцією та дорожчою, енергоефективною;</w:t>
            </w:r>
          </w:p>
          <w:p w:rsidR="006A16DF" w:rsidRPr="00820810" w:rsidRDefault="006A16DF" w:rsidP="006A16DF">
            <w:pPr>
              <w:pStyle w:val="a9"/>
              <w:ind w:left="0" w:firstLine="317"/>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втрати можливості мати конкурентні переваги, оскільки споживач матиме повну інформацію про енергоефективність продукту;</w:t>
            </w:r>
          </w:p>
          <w:p w:rsidR="006A16DF" w:rsidRPr="00820810" w:rsidRDefault="006A16DF" w:rsidP="006A16DF">
            <w:pPr>
              <w:pStyle w:val="a9"/>
              <w:ind w:left="0" w:firstLine="317"/>
              <w:jc w:val="both"/>
              <w:rPr>
                <w:rFonts w:ascii="Times New Roman" w:hAnsi="Times New Roman" w:cs="Times New Roman"/>
                <w:color w:val="000000"/>
                <w:sz w:val="24"/>
                <w:szCs w:val="24"/>
                <w:lang w:val="uk-UA"/>
              </w:rPr>
            </w:pPr>
            <w:r w:rsidRPr="00820810">
              <w:rPr>
                <w:rFonts w:ascii="Times New Roman" w:hAnsi="Times New Roman" w:cs="Times New Roman"/>
                <w:color w:val="000000"/>
                <w:sz w:val="24"/>
                <w:szCs w:val="24"/>
                <w:lang w:val="uk-UA"/>
              </w:rPr>
              <w:t>втрати практичного досвіду «правил гри» на європейському ринку;</w:t>
            </w:r>
          </w:p>
          <w:p w:rsidR="00747CA1" w:rsidRPr="00820810" w:rsidRDefault="006A16DF" w:rsidP="001D6AAE">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color w:val="000000"/>
                <w:sz w:val="24"/>
                <w:szCs w:val="24"/>
                <w:lang w:val="uk-UA"/>
              </w:rPr>
              <w:t>неможливості надання своєї продукції на ринок ЄС.</w:t>
            </w:r>
          </w:p>
        </w:tc>
      </w:tr>
      <w:tr w:rsidR="006A16DF" w:rsidRPr="00820810" w:rsidTr="00D13707">
        <w:trPr>
          <w:trHeight w:val="450"/>
        </w:trPr>
        <w:tc>
          <w:tcPr>
            <w:tcW w:w="2127" w:type="dxa"/>
          </w:tcPr>
          <w:p w:rsidR="006A16DF" w:rsidRPr="00820810" w:rsidRDefault="006A16DF" w:rsidP="006A16DF">
            <w:pPr>
              <w:pStyle w:val="a9"/>
              <w:ind w:left="0"/>
              <w:jc w:val="both"/>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2</w:t>
            </w:r>
          </w:p>
          <w:p w:rsidR="006A16DF" w:rsidRPr="00820810" w:rsidRDefault="006A16DF" w:rsidP="006A16DF">
            <w:pPr>
              <w:jc w:val="both"/>
              <w:rPr>
                <w:rFonts w:ascii="Times New Roman" w:hAnsi="Times New Roman" w:cs="Times New Roman"/>
                <w:i/>
                <w:sz w:val="24"/>
                <w:szCs w:val="24"/>
                <w:lang w:val="uk-UA"/>
              </w:rPr>
            </w:pPr>
            <w:r w:rsidRPr="00820810">
              <w:rPr>
                <w:rFonts w:ascii="Times New Roman" w:hAnsi="Times New Roman" w:cs="Times New Roman"/>
                <w:i/>
                <w:sz w:val="24"/>
                <w:szCs w:val="24"/>
                <w:lang w:val="uk-UA"/>
              </w:rPr>
              <w:t>Прийняття регуляторного акта</w:t>
            </w:r>
          </w:p>
          <w:p w:rsidR="006A16DF" w:rsidRPr="00820810" w:rsidRDefault="006A16DF" w:rsidP="006A16DF">
            <w:pPr>
              <w:jc w:val="both"/>
              <w:rPr>
                <w:rFonts w:ascii="Times New Roman" w:hAnsi="Times New Roman" w:cs="Times New Roman"/>
                <w:i/>
                <w:sz w:val="24"/>
                <w:szCs w:val="24"/>
                <w:lang w:val="uk-UA"/>
              </w:rPr>
            </w:pPr>
          </w:p>
        </w:tc>
        <w:tc>
          <w:tcPr>
            <w:tcW w:w="1843" w:type="dxa"/>
          </w:tcPr>
          <w:p w:rsidR="006A16DF" w:rsidRPr="00820810" w:rsidRDefault="006A16DF" w:rsidP="00762BE3">
            <w:pPr>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t>4</w:t>
            </w:r>
          </w:p>
        </w:tc>
        <w:tc>
          <w:tcPr>
            <w:tcW w:w="5812" w:type="dxa"/>
          </w:tcPr>
          <w:p w:rsidR="006A16DF" w:rsidRPr="00820810" w:rsidRDefault="006A16DF" w:rsidP="00A607A5">
            <w:pPr>
              <w:pStyle w:val="a9"/>
              <w:ind w:left="0" w:firstLine="319"/>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w:t>
            </w:r>
            <w:r w:rsidR="001D6AAE" w:rsidRPr="00820810">
              <w:rPr>
                <w:rFonts w:ascii="Times New Roman" w:hAnsi="Times New Roman" w:cs="Times New Roman"/>
                <w:sz w:val="24"/>
                <w:szCs w:val="24"/>
                <w:lang w:val="uk-UA"/>
              </w:rPr>
              <w:t>ого обладнання</w:t>
            </w:r>
            <w:r w:rsidRPr="00820810">
              <w:rPr>
                <w:rFonts w:ascii="Times New Roman" w:hAnsi="Times New Roman" w:cs="Times New Roman"/>
                <w:sz w:val="24"/>
                <w:szCs w:val="24"/>
                <w:lang w:val="uk-UA"/>
              </w:rPr>
              <w:t xml:space="preserve"> на ринку, а також зменшення рівня енергоємності валового внутрішнього продукту, </w:t>
            </w:r>
            <w:r w:rsidRPr="00820810">
              <w:rPr>
                <w:rFonts w:ascii="Times New Roman" w:hAnsi="Times New Roman" w:cs="Times New Roman"/>
                <w:color w:val="000000"/>
                <w:sz w:val="24"/>
                <w:szCs w:val="24"/>
                <w:lang w:val="uk-UA"/>
              </w:rPr>
              <w:t>скорочення споживання енергетичних ресурсів під час викори</w:t>
            </w:r>
            <w:r w:rsidR="001D6AAE" w:rsidRPr="00820810">
              <w:rPr>
                <w:rFonts w:ascii="Times New Roman" w:hAnsi="Times New Roman" w:cs="Times New Roman"/>
                <w:color w:val="000000"/>
                <w:sz w:val="24"/>
                <w:szCs w:val="24"/>
                <w:lang w:val="uk-UA"/>
              </w:rPr>
              <w:t>стання енергоефективного обладнання</w:t>
            </w:r>
            <w:r w:rsidRPr="00820810">
              <w:rPr>
                <w:rFonts w:ascii="Times New Roman" w:hAnsi="Times New Roman" w:cs="Times New Roman"/>
                <w:color w:val="000000"/>
                <w:sz w:val="24"/>
                <w:szCs w:val="24"/>
                <w:lang w:val="uk-UA"/>
              </w:rPr>
              <w:t>, а також покращення іміджу підприємства за рахунок виробництва та продажу енергоефективного обладнання, з</w:t>
            </w:r>
            <w:r w:rsidRPr="00820810">
              <w:rPr>
                <w:rFonts w:ascii="Times New Roman" w:hAnsi="Times New Roman" w:cs="Times New Roman"/>
                <w:sz w:val="24"/>
                <w:szCs w:val="24"/>
                <w:lang w:val="uk-UA"/>
              </w:rPr>
              <w:t>меншення витрат за використання електричної енергії.</w:t>
            </w:r>
          </w:p>
          <w:p w:rsidR="006A16DF" w:rsidRPr="00820810" w:rsidRDefault="006A16DF" w:rsidP="006A16DF">
            <w:pPr>
              <w:pStyle w:val="a9"/>
              <w:ind w:left="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Усунення технічних бар’єрів під час торгівлі між Україною та ЄС.</w:t>
            </w:r>
          </w:p>
          <w:p w:rsidR="006A16DF" w:rsidRPr="00820810" w:rsidRDefault="006A16DF" w:rsidP="00A607A5">
            <w:pPr>
              <w:pStyle w:val="a9"/>
              <w:ind w:left="0" w:firstLine="319"/>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Запровадження європейських стандартів та </w:t>
            </w:r>
            <w:r w:rsidRPr="00820810">
              <w:rPr>
                <w:rFonts w:ascii="Times New Roman" w:hAnsi="Times New Roman" w:cs="Times New Roman"/>
                <w:sz w:val="24"/>
                <w:szCs w:val="24"/>
                <w:lang w:val="uk-UA"/>
              </w:rPr>
              <w:lastRenderedPageBreak/>
              <w:t>підходу до енергоефективності побутових приладів.</w:t>
            </w:r>
          </w:p>
          <w:p w:rsidR="006A16DF" w:rsidRPr="00820810" w:rsidRDefault="006A16DF" w:rsidP="00A607A5">
            <w:pPr>
              <w:pStyle w:val="a9"/>
              <w:spacing w:after="0"/>
              <w:ind w:left="0" w:firstLine="319"/>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6A16DF" w:rsidRPr="00820810" w:rsidRDefault="006A16DF" w:rsidP="00A607A5">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19"/>
              <w:jc w:val="both"/>
              <w:rPr>
                <w:color w:val="000000"/>
                <w:lang w:val="uk-UA"/>
              </w:rPr>
            </w:pPr>
            <w:r w:rsidRPr="00820810">
              <w:rPr>
                <w:color w:val="000000"/>
                <w:lang w:val="uk-UA"/>
              </w:rPr>
              <w:t>Можливість мати конкурентні переваги, оскільки споживач матиме повну інформацію про енергоефективність продукту.</w:t>
            </w:r>
          </w:p>
          <w:p w:rsidR="006A16DF" w:rsidRPr="00820810" w:rsidRDefault="006A16DF" w:rsidP="00A607A5">
            <w:pPr>
              <w:pStyle w:val="a9"/>
              <w:ind w:left="0" w:firstLine="319"/>
              <w:jc w:val="both"/>
              <w:rPr>
                <w:rFonts w:ascii="Times New Roman" w:hAnsi="Times New Roman" w:cs="Times New Roman"/>
                <w:sz w:val="24"/>
                <w:szCs w:val="24"/>
                <w:lang w:val="uk-UA"/>
              </w:rPr>
            </w:pPr>
            <w:r w:rsidRPr="00820810">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продукції на ринок ЄС</w:t>
            </w:r>
          </w:p>
        </w:tc>
      </w:tr>
    </w:tbl>
    <w:p w:rsidR="009169B9" w:rsidRPr="00820810" w:rsidRDefault="009169B9" w:rsidP="006B1301">
      <w:pPr>
        <w:spacing w:after="0" w:line="276" w:lineRule="auto"/>
        <w:rPr>
          <w:rFonts w:ascii="Times New Roman" w:hAnsi="Times New Roman" w:cs="Times New Roman"/>
          <w:b/>
          <w:sz w:val="26"/>
          <w:szCs w:val="26"/>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2977"/>
        <w:gridCol w:w="2268"/>
      </w:tblGrid>
      <w:tr w:rsidR="00762BE3" w:rsidRPr="00820810" w:rsidTr="00D13707">
        <w:trPr>
          <w:trHeight w:val="255"/>
        </w:trPr>
        <w:tc>
          <w:tcPr>
            <w:tcW w:w="2127" w:type="dxa"/>
            <w:vAlign w:val="center"/>
          </w:tcPr>
          <w:p w:rsidR="00762BE3" w:rsidRPr="00820810" w:rsidRDefault="00762BE3" w:rsidP="00D850BB">
            <w:pPr>
              <w:spacing w:after="0"/>
              <w:ind w:firstLine="12"/>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Рейтинг результативності</w:t>
            </w:r>
          </w:p>
        </w:tc>
        <w:tc>
          <w:tcPr>
            <w:tcW w:w="2410" w:type="dxa"/>
            <w:vAlign w:val="center"/>
          </w:tcPr>
          <w:p w:rsidR="00762BE3" w:rsidRPr="00820810" w:rsidRDefault="00762BE3" w:rsidP="00D850BB">
            <w:pPr>
              <w:spacing w:after="0"/>
              <w:ind w:left="120" w:hanging="108"/>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Вигоди (підсумок)</w:t>
            </w:r>
          </w:p>
        </w:tc>
        <w:tc>
          <w:tcPr>
            <w:tcW w:w="2977" w:type="dxa"/>
            <w:vAlign w:val="center"/>
          </w:tcPr>
          <w:p w:rsidR="00762BE3" w:rsidRPr="00820810" w:rsidRDefault="00762BE3" w:rsidP="00D850BB">
            <w:pPr>
              <w:spacing w:after="0"/>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Витрати (підсумок)</w:t>
            </w:r>
          </w:p>
        </w:tc>
        <w:tc>
          <w:tcPr>
            <w:tcW w:w="2268" w:type="dxa"/>
            <w:vAlign w:val="center"/>
          </w:tcPr>
          <w:p w:rsidR="00762BE3" w:rsidRPr="00820810" w:rsidRDefault="00762BE3" w:rsidP="00D850BB">
            <w:pPr>
              <w:spacing w:after="0"/>
              <w:ind w:firstLine="12"/>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Обґрунтування відповідного місця альтернативи у рейтингу</w:t>
            </w:r>
          </w:p>
        </w:tc>
      </w:tr>
      <w:tr w:rsidR="00762BE3" w:rsidRPr="00820810" w:rsidTr="00D13707">
        <w:trPr>
          <w:trHeight w:val="274"/>
        </w:trPr>
        <w:tc>
          <w:tcPr>
            <w:tcW w:w="2127" w:type="dxa"/>
          </w:tcPr>
          <w:p w:rsidR="00762BE3" w:rsidRPr="00820810" w:rsidRDefault="00762BE3" w:rsidP="00D850BB">
            <w:pPr>
              <w:pStyle w:val="a9"/>
              <w:ind w:left="0"/>
              <w:jc w:val="both"/>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1</w:t>
            </w:r>
          </w:p>
          <w:p w:rsidR="00762BE3" w:rsidRPr="00820810" w:rsidRDefault="00A607A5" w:rsidP="00D850BB">
            <w:pPr>
              <w:spacing w:before="120" w:after="0"/>
              <w:ind w:left="-11"/>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Залишити ситуацію без змін</w:t>
            </w:r>
          </w:p>
          <w:p w:rsidR="00762BE3" w:rsidRPr="00820810" w:rsidRDefault="00762BE3" w:rsidP="00D850BB">
            <w:pPr>
              <w:spacing w:after="0"/>
              <w:jc w:val="both"/>
              <w:rPr>
                <w:rFonts w:ascii="Times New Roman" w:hAnsi="Times New Roman" w:cs="Times New Roman"/>
                <w:sz w:val="24"/>
                <w:szCs w:val="24"/>
                <w:lang w:val="uk-UA"/>
              </w:rPr>
            </w:pPr>
          </w:p>
        </w:tc>
        <w:tc>
          <w:tcPr>
            <w:tcW w:w="2410" w:type="dxa"/>
          </w:tcPr>
          <w:p w:rsidR="00762BE3" w:rsidRPr="00820810" w:rsidRDefault="00762BE3"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Вигоди відсутні</w:t>
            </w:r>
          </w:p>
          <w:p w:rsidR="00762BE3" w:rsidRPr="00820810" w:rsidRDefault="00762BE3" w:rsidP="00D850BB">
            <w:pPr>
              <w:spacing w:after="0"/>
              <w:jc w:val="both"/>
              <w:rPr>
                <w:rFonts w:ascii="Times New Roman" w:hAnsi="Times New Roman" w:cs="Times New Roman"/>
                <w:sz w:val="24"/>
                <w:szCs w:val="24"/>
                <w:lang w:val="uk-UA"/>
              </w:rPr>
            </w:pPr>
          </w:p>
          <w:p w:rsidR="00762BE3" w:rsidRPr="00820810" w:rsidRDefault="00762BE3" w:rsidP="00B9113E">
            <w:pPr>
              <w:spacing w:after="0"/>
              <w:jc w:val="both"/>
              <w:rPr>
                <w:rFonts w:ascii="Times New Roman" w:hAnsi="Times New Roman" w:cs="Times New Roman"/>
                <w:sz w:val="24"/>
                <w:szCs w:val="24"/>
                <w:lang w:val="uk-UA"/>
              </w:rPr>
            </w:pPr>
          </w:p>
        </w:tc>
        <w:tc>
          <w:tcPr>
            <w:tcW w:w="2977" w:type="dxa"/>
          </w:tcPr>
          <w:p w:rsidR="00762BE3" w:rsidRPr="00820810" w:rsidRDefault="00762BE3" w:rsidP="00D850BB">
            <w:pPr>
              <w:pStyle w:val="a9"/>
              <w:ind w:left="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Відмова від запровадження системи</w:t>
            </w:r>
            <w:r w:rsidR="0051547A" w:rsidRPr="00820810">
              <w:rPr>
                <w:rFonts w:ascii="Times New Roman" w:hAnsi="Times New Roman" w:cs="Times New Roman"/>
                <w:sz w:val="24"/>
                <w:szCs w:val="24"/>
                <w:lang w:val="uk-UA"/>
              </w:rPr>
              <w:t xml:space="preserve"> покращення енергетичних та екологічних характеристик даного обладнання </w:t>
            </w:r>
            <w:r w:rsidRPr="00820810">
              <w:rPr>
                <w:rFonts w:ascii="Times New Roman" w:hAnsi="Times New Roman" w:cs="Times New Roman"/>
                <w:sz w:val="24"/>
                <w:szCs w:val="24"/>
                <w:lang w:val="uk-UA"/>
              </w:rPr>
              <w:t xml:space="preserve">не дає змоги досягнути поставлених цілей державного регулювання та призведе до: </w:t>
            </w:r>
          </w:p>
          <w:p w:rsidR="00762BE3" w:rsidRPr="00820810" w:rsidRDefault="00762BE3" w:rsidP="00D850BB">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загальнодержавний рівень енергетичного споживання залишиться на високому рівні, що в свою чергу залишає високий рівень енергоємності</w:t>
            </w:r>
            <w:r w:rsidR="00217BA3" w:rsidRPr="00820810">
              <w:rPr>
                <w:rFonts w:ascii="Times New Roman" w:hAnsi="Times New Roman" w:cs="Times New Roman"/>
                <w:sz w:val="24"/>
                <w:szCs w:val="24"/>
                <w:lang w:val="uk-UA"/>
              </w:rPr>
              <w:t xml:space="preserve"> валового внутрішнього продукту;</w:t>
            </w:r>
          </w:p>
          <w:p w:rsidR="00762BE3" w:rsidRPr="00820810" w:rsidRDefault="00762BE3" w:rsidP="00D850BB">
            <w:pPr>
              <w:pStyle w:val="a9"/>
              <w:spacing w:after="0"/>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підвищення рівня плати за споживання енергетичних ресурсів під час використання</w:t>
            </w:r>
            <w:r w:rsidR="001D09D6" w:rsidRPr="00820810">
              <w:rPr>
                <w:rFonts w:ascii="Times New Roman" w:hAnsi="Times New Roman" w:cs="Times New Roman"/>
                <w:sz w:val="24"/>
                <w:szCs w:val="24"/>
                <w:lang w:val="uk-UA"/>
              </w:rPr>
              <w:t xml:space="preserve"> </w:t>
            </w:r>
            <w:r w:rsidR="007465BB" w:rsidRPr="00820810">
              <w:rPr>
                <w:rFonts w:ascii="Times New Roman" w:hAnsi="Times New Roman" w:cs="Times New Roman"/>
                <w:sz w:val="24"/>
                <w:szCs w:val="24"/>
                <w:lang w:val="uk-UA"/>
              </w:rPr>
              <w:t>посудомийних машин</w:t>
            </w:r>
            <w:r w:rsidRPr="00820810">
              <w:rPr>
                <w:rFonts w:ascii="Times New Roman" w:hAnsi="Times New Roman" w:cs="Times New Roman"/>
                <w:sz w:val="24"/>
                <w:szCs w:val="24"/>
                <w:lang w:val="uk-UA"/>
              </w:rPr>
              <w:t>, оскільки тарифи на енергетичні ресурси зростатимуть;</w:t>
            </w:r>
          </w:p>
          <w:p w:rsidR="00762BE3" w:rsidRPr="00820810" w:rsidRDefault="00762BE3" w:rsidP="00D850BB">
            <w:pPr>
              <w:spacing w:after="0"/>
              <w:ind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відсутності </w:t>
            </w:r>
            <w:proofErr w:type="spellStart"/>
            <w:r w:rsidRPr="00820810">
              <w:rPr>
                <w:rFonts w:ascii="Times New Roman" w:hAnsi="Times New Roman" w:cs="Times New Roman"/>
                <w:sz w:val="24"/>
                <w:szCs w:val="24"/>
                <w:lang w:val="uk-UA"/>
              </w:rPr>
              <w:t>можли</w:t>
            </w:r>
            <w:r w:rsidR="002E452F" w:rsidRPr="00820810">
              <w:rPr>
                <w:rFonts w:ascii="Times New Roman" w:hAnsi="Times New Roman" w:cs="Times New Roman"/>
                <w:sz w:val="24"/>
                <w:szCs w:val="24"/>
                <w:lang w:val="uk-UA"/>
              </w:rPr>
              <w:t>-</w:t>
            </w:r>
            <w:r w:rsidRPr="00820810">
              <w:rPr>
                <w:rFonts w:ascii="Times New Roman" w:hAnsi="Times New Roman" w:cs="Times New Roman"/>
                <w:sz w:val="24"/>
                <w:szCs w:val="24"/>
                <w:lang w:val="uk-UA"/>
              </w:rPr>
              <w:t>вості</w:t>
            </w:r>
            <w:proofErr w:type="spellEnd"/>
            <w:r w:rsidRPr="00820810">
              <w:rPr>
                <w:rFonts w:ascii="Times New Roman" w:hAnsi="Times New Roman" w:cs="Times New Roman"/>
                <w:sz w:val="24"/>
                <w:szCs w:val="24"/>
                <w:lang w:val="uk-UA"/>
              </w:rPr>
              <w:t xml:space="preserve"> мати імідж підприємства, що виробляє </w:t>
            </w:r>
            <w:proofErr w:type="spellStart"/>
            <w:r w:rsidRPr="00820810">
              <w:rPr>
                <w:rFonts w:ascii="Times New Roman" w:hAnsi="Times New Roman" w:cs="Times New Roman"/>
                <w:sz w:val="24"/>
                <w:szCs w:val="24"/>
                <w:lang w:val="uk-UA"/>
              </w:rPr>
              <w:t>енергоефек-тивне</w:t>
            </w:r>
            <w:proofErr w:type="spellEnd"/>
            <w:r w:rsidRPr="00820810">
              <w:rPr>
                <w:rFonts w:ascii="Times New Roman" w:hAnsi="Times New Roman" w:cs="Times New Roman"/>
                <w:sz w:val="24"/>
                <w:szCs w:val="24"/>
                <w:lang w:val="uk-UA"/>
              </w:rPr>
              <w:t xml:space="preserve"> обладнання;</w:t>
            </w:r>
          </w:p>
          <w:p w:rsidR="00762BE3" w:rsidRPr="00820810" w:rsidRDefault="00762BE3" w:rsidP="00D850BB">
            <w:pPr>
              <w:spacing w:after="0"/>
              <w:ind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надмірних витрат за використання електричної </w:t>
            </w:r>
            <w:r w:rsidRPr="00820810">
              <w:rPr>
                <w:rFonts w:ascii="Times New Roman" w:hAnsi="Times New Roman" w:cs="Times New Roman"/>
                <w:sz w:val="24"/>
                <w:szCs w:val="24"/>
                <w:lang w:val="uk-UA"/>
              </w:rPr>
              <w:lastRenderedPageBreak/>
              <w:t>енергії;</w:t>
            </w:r>
          </w:p>
          <w:p w:rsidR="00762BE3" w:rsidRPr="00820810" w:rsidRDefault="00762BE3" w:rsidP="00D850BB">
            <w:pPr>
              <w:tabs>
                <w:tab w:val="left" w:pos="175"/>
              </w:tabs>
              <w:spacing w:after="0"/>
              <w:ind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використання </w:t>
            </w:r>
            <w:proofErr w:type="spellStart"/>
            <w:r w:rsidRPr="00820810">
              <w:rPr>
                <w:rFonts w:ascii="Times New Roman" w:hAnsi="Times New Roman" w:cs="Times New Roman"/>
                <w:sz w:val="24"/>
                <w:szCs w:val="24"/>
                <w:lang w:val="uk-UA"/>
              </w:rPr>
              <w:t>неефек</w:t>
            </w:r>
            <w:r w:rsidR="000409CF" w:rsidRPr="00820810">
              <w:rPr>
                <w:rFonts w:ascii="Times New Roman" w:hAnsi="Times New Roman" w:cs="Times New Roman"/>
                <w:sz w:val="24"/>
                <w:szCs w:val="24"/>
                <w:lang w:val="uk-UA"/>
              </w:rPr>
              <w:t>-</w:t>
            </w:r>
            <w:r w:rsidRPr="00820810">
              <w:rPr>
                <w:rFonts w:ascii="Times New Roman" w:hAnsi="Times New Roman" w:cs="Times New Roman"/>
                <w:sz w:val="24"/>
                <w:szCs w:val="24"/>
                <w:lang w:val="uk-UA"/>
              </w:rPr>
              <w:t>тивного</w:t>
            </w:r>
            <w:proofErr w:type="spellEnd"/>
            <w:r w:rsidRPr="00820810">
              <w:rPr>
                <w:rFonts w:ascii="Times New Roman" w:hAnsi="Times New Roman" w:cs="Times New Roman"/>
                <w:sz w:val="24"/>
                <w:szCs w:val="24"/>
                <w:lang w:val="uk-UA"/>
              </w:rPr>
              <w:t xml:space="preserve"> обладнання,</w:t>
            </w:r>
          </w:p>
          <w:p w:rsidR="00762BE3" w:rsidRPr="00820810" w:rsidRDefault="00762BE3" w:rsidP="00D850BB">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коротко</w:t>
            </w:r>
            <w:r w:rsidR="000409CF" w:rsidRPr="00820810">
              <w:rPr>
                <w:rFonts w:ascii="Times New Roman" w:hAnsi="Times New Roman" w:cs="Times New Roman"/>
                <w:sz w:val="24"/>
                <w:szCs w:val="24"/>
                <w:lang w:val="uk-UA"/>
              </w:rPr>
              <w:t>го терміну експлуатації обладнан</w:t>
            </w:r>
            <w:r w:rsidRPr="00820810">
              <w:rPr>
                <w:rFonts w:ascii="Times New Roman" w:hAnsi="Times New Roman" w:cs="Times New Roman"/>
                <w:sz w:val="24"/>
                <w:szCs w:val="24"/>
                <w:lang w:val="uk-UA"/>
              </w:rPr>
              <w:t>ня;</w:t>
            </w:r>
          </w:p>
          <w:p w:rsidR="00762BE3" w:rsidRPr="00820810" w:rsidRDefault="00762BE3" w:rsidP="00D850BB">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створення технічних бар’єрів під час торгівлі між Україною та ЄС;</w:t>
            </w:r>
          </w:p>
          <w:p w:rsidR="00762BE3" w:rsidRPr="00820810" w:rsidRDefault="00762BE3" w:rsidP="00D850BB">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відсутності </w:t>
            </w:r>
            <w:proofErr w:type="spellStart"/>
            <w:r w:rsidRPr="00820810">
              <w:rPr>
                <w:rFonts w:ascii="Times New Roman" w:hAnsi="Times New Roman" w:cs="Times New Roman"/>
                <w:sz w:val="24"/>
                <w:szCs w:val="24"/>
                <w:lang w:val="uk-UA"/>
              </w:rPr>
              <w:t>європей-ського</w:t>
            </w:r>
            <w:proofErr w:type="spellEnd"/>
            <w:r w:rsidRPr="00820810">
              <w:rPr>
                <w:rFonts w:ascii="Times New Roman" w:hAnsi="Times New Roman" w:cs="Times New Roman"/>
                <w:sz w:val="24"/>
                <w:szCs w:val="24"/>
                <w:lang w:val="uk-UA"/>
              </w:rPr>
              <w:t xml:space="preserve"> підходу до енерго</w:t>
            </w:r>
            <w:r w:rsidR="0051547A" w:rsidRPr="00820810">
              <w:rPr>
                <w:rFonts w:ascii="Times New Roman" w:hAnsi="Times New Roman" w:cs="Times New Roman"/>
                <w:sz w:val="24"/>
                <w:szCs w:val="24"/>
                <w:lang w:val="uk-UA"/>
              </w:rPr>
              <w:t>ефективності даного обладнання</w:t>
            </w:r>
            <w:r w:rsidRPr="00820810">
              <w:rPr>
                <w:rFonts w:ascii="Times New Roman" w:hAnsi="Times New Roman" w:cs="Times New Roman"/>
                <w:sz w:val="24"/>
                <w:szCs w:val="24"/>
                <w:lang w:val="uk-UA"/>
              </w:rPr>
              <w:t>;</w:t>
            </w:r>
          </w:p>
          <w:p w:rsidR="00762BE3" w:rsidRPr="00820810" w:rsidRDefault="00762BE3" w:rsidP="00D850BB">
            <w:pPr>
              <w:pStyle w:val="a9"/>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відсутності спожив-чого вибору між дешевою, енергоємною продукцією та дорож-</w:t>
            </w:r>
            <w:proofErr w:type="spellStart"/>
            <w:r w:rsidRPr="00820810">
              <w:rPr>
                <w:rFonts w:ascii="Times New Roman" w:hAnsi="Times New Roman" w:cs="Times New Roman"/>
                <w:sz w:val="24"/>
                <w:szCs w:val="24"/>
                <w:lang w:val="uk-UA"/>
              </w:rPr>
              <w:t>чою</w:t>
            </w:r>
            <w:proofErr w:type="spellEnd"/>
            <w:r w:rsidRPr="00820810">
              <w:rPr>
                <w:rFonts w:ascii="Times New Roman" w:hAnsi="Times New Roman" w:cs="Times New Roman"/>
                <w:sz w:val="24"/>
                <w:szCs w:val="24"/>
                <w:lang w:val="uk-UA"/>
              </w:rPr>
              <w:t>, енергоефективною;</w:t>
            </w:r>
          </w:p>
          <w:p w:rsidR="00762BE3" w:rsidRPr="00820810" w:rsidRDefault="00762BE3" w:rsidP="00D850BB">
            <w:pPr>
              <w:pStyle w:val="a9"/>
              <w:spacing w:after="0"/>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втрати можливості мати конкурентні переваги, оскільки споживач матиме повну інформацію про енергоефективність продукту;</w:t>
            </w:r>
          </w:p>
          <w:p w:rsidR="00762BE3" w:rsidRPr="00820810" w:rsidRDefault="00762BE3" w:rsidP="00D850BB">
            <w:pPr>
              <w:pStyle w:val="a9"/>
              <w:spacing w:after="0"/>
              <w:ind w:left="0"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втрати можливості відповідати вимогам законодавства ЄС;</w:t>
            </w:r>
          </w:p>
          <w:p w:rsidR="00762BE3" w:rsidRPr="00820810" w:rsidRDefault="00762BE3" w:rsidP="00D850BB">
            <w:pPr>
              <w:spacing w:after="0"/>
              <w:ind w:firstLine="317"/>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неможливості надання своєї продукції на ринок ЄС</w:t>
            </w:r>
          </w:p>
        </w:tc>
        <w:tc>
          <w:tcPr>
            <w:tcW w:w="2268" w:type="dxa"/>
          </w:tcPr>
          <w:p w:rsidR="00762BE3" w:rsidRPr="00820810" w:rsidRDefault="00762BE3" w:rsidP="000409CF">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3B621E" w:rsidRPr="00820810" w:rsidTr="00D13707">
        <w:trPr>
          <w:trHeight w:val="840"/>
        </w:trPr>
        <w:tc>
          <w:tcPr>
            <w:tcW w:w="2127" w:type="dxa"/>
          </w:tcPr>
          <w:p w:rsidR="003B621E" w:rsidRPr="00820810" w:rsidRDefault="003B621E" w:rsidP="00D850BB">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lastRenderedPageBreak/>
              <w:t>Альтернатива 2</w:t>
            </w:r>
          </w:p>
          <w:p w:rsidR="003B621E" w:rsidRPr="00820810" w:rsidRDefault="003B621E"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Прийняття регуляторного акта</w:t>
            </w:r>
          </w:p>
          <w:p w:rsidR="003B621E" w:rsidRPr="00820810" w:rsidRDefault="003B621E" w:rsidP="00D850BB">
            <w:pPr>
              <w:spacing w:after="0"/>
              <w:ind w:left="-11"/>
              <w:jc w:val="both"/>
              <w:rPr>
                <w:rFonts w:ascii="Times New Roman" w:hAnsi="Times New Roman" w:cs="Times New Roman"/>
                <w:b/>
                <w:i/>
                <w:sz w:val="24"/>
                <w:szCs w:val="24"/>
                <w:lang w:val="uk-UA"/>
              </w:rPr>
            </w:pPr>
          </w:p>
        </w:tc>
        <w:tc>
          <w:tcPr>
            <w:tcW w:w="2410" w:type="dxa"/>
          </w:tcPr>
          <w:p w:rsidR="003B621E" w:rsidRPr="00820810" w:rsidRDefault="003B621E"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енергоефективного </w:t>
            </w:r>
            <w:r w:rsidRPr="00820810">
              <w:rPr>
                <w:rFonts w:ascii="Times New Roman" w:hAnsi="Times New Roman" w:cs="Times New Roman"/>
                <w:sz w:val="24"/>
                <w:szCs w:val="24"/>
                <w:lang w:val="uk-UA"/>
              </w:rPr>
              <w:lastRenderedPageBreak/>
              <w:t>обладнання,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rsidR="003B621E" w:rsidRPr="00820810" w:rsidRDefault="003B621E"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Усунення технічних бар’єрів під час торгівлі між Україною та ЄС.</w:t>
            </w:r>
          </w:p>
          <w:p w:rsidR="003B621E" w:rsidRPr="00820810" w:rsidRDefault="003B621E"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Запровадження європейських стандартів та підходу до енергоефективності даного обладнання.</w:t>
            </w:r>
          </w:p>
          <w:p w:rsidR="003B621E" w:rsidRPr="00820810" w:rsidRDefault="003B621E"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3B621E" w:rsidRPr="00820810" w:rsidRDefault="003B621E"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Можливість мати конкурентні переваги, так як споживач матиме повну інформацію про енергоефективність продукту.</w:t>
            </w:r>
          </w:p>
          <w:p w:rsidR="003B621E" w:rsidRPr="00820810" w:rsidRDefault="003B621E"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977" w:type="dxa"/>
            <w:shd w:val="clear" w:color="auto" w:fill="auto"/>
          </w:tcPr>
          <w:p w:rsidR="00D76FDA" w:rsidRPr="00820810" w:rsidRDefault="00D76FDA" w:rsidP="00D76FDA">
            <w:pPr>
              <w:spacing w:after="0" w:line="360" w:lineRule="auto"/>
              <w:jc w:val="center"/>
              <w:rPr>
                <w:rFonts w:ascii="Times New Roman" w:hAnsi="Times New Roman" w:cs="Times New Roman"/>
                <w:sz w:val="24"/>
                <w:szCs w:val="24"/>
                <w:lang w:val="uk-UA"/>
              </w:rPr>
            </w:pPr>
            <w:r w:rsidRPr="00820810">
              <w:rPr>
                <w:rFonts w:ascii="Times New Roman" w:hAnsi="Times New Roman" w:cs="Times New Roman"/>
                <w:sz w:val="24"/>
                <w:szCs w:val="24"/>
                <w:lang w:val="uk-UA"/>
              </w:rPr>
              <w:lastRenderedPageBreak/>
              <w:t>15 256 800 грн (1 рік)</w:t>
            </w:r>
          </w:p>
          <w:p w:rsidR="003B621E" w:rsidRPr="00820810" w:rsidRDefault="00D76FDA" w:rsidP="00D76FDA">
            <w:pPr>
              <w:spacing w:after="0" w:line="360" w:lineRule="auto"/>
              <w:jc w:val="center"/>
              <w:rPr>
                <w:rFonts w:ascii="Times New Roman" w:eastAsia="Calibri" w:hAnsi="Times New Roman" w:cs="Times New Roman"/>
                <w:sz w:val="24"/>
                <w:szCs w:val="24"/>
                <w:lang w:val="uk-UA"/>
              </w:rPr>
            </w:pPr>
            <w:r w:rsidRPr="00820810">
              <w:rPr>
                <w:rFonts w:ascii="Times New Roman" w:hAnsi="Times New Roman" w:cs="Times New Roman"/>
                <w:sz w:val="24"/>
                <w:szCs w:val="24"/>
                <w:lang w:val="uk-UA"/>
              </w:rPr>
              <w:t>76 284 000 грн (5 років)</w:t>
            </w:r>
          </w:p>
        </w:tc>
        <w:tc>
          <w:tcPr>
            <w:tcW w:w="2268" w:type="dxa"/>
          </w:tcPr>
          <w:p w:rsidR="003B621E" w:rsidRPr="00820810" w:rsidRDefault="003B621E" w:rsidP="00D850BB">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tbl>
      <w:tblPr>
        <w:tblStyle w:val="ac"/>
        <w:tblW w:w="9782" w:type="dxa"/>
        <w:tblInd w:w="-176" w:type="dxa"/>
        <w:tblLook w:val="04A0" w:firstRow="1" w:lastRow="0" w:firstColumn="1" w:lastColumn="0" w:noHBand="0" w:noVBand="1"/>
      </w:tblPr>
      <w:tblGrid>
        <w:gridCol w:w="2269"/>
        <w:gridCol w:w="3257"/>
        <w:gridCol w:w="4256"/>
      </w:tblGrid>
      <w:tr w:rsidR="00752ED7" w:rsidRPr="00820810" w:rsidTr="00D13707">
        <w:trPr>
          <w:trHeight w:val="1742"/>
        </w:trPr>
        <w:tc>
          <w:tcPr>
            <w:tcW w:w="2269" w:type="dxa"/>
            <w:vAlign w:val="center"/>
          </w:tcPr>
          <w:p w:rsidR="00752ED7" w:rsidRPr="00820810" w:rsidRDefault="00752ED7" w:rsidP="00D13707">
            <w:pPr>
              <w:spacing w:before="120" w:line="276" w:lineRule="auto"/>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lastRenderedPageBreak/>
              <w:t>Рейтинг</w:t>
            </w:r>
          </w:p>
        </w:tc>
        <w:tc>
          <w:tcPr>
            <w:tcW w:w="3257" w:type="dxa"/>
            <w:vAlign w:val="center"/>
          </w:tcPr>
          <w:p w:rsidR="00D13707" w:rsidRPr="00820810" w:rsidRDefault="00752ED7" w:rsidP="00D13707">
            <w:pPr>
              <w:spacing w:line="276" w:lineRule="auto"/>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Аргументи щодо</w:t>
            </w:r>
          </w:p>
          <w:p w:rsidR="00752ED7" w:rsidRPr="00820810" w:rsidRDefault="00752ED7" w:rsidP="00D13707">
            <w:pPr>
              <w:spacing w:line="276" w:lineRule="auto"/>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переваги обраної альтернативи/причини відмови від альтернативи</w:t>
            </w:r>
          </w:p>
        </w:tc>
        <w:tc>
          <w:tcPr>
            <w:tcW w:w="4256" w:type="dxa"/>
            <w:vAlign w:val="center"/>
          </w:tcPr>
          <w:p w:rsidR="00752ED7" w:rsidRPr="00820810" w:rsidRDefault="00752ED7" w:rsidP="00D13707">
            <w:pPr>
              <w:spacing w:line="276" w:lineRule="auto"/>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Оцінка ризику зовнішніх чинників на дію запропонованого регуляторного акта</w:t>
            </w:r>
          </w:p>
        </w:tc>
      </w:tr>
      <w:tr w:rsidR="00752ED7" w:rsidRPr="00820810" w:rsidTr="00D13707">
        <w:trPr>
          <w:trHeight w:val="1818"/>
        </w:trPr>
        <w:tc>
          <w:tcPr>
            <w:tcW w:w="2269" w:type="dxa"/>
          </w:tcPr>
          <w:p w:rsidR="00752ED7" w:rsidRPr="00820810" w:rsidRDefault="00752ED7" w:rsidP="00752ED7">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1</w:t>
            </w:r>
          </w:p>
          <w:p w:rsidR="00752ED7" w:rsidRPr="00820810" w:rsidRDefault="00752ED7" w:rsidP="00752ED7">
            <w:pPr>
              <w:ind w:left="-11"/>
              <w:rPr>
                <w:rFonts w:ascii="Times New Roman" w:hAnsi="Times New Roman" w:cs="Times New Roman"/>
                <w:b/>
                <w:i/>
                <w:sz w:val="24"/>
                <w:szCs w:val="24"/>
                <w:lang w:val="uk-UA"/>
              </w:rPr>
            </w:pPr>
            <w:r w:rsidRPr="00820810">
              <w:rPr>
                <w:rFonts w:ascii="Times New Roman" w:hAnsi="Times New Roman" w:cs="Times New Roman"/>
                <w:i/>
                <w:sz w:val="24"/>
                <w:szCs w:val="24"/>
                <w:lang w:val="uk-UA"/>
              </w:rPr>
              <w:t>Залишити ситуацію без змін</w:t>
            </w:r>
          </w:p>
          <w:p w:rsidR="00752ED7" w:rsidRPr="00820810" w:rsidRDefault="00752ED7" w:rsidP="00752ED7">
            <w:pPr>
              <w:spacing w:line="276" w:lineRule="auto"/>
              <w:rPr>
                <w:rFonts w:ascii="Times New Roman" w:hAnsi="Times New Roman" w:cs="Times New Roman"/>
                <w:b/>
                <w:sz w:val="24"/>
                <w:szCs w:val="24"/>
                <w:lang w:val="uk-UA"/>
              </w:rPr>
            </w:pPr>
          </w:p>
        </w:tc>
        <w:tc>
          <w:tcPr>
            <w:tcW w:w="3257" w:type="dxa"/>
          </w:tcPr>
          <w:p w:rsidR="00752ED7" w:rsidRPr="00820810" w:rsidRDefault="00752ED7" w:rsidP="007E2964">
            <w:pPr>
              <w:spacing w:line="276" w:lineRule="auto"/>
              <w:jc w:val="both"/>
              <w:rPr>
                <w:rFonts w:ascii="Times New Roman" w:hAnsi="Times New Roman" w:cs="Times New Roman"/>
                <w:b/>
                <w:sz w:val="24"/>
                <w:szCs w:val="24"/>
                <w:lang w:val="uk-UA"/>
              </w:rPr>
            </w:pPr>
            <w:r w:rsidRPr="00820810">
              <w:rPr>
                <w:rFonts w:ascii="Times New Roman" w:hAnsi="Times New Roman" w:cs="Times New Roman"/>
                <w:sz w:val="24"/>
                <w:szCs w:val="24"/>
                <w:lang w:val="uk-UA"/>
              </w:rPr>
              <w:t>Дана альтернатива не дозволяє вирішити проблему та п</w:t>
            </w:r>
            <w:r w:rsidRPr="00820810">
              <w:rPr>
                <w:rFonts w:ascii="Times New Roman" w:hAnsi="Times New Roman" w:cs="Times New Roman"/>
                <w:color w:val="000000"/>
                <w:sz w:val="24"/>
                <w:szCs w:val="24"/>
                <w:shd w:val="clear" w:color="auto" w:fill="FFFFFF"/>
                <w:lang w:val="uk-UA"/>
              </w:rPr>
              <w:t>ризведе до невідповідності вимог законодавства України</w:t>
            </w:r>
          </w:p>
        </w:tc>
        <w:tc>
          <w:tcPr>
            <w:tcW w:w="4256" w:type="dxa"/>
          </w:tcPr>
          <w:p w:rsidR="00752ED7" w:rsidRPr="00820810" w:rsidRDefault="00752ED7" w:rsidP="007E2964">
            <w:pPr>
              <w:spacing w:line="276" w:lineRule="auto"/>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Зовнішні чинники на дію регуляторного акта у разі залишення існуючої на даний момент ситуації без змін відсутні.</w:t>
            </w:r>
          </w:p>
        </w:tc>
      </w:tr>
      <w:tr w:rsidR="00752ED7" w:rsidRPr="00820810" w:rsidTr="00D13707">
        <w:trPr>
          <w:trHeight w:val="3544"/>
        </w:trPr>
        <w:tc>
          <w:tcPr>
            <w:tcW w:w="2269" w:type="dxa"/>
          </w:tcPr>
          <w:p w:rsidR="00752ED7" w:rsidRPr="00820810" w:rsidRDefault="00752ED7" w:rsidP="00752ED7">
            <w:pPr>
              <w:pStyle w:val="a9"/>
              <w:ind w:left="0"/>
              <w:rPr>
                <w:rFonts w:ascii="Times New Roman" w:hAnsi="Times New Roman" w:cs="Times New Roman"/>
                <w:i/>
                <w:sz w:val="24"/>
                <w:szCs w:val="24"/>
                <w:lang w:val="uk-UA"/>
              </w:rPr>
            </w:pPr>
            <w:r w:rsidRPr="00820810">
              <w:rPr>
                <w:rFonts w:ascii="Times New Roman" w:hAnsi="Times New Roman" w:cs="Times New Roman"/>
                <w:sz w:val="24"/>
                <w:szCs w:val="24"/>
                <w:lang w:val="uk-UA"/>
              </w:rPr>
              <w:t>Альтернатива 2</w:t>
            </w:r>
          </w:p>
          <w:p w:rsidR="00752ED7" w:rsidRPr="00820810" w:rsidRDefault="00752ED7" w:rsidP="00752ED7">
            <w:pPr>
              <w:rPr>
                <w:rFonts w:ascii="Times New Roman" w:hAnsi="Times New Roman" w:cs="Times New Roman"/>
                <w:i/>
                <w:sz w:val="24"/>
                <w:szCs w:val="24"/>
                <w:lang w:val="uk-UA"/>
              </w:rPr>
            </w:pPr>
            <w:r w:rsidRPr="00820810">
              <w:rPr>
                <w:rFonts w:ascii="Times New Roman" w:hAnsi="Times New Roman" w:cs="Times New Roman"/>
                <w:i/>
                <w:sz w:val="24"/>
                <w:szCs w:val="24"/>
                <w:lang w:val="uk-UA"/>
              </w:rPr>
              <w:t>Прийняття регуляторного акт</w:t>
            </w:r>
            <w:r w:rsidR="00846AAD" w:rsidRPr="00820810">
              <w:rPr>
                <w:rFonts w:ascii="Times New Roman" w:hAnsi="Times New Roman" w:cs="Times New Roman"/>
                <w:i/>
                <w:sz w:val="24"/>
                <w:szCs w:val="24"/>
                <w:lang w:val="uk-UA"/>
              </w:rPr>
              <w:t>а</w:t>
            </w:r>
          </w:p>
          <w:p w:rsidR="00752ED7" w:rsidRPr="00820810" w:rsidRDefault="00752ED7" w:rsidP="00752ED7">
            <w:pPr>
              <w:spacing w:line="276" w:lineRule="auto"/>
              <w:rPr>
                <w:rFonts w:ascii="Times New Roman" w:hAnsi="Times New Roman" w:cs="Times New Roman"/>
                <w:b/>
                <w:sz w:val="24"/>
                <w:szCs w:val="24"/>
                <w:lang w:val="uk-UA"/>
              </w:rPr>
            </w:pPr>
          </w:p>
        </w:tc>
        <w:tc>
          <w:tcPr>
            <w:tcW w:w="3257" w:type="dxa"/>
          </w:tcPr>
          <w:p w:rsidR="00752ED7" w:rsidRPr="00820810" w:rsidRDefault="00752ED7" w:rsidP="007E2964">
            <w:pPr>
              <w:spacing w:line="276" w:lineRule="auto"/>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4256" w:type="dxa"/>
          </w:tcPr>
          <w:p w:rsidR="00752ED7" w:rsidRPr="00820810" w:rsidRDefault="00752ED7" w:rsidP="007E2964">
            <w:pPr>
              <w:spacing w:line="276" w:lineRule="auto"/>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Забезпечення виконання вимог законодавства. Збільшення кількості енергоефективн</w:t>
            </w:r>
            <w:r w:rsidR="001B55C6" w:rsidRPr="00820810">
              <w:rPr>
                <w:rFonts w:ascii="Times New Roman" w:hAnsi="Times New Roman" w:cs="Times New Roman"/>
                <w:sz w:val="24"/>
                <w:szCs w:val="24"/>
                <w:lang w:val="uk-UA"/>
              </w:rPr>
              <w:t>ого обладнання</w:t>
            </w:r>
            <w:r w:rsidRPr="00820810">
              <w:rPr>
                <w:rFonts w:ascii="Times New Roman" w:hAnsi="Times New Roman" w:cs="Times New Roman"/>
                <w:sz w:val="24"/>
                <w:szCs w:val="24"/>
                <w:lang w:val="uk-UA"/>
              </w:rPr>
              <w:t xml:space="preserve"> на ринку. </w:t>
            </w:r>
          </w:p>
          <w:p w:rsidR="00752ED7" w:rsidRPr="00820810" w:rsidRDefault="00752ED7" w:rsidP="007E2964">
            <w:pPr>
              <w:spacing w:line="276" w:lineRule="auto"/>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Зменшення загальнодержавного рівня енергетичного споживання та рівня енергоємності валового внутрішнього продукту, що наразі в два-три рази більший ніж в країнах Європейського Союзу.</w:t>
            </w:r>
          </w:p>
        </w:tc>
      </w:tr>
    </w:tbl>
    <w:p w:rsidR="00B12D64" w:rsidRPr="00820810" w:rsidRDefault="00B12D64" w:rsidP="00F95D8B">
      <w:pPr>
        <w:spacing w:after="0" w:line="276" w:lineRule="auto"/>
        <w:jc w:val="center"/>
        <w:rPr>
          <w:rFonts w:ascii="Times New Roman" w:hAnsi="Times New Roman" w:cs="Times New Roman"/>
          <w:b/>
          <w:sz w:val="26"/>
          <w:szCs w:val="26"/>
          <w:lang w:val="uk-UA"/>
        </w:rPr>
      </w:pPr>
    </w:p>
    <w:p w:rsidR="00042B63" w:rsidRPr="00820810" w:rsidRDefault="00042B63" w:rsidP="00D13707">
      <w:pPr>
        <w:spacing w:before="120" w:after="120" w:line="276" w:lineRule="auto"/>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V. Механізми та заходи, які забезпечать розв'язання визначеної проблеми</w:t>
      </w:r>
    </w:p>
    <w:p w:rsidR="00042B63" w:rsidRPr="00820810" w:rsidRDefault="00042B63" w:rsidP="00A607A5">
      <w:pPr>
        <w:spacing w:after="0" w:line="240" w:lineRule="auto"/>
        <w:ind w:firstLine="567"/>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1. Механізми дії регуляторного акт</w:t>
      </w:r>
      <w:r w:rsidR="006D0A98" w:rsidRPr="00820810">
        <w:rPr>
          <w:rFonts w:ascii="Times New Roman" w:hAnsi="Times New Roman" w:cs="Times New Roman"/>
          <w:sz w:val="26"/>
          <w:szCs w:val="26"/>
          <w:lang w:val="uk-UA"/>
        </w:rPr>
        <w:t>а</w:t>
      </w:r>
      <w:r w:rsidRPr="00820810">
        <w:rPr>
          <w:rFonts w:ascii="Times New Roman" w:hAnsi="Times New Roman" w:cs="Times New Roman"/>
          <w:sz w:val="26"/>
          <w:szCs w:val="26"/>
          <w:lang w:val="uk-UA"/>
        </w:rPr>
        <w:t>.</w:t>
      </w:r>
    </w:p>
    <w:p w:rsidR="001B55C6" w:rsidRPr="00820810" w:rsidRDefault="001B55C6" w:rsidP="00A607A5">
      <w:pPr>
        <w:spacing w:after="0" w:line="240" w:lineRule="auto"/>
        <w:ind w:firstLine="567"/>
        <w:jc w:val="both"/>
        <w:rPr>
          <w:rFonts w:ascii="Times New Roman" w:eastAsia="Calibri" w:hAnsi="Times New Roman" w:cs="Times New Roman"/>
          <w:sz w:val="26"/>
          <w:szCs w:val="26"/>
          <w:lang w:val="uk-UA" w:eastAsia="uk-UA"/>
        </w:rPr>
      </w:pPr>
      <w:r w:rsidRPr="00820810">
        <w:rPr>
          <w:rFonts w:ascii="Times New Roman" w:eastAsia="Calibri" w:hAnsi="Times New Roman" w:cs="Times New Roman"/>
          <w:sz w:val="26"/>
          <w:szCs w:val="26"/>
          <w:lang w:val="uk-UA" w:eastAsia="uk-UA"/>
        </w:rPr>
        <w:t xml:space="preserve">Затвердження </w:t>
      </w:r>
      <w:r w:rsidR="00624432" w:rsidRPr="00820810">
        <w:rPr>
          <w:rFonts w:ascii="Times New Roman" w:eastAsia="Calibri" w:hAnsi="Times New Roman" w:cs="Times New Roman"/>
          <w:sz w:val="26"/>
          <w:szCs w:val="26"/>
          <w:lang w:val="uk-UA" w:eastAsia="uk-UA"/>
        </w:rPr>
        <w:t xml:space="preserve">Технічного регламенту щодо вимог до екодизайну для </w:t>
      </w:r>
      <w:r w:rsidR="002E452F" w:rsidRPr="00820810">
        <w:rPr>
          <w:rFonts w:ascii="Times New Roman" w:eastAsia="Calibri" w:hAnsi="Times New Roman" w:cs="Times New Roman"/>
          <w:sz w:val="26"/>
          <w:szCs w:val="26"/>
          <w:lang w:val="uk-UA" w:eastAsia="uk-UA"/>
        </w:rPr>
        <w:t>побутових посудомийних машин</w:t>
      </w:r>
      <w:r w:rsidR="00624432" w:rsidRPr="00820810">
        <w:rPr>
          <w:rFonts w:ascii="Times New Roman" w:eastAsia="Calibri" w:hAnsi="Times New Roman" w:cs="Times New Roman"/>
          <w:sz w:val="26"/>
          <w:szCs w:val="26"/>
          <w:lang w:val="uk-UA" w:eastAsia="uk-UA"/>
        </w:rPr>
        <w:t xml:space="preserve"> </w:t>
      </w:r>
      <w:r w:rsidR="007028C5" w:rsidRPr="00820810">
        <w:rPr>
          <w:rFonts w:ascii="Times New Roman" w:eastAsia="Calibri" w:hAnsi="Times New Roman" w:cs="Times New Roman"/>
          <w:sz w:val="26"/>
          <w:szCs w:val="26"/>
          <w:lang w:val="uk-UA" w:eastAsia="uk-UA"/>
        </w:rPr>
        <w:t>забезпечить відпо</w:t>
      </w:r>
      <w:r w:rsidR="0082657C" w:rsidRPr="00820810">
        <w:rPr>
          <w:rFonts w:ascii="Times New Roman" w:eastAsia="Calibri" w:hAnsi="Times New Roman" w:cs="Times New Roman"/>
          <w:sz w:val="26"/>
          <w:szCs w:val="26"/>
          <w:lang w:val="uk-UA" w:eastAsia="uk-UA"/>
        </w:rPr>
        <w:t>відність нормативного акта оновленому законодавству ЄС</w:t>
      </w:r>
      <w:r w:rsidRPr="00820810">
        <w:rPr>
          <w:rFonts w:ascii="Times New Roman" w:eastAsia="Calibri" w:hAnsi="Times New Roman" w:cs="Times New Roman"/>
          <w:sz w:val="26"/>
          <w:szCs w:val="26"/>
          <w:lang w:val="uk-UA" w:eastAsia="uk-UA"/>
        </w:rPr>
        <w:t>.</w:t>
      </w:r>
    </w:p>
    <w:p w:rsidR="001B55C6" w:rsidRPr="00820810" w:rsidRDefault="001B55C6" w:rsidP="00A607A5">
      <w:pPr>
        <w:spacing w:after="0" w:line="240" w:lineRule="auto"/>
        <w:ind w:firstLine="567"/>
        <w:jc w:val="both"/>
        <w:rPr>
          <w:rFonts w:ascii="Times New Roman" w:hAnsi="Times New Roman" w:cs="Times New Roman"/>
          <w:sz w:val="26"/>
          <w:szCs w:val="26"/>
          <w:lang w:val="uk-UA"/>
        </w:rPr>
      </w:pPr>
      <w:r w:rsidRPr="00820810">
        <w:rPr>
          <w:rFonts w:ascii="Times New Roman" w:eastAsia="Calibri" w:hAnsi="Times New Roman" w:cs="Times New Roman"/>
          <w:sz w:val="26"/>
          <w:szCs w:val="26"/>
          <w:lang w:val="uk-UA" w:eastAsia="uk-UA"/>
        </w:rPr>
        <w:t xml:space="preserve">Технічний регламент з екодизайну розглядає всі впливи на навколишнє середовище протягом всього життєвого циклу обладнання – починаючи від концепції, </w:t>
      </w:r>
      <w:proofErr w:type="spellStart"/>
      <w:r w:rsidRPr="00820810">
        <w:rPr>
          <w:rFonts w:ascii="Times New Roman" w:eastAsia="Calibri" w:hAnsi="Times New Roman" w:cs="Times New Roman"/>
          <w:sz w:val="26"/>
          <w:szCs w:val="26"/>
          <w:lang w:val="uk-UA" w:eastAsia="uk-UA"/>
        </w:rPr>
        <w:t>проєктування</w:t>
      </w:r>
      <w:proofErr w:type="spellEnd"/>
      <w:r w:rsidRPr="00820810">
        <w:rPr>
          <w:rFonts w:ascii="Times New Roman" w:eastAsia="Calibri" w:hAnsi="Times New Roman" w:cs="Times New Roman"/>
          <w:sz w:val="26"/>
          <w:szCs w:val="26"/>
          <w:lang w:val="uk-UA" w:eastAsia="uk-UA"/>
        </w:rPr>
        <w:t>, виробництва, використання і до утилізації.</w:t>
      </w:r>
    </w:p>
    <w:p w:rsidR="00042B63" w:rsidRPr="00820810" w:rsidRDefault="00042B63" w:rsidP="00A607A5">
      <w:pPr>
        <w:spacing w:after="0" w:line="240" w:lineRule="auto"/>
        <w:ind w:firstLine="567"/>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2. Організаційні заходи, які необхідно здійснити для впровадження про</w:t>
      </w:r>
      <w:r w:rsidR="00A607A5" w:rsidRPr="00820810">
        <w:rPr>
          <w:rFonts w:ascii="Times New Roman" w:hAnsi="Times New Roman" w:cs="Times New Roman"/>
          <w:sz w:val="26"/>
          <w:szCs w:val="26"/>
          <w:lang w:val="uk-UA"/>
        </w:rPr>
        <w:t>е</w:t>
      </w:r>
      <w:r w:rsidRPr="00820810">
        <w:rPr>
          <w:rFonts w:ascii="Times New Roman" w:hAnsi="Times New Roman" w:cs="Times New Roman"/>
          <w:sz w:val="26"/>
          <w:szCs w:val="26"/>
          <w:lang w:val="uk-UA"/>
        </w:rPr>
        <w:t xml:space="preserve">кту </w:t>
      </w:r>
      <w:r w:rsidR="00A607A5" w:rsidRPr="00820810">
        <w:rPr>
          <w:rFonts w:ascii="Times New Roman" w:hAnsi="Times New Roman" w:cs="Times New Roman"/>
          <w:sz w:val="26"/>
          <w:szCs w:val="26"/>
          <w:lang w:val="uk-UA"/>
        </w:rPr>
        <w:t>акта</w:t>
      </w:r>
      <w:r w:rsidRPr="00820810">
        <w:rPr>
          <w:rFonts w:ascii="Times New Roman" w:hAnsi="Times New Roman" w:cs="Times New Roman"/>
          <w:sz w:val="26"/>
          <w:szCs w:val="26"/>
          <w:lang w:val="uk-UA"/>
        </w:rPr>
        <w:t>:</w:t>
      </w:r>
    </w:p>
    <w:p w:rsidR="00D908F8" w:rsidRPr="00820810" w:rsidRDefault="00042B63" w:rsidP="00A607A5">
      <w:pPr>
        <w:spacing w:after="0" w:line="240" w:lineRule="auto"/>
        <w:ind w:firstLine="567"/>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а) дії суб’єктів господарювання – ознайомлення з про</w:t>
      </w:r>
      <w:r w:rsidR="00A607A5" w:rsidRPr="00820810">
        <w:rPr>
          <w:rFonts w:ascii="Times New Roman" w:hAnsi="Times New Roman" w:cs="Times New Roman"/>
          <w:sz w:val="26"/>
          <w:szCs w:val="26"/>
          <w:lang w:val="uk-UA"/>
        </w:rPr>
        <w:t>е</w:t>
      </w:r>
      <w:r w:rsidRPr="00820810">
        <w:rPr>
          <w:rFonts w:ascii="Times New Roman" w:hAnsi="Times New Roman" w:cs="Times New Roman"/>
          <w:sz w:val="26"/>
          <w:szCs w:val="26"/>
          <w:lang w:val="uk-UA"/>
        </w:rPr>
        <w:t>ктом акта та заходами, як</w:t>
      </w:r>
      <w:r w:rsidR="00870F8B" w:rsidRPr="00820810">
        <w:rPr>
          <w:rFonts w:ascii="Times New Roman" w:hAnsi="Times New Roman" w:cs="Times New Roman"/>
          <w:sz w:val="26"/>
          <w:szCs w:val="26"/>
          <w:lang w:val="uk-UA"/>
        </w:rPr>
        <w:t>і спрямовані на його реалізацію</w:t>
      </w:r>
      <w:r w:rsidR="00D908F8" w:rsidRPr="00820810">
        <w:rPr>
          <w:rFonts w:ascii="Times New Roman" w:hAnsi="Times New Roman" w:cs="Times New Roman"/>
          <w:sz w:val="26"/>
          <w:szCs w:val="26"/>
          <w:lang w:val="uk-UA"/>
        </w:rPr>
        <w:t xml:space="preserve">. Вдосконалення технологій виробництва шляхом встановлення нового чи часткової заміни устаткування з метою виготовлення </w:t>
      </w:r>
      <w:r w:rsidR="002E452F" w:rsidRPr="00820810">
        <w:rPr>
          <w:rFonts w:ascii="Times New Roman" w:hAnsi="Times New Roman" w:cs="Times New Roman"/>
          <w:sz w:val="26"/>
          <w:szCs w:val="26"/>
          <w:lang w:val="uk-UA"/>
        </w:rPr>
        <w:t>побутових посудомийних машин</w:t>
      </w:r>
      <w:r w:rsidR="00D908F8" w:rsidRPr="00820810">
        <w:rPr>
          <w:rFonts w:ascii="Times New Roman" w:hAnsi="Times New Roman" w:cs="Times New Roman"/>
          <w:sz w:val="26"/>
          <w:szCs w:val="26"/>
          <w:lang w:val="uk-UA"/>
        </w:rPr>
        <w:t>, що мають відповідати вимогам технічних регламентів з екодизайну;</w:t>
      </w:r>
    </w:p>
    <w:p w:rsidR="00042B63" w:rsidRDefault="00042B63" w:rsidP="00A607A5">
      <w:pPr>
        <w:spacing w:after="0" w:line="240" w:lineRule="auto"/>
        <w:ind w:firstLine="567"/>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 xml:space="preserve">б) дії органів виконавчої влади – забезпечення інформування громадськості про положення проєкту акта шляхом оприлюднення </w:t>
      </w:r>
      <w:r w:rsidR="00403134" w:rsidRPr="00820810">
        <w:rPr>
          <w:rFonts w:ascii="Times New Roman" w:hAnsi="Times New Roman" w:cs="Times New Roman"/>
          <w:sz w:val="26"/>
          <w:szCs w:val="26"/>
          <w:lang w:val="uk-UA"/>
        </w:rPr>
        <w:t>у</w:t>
      </w:r>
      <w:r w:rsidRPr="00820810">
        <w:rPr>
          <w:rFonts w:ascii="Times New Roman" w:hAnsi="Times New Roman" w:cs="Times New Roman"/>
          <w:sz w:val="26"/>
          <w:szCs w:val="26"/>
          <w:lang w:val="uk-UA"/>
        </w:rPr>
        <w:t xml:space="preserve"> засобах масової</w:t>
      </w:r>
      <w:r w:rsidR="009B432B" w:rsidRPr="00820810">
        <w:rPr>
          <w:rFonts w:ascii="Times New Roman" w:hAnsi="Times New Roman" w:cs="Times New Roman"/>
          <w:sz w:val="26"/>
          <w:szCs w:val="26"/>
          <w:lang w:val="uk-UA"/>
        </w:rPr>
        <w:t xml:space="preserve"> інформації та на офіційних </w:t>
      </w:r>
      <w:proofErr w:type="spellStart"/>
      <w:r w:rsidR="009B432B" w:rsidRPr="00820810">
        <w:rPr>
          <w:rFonts w:ascii="Times New Roman" w:hAnsi="Times New Roman" w:cs="Times New Roman"/>
          <w:sz w:val="26"/>
          <w:szCs w:val="26"/>
          <w:lang w:val="uk-UA"/>
        </w:rPr>
        <w:t>веб</w:t>
      </w:r>
      <w:r w:rsidRPr="00820810">
        <w:rPr>
          <w:rFonts w:ascii="Times New Roman" w:hAnsi="Times New Roman" w:cs="Times New Roman"/>
          <w:sz w:val="26"/>
          <w:szCs w:val="26"/>
          <w:lang w:val="uk-UA"/>
        </w:rPr>
        <w:t>сайтах</w:t>
      </w:r>
      <w:proofErr w:type="spellEnd"/>
      <w:r w:rsidRPr="00820810">
        <w:rPr>
          <w:rFonts w:ascii="Times New Roman" w:hAnsi="Times New Roman" w:cs="Times New Roman"/>
          <w:sz w:val="26"/>
          <w:szCs w:val="26"/>
          <w:lang w:val="uk-UA"/>
        </w:rPr>
        <w:t xml:space="preserve"> Міненерго та </w:t>
      </w:r>
      <w:proofErr w:type="spellStart"/>
      <w:r w:rsidRPr="00820810">
        <w:rPr>
          <w:rFonts w:ascii="Times New Roman" w:hAnsi="Times New Roman" w:cs="Times New Roman"/>
          <w:sz w:val="26"/>
          <w:szCs w:val="26"/>
          <w:lang w:val="uk-UA"/>
        </w:rPr>
        <w:t>Держенергоефективності</w:t>
      </w:r>
      <w:proofErr w:type="spellEnd"/>
      <w:r w:rsidRPr="00820810">
        <w:rPr>
          <w:rFonts w:ascii="Times New Roman" w:hAnsi="Times New Roman" w:cs="Times New Roman"/>
          <w:sz w:val="26"/>
          <w:szCs w:val="26"/>
          <w:lang w:val="uk-UA"/>
        </w:rPr>
        <w:t>.</w:t>
      </w:r>
    </w:p>
    <w:p w:rsidR="007C0FB4" w:rsidRDefault="007C0FB4" w:rsidP="00A607A5">
      <w:pPr>
        <w:spacing w:after="0" w:line="240" w:lineRule="auto"/>
        <w:ind w:firstLine="567"/>
        <w:jc w:val="both"/>
        <w:rPr>
          <w:rFonts w:ascii="Times New Roman" w:hAnsi="Times New Roman" w:cs="Times New Roman"/>
          <w:sz w:val="26"/>
          <w:szCs w:val="26"/>
          <w:lang w:val="uk-UA"/>
        </w:rPr>
      </w:pPr>
    </w:p>
    <w:p w:rsidR="007C0FB4" w:rsidRDefault="007C0FB4" w:rsidP="00A607A5">
      <w:pPr>
        <w:spacing w:after="0" w:line="240" w:lineRule="auto"/>
        <w:ind w:firstLine="567"/>
        <w:jc w:val="both"/>
        <w:rPr>
          <w:rFonts w:ascii="Times New Roman" w:hAnsi="Times New Roman" w:cs="Times New Roman"/>
          <w:sz w:val="26"/>
          <w:szCs w:val="26"/>
          <w:lang w:val="uk-UA"/>
        </w:rPr>
      </w:pPr>
    </w:p>
    <w:p w:rsidR="007C0FB4" w:rsidRDefault="007C0FB4" w:rsidP="00A607A5">
      <w:pPr>
        <w:spacing w:after="0" w:line="240" w:lineRule="auto"/>
        <w:ind w:firstLine="567"/>
        <w:jc w:val="both"/>
        <w:rPr>
          <w:rFonts w:ascii="Times New Roman" w:hAnsi="Times New Roman" w:cs="Times New Roman"/>
          <w:sz w:val="26"/>
          <w:szCs w:val="26"/>
          <w:lang w:val="uk-UA"/>
        </w:rPr>
      </w:pPr>
    </w:p>
    <w:p w:rsidR="007C0FB4" w:rsidRPr="00820810" w:rsidRDefault="007C0FB4" w:rsidP="00A607A5">
      <w:pPr>
        <w:spacing w:after="0" w:line="240" w:lineRule="auto"/>
        <w:ind w:firstLine="567"/>
        <w:jc w:val="both"/>
        <w:rPr>
          <w:rFonts w:ascii="Times New Roman" w:hAnsi="Times New Roman" w:cs="Times New Roman"/>
          <w:sz w:val="26"/>
          <w:szCs w:val="26"/>
          <w:lang w:val="uk-UA"/>
        </w:rPr>
      </w:pPr>
    </w:p>
    <w:p w:rsidR="002A0149" w:rsidRPr="00820810" w:rsidRDefault="002A0149" w:rsidP="00D13707">
      <w:pPr>
        <w:pStyle w:val="aa"/>
        <w:spacing w:before="120" w:line="276" w:lineRule="auto"/>
        <w:ind w:left="0"/>
        <w:jc w:val="center"/>
        <w:rPr>
          <w:b/>
          <w:sz w:val="26"/>
          <w:szCs w:val="26"/>
        </w:rPr>
      </w:pPr>
      <w:r w:rsidRPr="00820810">
        <w:rPr>
          <w:b/>
          <w:sz w:val="26"/>
          <w:szCs w:val="26"/>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A146B" w:rsidRPr="00820810" w:rsidRDefault="00EA146B" w:rsidP="009B432B">
      <w:pPr>
        <w:spacing w:after="120" w:line="240" w:lineRule="auto"/>
        <w:ind w:firstLine="709"/>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Витрати на виконання вимог регуляторного акта для органів виконавчої влади, органів місцевого самоврядування не передбачені.</w:t>
      </w:r>
    </w:p>
    <w:p w:rsidR="00F37C41" w:rsidRPr="00820810" w:rsidRDefault="00F37C41" w:rsidP="00F37C41">
      <w:pPr>
        <w:spacing w:after="0" w:line="240" w:lineRule="auto"/>
        <w:ind w:firstLine="709"/>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 xml:space="preserve">Тест малого підприємництва (М-Тест) не проводився, оскільки </w:t>
      </w:r>
      <w:r w:rsidR="00A607A5" w:rsidRPr="00820810">
        <w:rPr>
          <w:rFonts w:ascii="Times New Roman" w:hAnsi="Times New Roman" w:cs="Times New Roman"/>
          <w:sz w:val="26"/>
          <w:szCs w:val="26"/>
          <w:lang w:val="uk-UA"/>
        </w:rPr>
        <w:t>відсутні</w:t>
      </w:r>
      <w:r w:rsidRPr="00820810">
        <w:rPr>
          <w:rFonts w:ascii="Times New Roman" w:hAnsi="Times New Roman" w:cs="Times New Roman"/>
          <w:sz w:val="26"/>
          <w:szCs w:val="26"/>
          <w:lang w:val="uk-UA"/>
        </w:rPr>
        <w:t xml:space="preserve"> суб’єкт</w:t>
      </w:r>
      <w:r w:rsidR="00A607A5" w:rsidRPr="00820810">
        <w:rPr>
          <w:rFonts w:ascii="Times New Roman" w:hAnsi="Times New Roman" w:cs="Times New Roman"/>
          <w:sz w:val="26"/>
          <w:szCs w:val="26"/>
          <w:lang w:val="uk-UA"/>
        </w:rPr>
        <w:t xml:space="preserve">и </w:t>
      </w:r>
      <w:r w:rsidRPr="00820810">
        <w:rPr>
          <w:rFonts w:ascii="Times New Roman" w:hAnsi="Times New Roman" w:cs="Times New Roman"/>
          <w:sz w:val="26"/>
          <w:szCs w:val="26"/>
          <w:lang w:val="uk-UA"/>
        </w:rPr>
        <w:t>малого підприємництва (малих та мікропідприємств разом) у загальній кількості суб’єктів господарювання, на яких поширюється регулювання</w:t>
      </w:r>
      <w:r w:rsidR="00A607A5" w:rsidRPr="00820810">
        <w:rPr>
          <w:rFonts w:ascii="Times New Roman" w:hAnsi="Times New Roman" w:cs="Times New Roman"/>
          <w:sz w:val="26"/>
          <w:szCs w:val="26"/>
          <w:lang w:val="uk-UA"/>
        </w:rPr>
        <w:t>.</w:t>
      </w:r>
    </w:p>
    <w:p w:rsidR="00D13707" w:rsidRPr="00820810" w:rsidRDefault="00D13707" w:rsidP="00F37C41">
      <w:pPr>
        <w:spacing w:after="0" w:line="240" w:lineRule="auto"/>
        <w:ind w:firstLine="709"/>
        <w:jc w:val="both"/>
        <w:rPr>
          <w:rFonts w:ascii="Times New Roman" w:hAnsi="Times New Roman" w:cs="Times New Roman"/>
          <w:sz w:val="26"/>
          <w:szCs w:val="26"/>
          <w:lang w:val="uk-UA"/>
        </w:rPr>
      </w:pPr>
    </w:p>
    <w:p w:rsidR="00042B63" w:rsidRPr="00820810" w:rsidRDefault="00042B63" w:rsidP="00A607A5">
      <w:pPr>
        <w:spacing w:before="120" w:after="120" w:line="240" w:lineRule="auto"/>
        <w:ind w:firstLine="567"/>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VII. Обґрунтування запропонованого строку дії регуляторного акта</w:t>
      </w:r>
    </w:p>
    <w:p w:rsidR="00042B63" w:rsidRPr="00820810" w:rsidRDefault="00042B63" w:rsidP="00A607A5">
      <w:pPr>
        <w:spacing w:after="0" w:line="240" w:lineRule="auto"/>
        <w:ind w:firstLine="567"/>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042B63" w:rsidRPr="00820810" w:rsidRDefault="00042B63" w:rsidP="00A607A5">
      <w:pPr>
        <w:spacing w:after="0" w:line="240" w:lineRule="auto"/>
        <w:ind w:firstLine="567"/>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 xml:space="preserve">Строк набрання чинності регуляторним актом − відповідно до законодавства через шість місяців </w:t>
      </w:r>
      <w:r w:rsidR="00A607A5" w:rsidRPr="00820810">
        <w:rPr>
          <w:rFonts w:ascii="Times New Roman" w:hAnsi="Times New Roman" w:cs="Times New Roman"/>
          <w:sz w:val="28"/>
          <w:szCs w:val="28"/>
          <w:lang w:val="uk-UA"/>
        </w:rPr>
        <w:t>після припинення або скасування воєнного стану в Україні</w:t>
      </w:r>
      <w:r w:rsidRPr="00820810">
        <w:rPr>
          <w:rFonts w:ascii="Times New Roman" w:hAnsi="Times New Roman" w:cs="Times New Roman"/>
          <w:sz w:val="26"/>
          <w:szCs w:val="26"/>
          <w:lang w:val="uk-UA"/>
        </w:rPr>
        <w:t>.</w:t>
      </w:r>
    </w:p>
    <w:p w:rsidR="00D13707" w:rsidRPr="00820810" w:rsidRDefault="00D13707" w:rsidP="00042B63">
      <w:pPr>
        <w:spacing w:after="0" w:line="240" w:lineRule="auto"/>
        <w:ind w:firstLine="709"/>
        <w:jc w:val="both"/>
        <w:rPr>
          <w:rFonts w:ascii="Times New Roman" w:hAnsi="Times New Roman" w:cs="Times New Roman"/>
          <w:sz w:val="26"/>
          <w:szCs w:val="26"/>
          <w:lang w:val="uk-UA"/>
        </w:rPr>
      </w:pPr>
    </w:p>
    <w:p w:rsidR="008C6FC7" w:rsidRPr="00820810" w:rsidRDefault="008C6FC7" w:rsidP="008C6FC7">
      <w:pPr>
        <w:spacing w:before="120" w:line="276" w:lineRule="auto"/>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VIII. Визначення показників результативності дії регуляторного акта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78"/>
      </w:tblGrid>
      <w:tr w:rsidR="008C6FC7" w:rsidRPr="00820810" w:rsidTr="00155AA0">
        <w:tc>
          <w:tcPr>
            <w:tcW w:w="4678" w:type="dxa"/>
            <w:shd w:val="clear" w:color="auto" w:fill="auto"/>
          </w:tcPr>
          <w:p w:rsidR="008C6FC7" w:rsidRPr="00820810" w:rsidRDefault="008C6FC7" w:rsidP="00D13707">
            <w:pPr>
              <w:spacing w:after="0"/>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Рівень поінформованості суб’єктів господарювання та/або фізичних осіб з основних положень акта</w:t>
            </w:r>
          </w:p>
        </w:tc>
        <w:tc>
          <w:tcPr>
            <w:tcW w:w="4678" w:type="dxa"/>
            <w:shd w:val="clear" w:color="auto" w:fill="auto"/>
          </w:tcPr>
          <w:p w:rsidR="008C6FC7" w:rsidRPr="00820810" w:rsidRDefault="008C6FC7" w:rsidP="00D13707">
            <w:pPr>
              <w:spacing w:after="0"/>
              <w:jc w:val="center"/>
              <w:rPr>
                <w:rFonts w:ascii="Times New Roman" w:hAnsi="Times New Roman" w:cs="Times New Roman"/>
                <w:b/>
                <w:sz w:val="24"/>
                <w:szCs w:val="24"/>
                <w:lang w:val="uk-UA"/>
              </w:rPr>
            </w:pPr>
            <w:r w:rsidRPr="00820810">
              <w:rPr>
                <w:rFonts w:ascii="Times New Roman" w:hAnsi="Times New Roman" w:cs="Times New Roman"/>
                <w:b/>
                <w:sz w:val="24"/>
                <w:szCs w:val="24"/>
                <w:lang w:val="uk-UA"/>
              </w:rPr>
              <w:t xml:space="preserve">Вище середнього. Зокрема, проєкту </w:t>
            </w:r>
            <w:r w:rsidR="002E452F" w:rsidRPr="00820810">
              <w:rPr>
                <w:rFonts w:ascii="Times New Roman" w:hAnsi="Times New Roman" w:cs="Times New Roman"/>
                <w:b/>
                <w:sz w:val="24"/>
                <w:szCs w:val="24"/>
                <w:lang w:val="uk-UA"/>
              </w:rPr>
              <w:t>Постанови Кабінету Міністрів України</w:t>
            </w:r>
            <w:r w:rsidRPr="00820810">
              <w:rPr>
                <w:rFonts w:ascii="Times New Roman" w:hAnsi="Times New Roman" w:cs="Times New Roman"/>
                <w:b/>
                <w:sz w:val="24"/>
                <w:szCs w:val="24"/>
                <w:lang w:val="uk-UA"/>
              </w:rPr>
              <w:t xml:space="preserve"> оприлюднений на офіційному сайті Міністерства енергетики України та Держенергоефективності.</w:t>
            </w:r>
          </w:p>
        </w:tc>
      </w:tr>
      <w:tr w:rsidR="008C6FC7" w:rsidRPr="00820810" w:rsidTr="00155AA0">
        <w:trPr>
          <w:trHeight w:val="1025"/>
        </w:trPr>
        <w:tc>
          <w:tcPr>
            <w:tcW w:w="4678" w:type="dxa"/>
            <w:shd w:val="clear" w:color="auto" w:fill="auto"/>
          </w:tcPr>
          <w:p w:rsidR="008C6FC7" w:rsidRPr="00820810" w:rsidRDefault="008C6FC7" w:rsidP="00893127">
            <w:pPr>
              <w:spacing w:after="0"/>
              <w:rPr>
                <w:rFonts w:ascii="Times New Roman" w:hAnsi="Times New Roman" w:cs="Times New Roman"/>
                <w:sz w:val="24"/>
                <w:szCs w:val="24"/>
                <w:lang w:val="uk-UA"/>
              </w:rPr>
            </w:pPr>
            <w:r w:rsidRPr="00820810">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4678" w:type="dxa"/>
            <w:shd w:val="clear" w:color="auto" w:fill="auto"/>
            <w:vAlign w:val="center"/>
          </w:tcPr>
          <w:p w:rsidR="008C6FC7" w:rsidRPr="00820810" w:rsidRDefault="008C6FC7" w:rsidP="00893127">
            <w:pPr>
              <w:spacing w:after="0"/>
              <w:ind w:right="-1"/>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Виробники та постачальники –</w:t>
            </w:r>
            <w:r w:rsidR="00D908F8" w:rsidRPr="00820810">
              <w:rPr>
                <w:rFonts w:ascii="Times New Roman" w:hAnsi="Times New Roman" w:cs="Times New Roman"/>
                <w:sz w:val="24"/>
                <w:szCs w:val="24"/>
                <w:lang w:val="uk-UA"/>
              </w:rPr>
              <w:t xml:space="preserve"> </w:t>
            </w:r>
            <w:r w:rsidR="0082657C" w:rsidRPr="00820810">
              <w:rPr>
                <w:rFonts w:ascii="Times New Roman" w:hAnsi="Times New Roman" w:cs="Times New Roman"/>
                <w:sz w:val="24"/>
                <w:szCs w:val="24"/>
                <w:lang w:val="uk-UA"/>
              </w:rPr>
              <w:t>8</w:t>
            </w:r>
          </w:p>
          <w:p w:rsidR="008C6FC7" w:rsidRPr="00820810" w:rsidRDefault="008C6FC7" w:rsidP="009063FC">
            <w:pPr>
              <w:spacing w:after="0"/>
              <w:ind w:right="-1"/>
              <w:jc w:val="both"/>
              <w:rPr>
                <w:rFonts w:ascii="Times New Roman" w:hAnsi="Times New Roman" w:cs="Times New Roman"/>
                <w:sz w:val="24"/>
                <w:szCs w:val="24"/>
                <w:lang w:val="uk-UA"/>
              </w:rPr>
            </w:pPr>
          </w:p>
        </w:tc>
      </w:tr>
      <w:tr w:rsidR="008C6FC7" w:rsidRPr="00234976" w:rsidTr="00155AA0">
        <w:trPr>
          <w:trHeight w:val="1126"/>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C6FC7" w:rsidRPr="00820810" w:rsidRDefault="008C6FC7" w:rsidP="00893127">
            <w:pPr>
              <w:spacing w:after="0"/>
              <w:rPr>
                <w:rFonts w:ascii="Times New Roman" w:hAnsi="Times New Roman" w:cs="Times New Roman"/>
                <w:sz w:val="24"/>
                <w:szCs w:val="24"/>
                <w:lang w:val="uk-UA"/>
              </w:rPr>
            </w:pPr>
            <w:r w:rsidRPr="00820810">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6FC7" w:rsidRPr="00820810" w:rsidRDefault="008C6FC7" w:rsidP="00893127">
            <w:pPr>
              <w:spacing w:after="0"/>
              <w:ind w:right="-1"/>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8C6FC7" w:rsidRPr="00820810" w:rsidTr="00155AA0">
        <w:trPr>
          <w:trHeight w:val="126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8C6FC7" w:rsidRPr="00820810" w:rsidRDefault="008C6FC7" w:rsidP="00893127">
            <w:pPr>
              <w:spacing w:after="0"/>
              <w:rPr>
                <w:rFonts w:ascii="Times New Roman" w:hAnsi="Times New Roman" w:cs="Times New Roman"/>
                <w:sz w:val="24"/>
                <w:szCs w:val="24"/>
                <w:lang w:val="uk-UA"/>
              </w:rPr>
            </w:pPr>
            <w:r w:rsidRPr="00820810">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6FC7" w:rsidRPr="00820810" w:rsidRDefault="008C6FC7" w:rsidP="00893127">
            <w:pPr>
              <w:spacing w:after="0"/>
              <w:ind w:right="-1"/>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 xml:space="preserve">Суб’єкти господарювання великого та середнього підприємництва (виробники) </w:t>
            </w:r>
            <w:r w:rsidR="00624432" w:rsidRPr="00820810">
              <w:rPr>
                <w:rFonts w:ascii="Times New Roman" w:hAnsi="Times New Roman" w:cs="Times New Roman"/>
                <w:sz w:val="24"/>
                <w:szCs w:val="24"/>
                <w:lang w:val="uk-UA"/>
              </w:rPr>
              <w:t>–</w:t>
            </w:r>
            <w:r w:rsidRPr="00820810">
              <w:rPr>
                <w:rFonts w:ascii="Times New Roman" w:hAnsi="Times New Roman" w:cs="Times New Roman"/>
                <w:sz w:val="24"/>
                <w:szCs w:val="24"/>
                <w:lang w:val="uk-UA"/>
              </w:rPr>
              <w:t xml:space="preserve"> </w:t>
            </w:r>
            <w:r w:rsidR="00680BD9" w:rsidRPr="00820810">
              <w:rPr>
                <w:rFonts w:ascii="Times New Roman" w:hAnsi="Times New Roman" w:cs="Times New Roman"/>
                <w:sz w:val="24"/>
                <w:szCs w:val="24"/>
                <w:lang w:val="uk-UA"/>
              </w:rPr>
              <w:t xml:space="preserve">15 256 800 </w:t>
            </w:r>
            <w:r w:rsidR="0003119F" w:rsidRPr="00820810">
              <w:rPr>
                <w:rFonts w:ascii="Times New Roman" w:hAnsi="Times New Roman" w:cs="Times New Roman"/>
                <w:sz w:val="24"/>
                <w:szCs w:val="24"/>
                <w:lang w:val="uk-UA"/>
              </w:rPr>
              <w:t>грн</w:t>
            </w:r>
            <w:r w:rsidR="006D5EE2" w:rsidRPr="00820810">
              <w:rPr>
                <w:rFonts w:ascii="Times New Roman" w:hAnsi="Times New Roman" w:cs="Times New Roman"/>
                <w:sz w:val="24"/>
                <w:szCs w:val="24"/>
                <w:lang w:val="uk-UA"/>
              </w:rPr>
              <w:t>,</w:t>
            </w:r>
            <w:r w:rsidRPr="00820810">
              <w:rPr>
                <w:rFonts w:ascii="Times New Roman" w:hAnsi="Times New Roman" w:cs="Times New Roman"/>
                <w:sz w:val="24"/>
                <w:szCs w:val="24"/>
                <w:lang w:val="uk-UA"/>
              </w:rPr>
              <w:t xml:space="preserve"> </w:t>
            </w:r>
            <w:r w:rsidR="006D5EE2" w:rsidRPr="00820810">
              <w:rPr>
                <w:rFonts w:ascii="Times New Roman" w:hAnsi="Times New Roman" w:cs="Times New Roman"/>
                <w:sz w:val="24"/>
                <w:szCs w:val="24"/>
                <w:lang w:val="uk-UA"/>
              </w:rPr>
              <w:t>а час – до трьох років</w:t>
            </w:r>
          </w:p>
          <w:p w:rsidR="008C6FC7" w:rsidRPr="00820810" w:rsidRDefault="008C6FC7" w:rsidP="009063FC">
            <w:pPr>
              <w:spacing w:after="0"/>
              <w:ind w:right="-1"/>
              <w:jc w:val="both"/>
              <w:rPr>
                <w:rFonts w:ascii="Times New Roman" w:hAnsi="Times New Roman" w:cs="Times New Roman"/>
                <w:sz w:val="24"/>
                <w:szCs w:val="24"/>
                <w:lang w:val="uk-UA"/>
              </w:rPr>
            </w:pPr>
          </w:p>
        </w:tc>
      </w:tr>
      <w:tr w:rsidR="00D908F8" w:rsidRPr="00820810" w:rsidTr="00155AA0">
        <w:trPr>
          <w:trHeight w:val="27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908F8" w:rsidRPr="00820810" w:rsidRDefault="00D908F8" w:rsidP="00893127">
            <w:pPr>
              <w:rPr>
                <w:rFonts w:ascii="Times New Roman" w:hAnsi="Times New Roman" w:cs="Times New Roman"/>
                <w:sz w:val="24"/>
                <w:szCs w:val="24"/>
                <w:lang w:val="uk-UA"/>
              </w:rPr>
            </w:pPr>
            <w:r w:rsidRPr="00820810">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08F8" w:rsidRPr="00820810" w:rsidRDefault="00D908F8" w:rsidP="00893127">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Зазначений показник представлятиме собою статистичні дані щодо кількості проведених перевірок</w:t>
            </w:r>
          </w:p>
        </w:tc>
      </w:tr>
      <w:tr w:rsidR="00D908F8" w:rsidRPr="00820810" w:rsidTr="00155AA0">
        <w:trPr>
          <w:trHeight w:val="1048"/>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908F8" w:rsidRPr="00820810" w:rsidRDefault="00D908F8" w:rsidP="00893127">
            <w:pPr>
              <w:spacing w:after="0"/>
              <w:rPr>
                <w:rFonts w:ascii="Times New Roman" w:hAnsi="Times New Roman" w:cs="Times New Roman"/>
                <w:sz w:val="24"/>
                <w:szCs w:val="24"/>
                <w:lang w:val="uk-UA"/>
              </w:rPr>
            </w:pPr>
            <w:r w:rsidRPr="00820810">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08F8" w:rsidRPr="00820810" w:rsidRDefault="00D908F8" w:rsidP="00893127">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Зазначений показник представлятиме собою статистичні дані щодо кількості порушень</w:t>
            </w:r>
          </w:p>
        </w:tc>
      </w:tr>
      <w:tr w:rsidR="00D908F8" w:rsidRPr="00820810" w:rsidTr="00155AA0">
        <w:trPr>
          <w:trHeight w:val="968"/>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908F8" w:rsidRPr="00820810" w:rsidRDefault="00D908F8" w:rsidP="00893127">
            <w:pPr>
              <w:spacing w:after="0"/>
              <w:rPr>
                <w:rFonts w:ascii="Times New Roman" w:hAnsi="Times New Roman" w:cs="Times New Roman"/>
                <w:sz w:val="24"/>
                <w:szCs w:val="24"/>
                <w:lang w:val="uk-UA"/>
              </w:rPr>
            </w:pPr>
            <w:r w:rsidRPr="00820810">
              <w:rPr>
                <w:rFonts w:ascii="Times New Roman" w:hAnsi="Times New Roman" w:cs="Times New Roman"/>
                <w:sz w:val="24"/>
                <w:szCs w:val="24"/>
                <w:lang w:val="uk-UA"/>
              </w:rPr>
              <w:t>Показники органу державного ринкового нагляду щодо кількості стягнень і штрафів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908F8" w:rsidRPr="00820810" w:rsidRDefault="00D908F8" w:rsidP="00893127">
            <w:pPr>
              <w:spacing w:after="0"/>
              <w:jc w:val="both"/>
              <w:rPr>
                <w:rFonts w:ascii="Times New Roman" w:hAnsi="Times New Roman" w:cs="Times New Roman"/>
                <w:sz w:val="24"/>
                <w:szCs w:val="24"/>
                <w:lang w:val="uk-UA"/>
              </w:rPr>
            </w:pPr>
            <w:r w:rsidRPr="00820810">
              <w:rPr>
                <w:rFonts w:ascii="Times New Roman" w:hAnsi="Times New Roman" w:cs="Times New Roman"/>
                <w:sz w:val="24"/>
                <w:szCs w:val="24"/>
                <w:lang w:val="uk-UA"/>
              </w:rPr>
              <w:t>Зазначений показник представлятиме собою статистичні дані щодо кількості стягнень штрафів</w:t>
            </w:r>
          </w:p>
        </w:tc>
      </w:tr>
    </w:tbl>
    <w:p w:rsidR="00042B63" w:rsidRPr="00820810" w:rsidRDefault="00042B63" w:rsidP="004603C6">
      <w:pPr>
        <w:pStyle w:val="21"/>
        <w:tabs>
          <w:tab w:val="left" w:pos="993"/>
        </w:tabs>
        <w:spacing w:line="276" w:lineRule="auto"/>
        <w:ind w:firstLine="0"/>
        <w:rPr>
          <w:sz w:val="26"/>
          <w:szCs w:val="26"/>
        </w:rPr>
      </w:pPr>
    </w:p>
    <w:p w:rsidR="00EA146B" w:rsidRPr="00820810" w:rsidRDefault="00EA146B" w:rsidP="000C17C3">
      <w:pPr>
        <w:spacing w:after="0" w:line="240" w:lineRule="auto"/>
        <w:ind w:firstLine="709"/>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lastRenderedPageBreak/>
        <w:t>Відпові</w:t>
      </w:r>
      <w:r w:rsidR="001108DF" w:rsidRPr="00820810">
        <w:rPr>
          <w:rFonts w:ascii="Times New Roman" w:hAnsi="Times New Roman" w:cs="Times New Roman"/>
          <w:sz w:val="26"/>
          <w:szCs w:val="26"/>
          <w:lang w:val="uk-UA"/>
        </w:rPr>
        <w:t>дно до статті 5 Закону України «</w:t>
      </w:r>
      <w:r w:rsidRPr="00820810">
        <w:rPr>
          <w:rFonts w:ascii="Times New Roman" w:hAnsi="Times New Roman" w:cs="Times New Roman"/>
          <w:sz w:val="26"/>
          <w:szCs w:val="26"/>
          <w:lang w:val="uk-UA"/>
        </w:rPr>
        <w:t>Про засади державної регуляторної політики у</w:t>
      </w:r>
      <w:r w:rsidR="001108DF" w:rsidRPr="00820810">
        <w:rPr>
          <w:rFonts w:ascii="Times New Roman" w:hAnsi="Times New Roman" w:cs="Times New Roman"/>
          <w:sz w:val="26"/>
          <w:szCs w:val="26"/>
          <w:lang w:val="uk-UA"/>
        </w:rPr>
        <w:t xml:space="preserve"> сфері господарської діяльності» та статті 15 Закону України «</w:t>
      </w:r>
      <w:r w:rsidRPr="00820810">
        <w:rPr>
          <w:rFonts w:ascii="Times New Roman" w:hAnsi="Times New Roman" w:cs="Times New Roman"/>
          <w:sz w:val="26"/>
          <w:szCs w:val="26"/>
          <w:lang w:val="uk-UA"/>
        </w:rPr>
        <w:t xml:space="preserve">Про </w:t>
      </w:r>
      <w:r w:rsidR="001108DF" w:rsidRPr="00820810">
        <w:rPr>
          <w:rFonts w:ascii="Times New Roman" w:hAnsi="Times New Roman" w:cs="Times New Roman"/>
          <w:sz w:val="26"/>
          <w:szCs w:val="26"/>
          <w:lang w:val="uk-UA"/>
        </w:rPr>
        <w:t>доступ до публічної інформації»</w:t>
      </w:r>
      <w:r w:rsidRPr="00820810">
        <w:rPr>
          <w:rFonts w:ascii="Times New Roman" w:hAnsi="Times New Roman" w:cs="Times New Roman"/>
          <w:sz w:val="26"/>
          <w:szCs w:val="26"/>
          <w:lang w:val="uk-UA"/>
        </w:rPr>
        <w:t xml:space="preserve"> про</w:t>
      </w:r>
      <w:r w:rsidR="00A607A5" w:rsidRPr="00820810">
        <w:rPr>
          <w:rFonts w:ascii="Times New Roman" w:hAnsi="Times New Roman" w:cs="Times New Roman"/>
          <w:sz w:val="26"/>
          <w:szCs w:val="26"/>
          <w:lang w:val="uk-UA"/>
        </w:rPr>
        <w:t>е</w:t>
      </w:r>
      <w:r w:rsidRPr="00820810">
        <w:rPr>
          <w:rFonts w:ascii="Times New Roman" w:hAnsi="Times New Roman" w:cs="Times New Roman"/>
          <w:sz w:val="26"/>
          <w:szCs w:val="26"/>
          <w:lang w:val="uk-UA"/>
        </w:rPr>
        <w:t xml:space="preserve">кт </w:t>
      </w:r>
      <w:r w:rsidR="00042B63" w:rsidRPr="00820810">
        <w:rPr>
          <w:rFonts w:ascii="Times New Roman" w:hAnsi="Times New Roman" w:cs="Times New Roman"/>
          <w:sz w:val="26"/>
          <w:szCs w:val="26"/>
          <w:lang w:val="uk-UA"/>
        </w:rPr>
        <w:t>постанови Кабінету Міністрів України</w:t>
      </w:r>
      <w:r w:rsidRPr="00820810">
        <w:rPr>
          <w:rFonts w:ascii="Times New Roman" w:hAnsi="Times New Roman" w:cs="Times New Roman"/>
          <w:sz w:val="26"/>
          <w:szCs w:val="26"/>
          <w:lang w:val="uk-UA"/>
        </w:rPr>
        <w:t xml:space="preserve"> оприлюднений для громадського обговорення на офіційному </w:t>
      </w:r>
      <w:proofErr w:type="spellStart"/>
      <w:r w:rsidRPr="00820810">
        <w:rPr>
          <w:rFonts w:ascii="Times New Roman" w:hAnsi="Times New Roman" w:cs="Times New Roman"/>
          <w:sz w:val="26"/>
          <w:szCs w:val="26"/>
          <w:lang w:val="uk-UA"/>
        </w:rPr>
        <w:t>вебсайті</w:t>
      </w:r>
      <w:proofErr w:type="spellEnd"/>
      <w:r w:rsidRPr="00820810">
        <w:rPr>
          <w:rFonts w:ascii="Times New Roman" w:hAnsi="Times New Roman" w:cs="Times New Roman"/>
          <w:sz w:val="26"/>
          <w:szCs w:val="26"/>
          <w:lang w:val="uk-UA"/>
        </w:rPr>
        <w:t xml:space="preserve"> </w:t>
      </w:r>
      <w:r w:rsidR="007D658A" w:rsidRPr="00820810">
        <w:rPr>
          <w:rFonts w:ascii="Times New Roman" w:hAnsi="Times New Roman" w:cs="Times New Roman"/>
          <w:sz w:val="26"/>
          <w:szCs w:val="26"/>
          <w:lang w:val="uk-UA"/>
        </w:rPr>
        <w:t xml:space="preserve">Міністерства енергетики України </w:t>
      </w:r>
      <w:r w:rsidRPr="00820810">
        <w:rPr>
          <w:rFonts w:ascii="Times New Roman" w:hAnsi="Times New Roman" w:cs="Times New Roman"/>
          <w:sz w:val="26"/>
          <w:szCs w:val="26"/>
          <w:lang w:val="uk-UA"/>
        </w:rPr>
        <w:t>та Держенергоефективності</w:t>
      </w:r>
      <w:r w:rsidR="00A607A5" w:rsidRPr="00820810">
        <w:rPr>
          <w:rFonts w:ascii="Times New Roman" w:hAnsi="Times New Roman" w:cs="Times New Roman"/>
          <w:sz w:val="26"/>
          <w:szCs w:val="26"/>
          <w:lang w:val="uk-UA"/>
        </w:rPr>
        <w:t>.</w:t>
      </w:r>
    </w:p>
    <w:p w:rsidR="000C17C3" w:rsidRPr="00820810" w:rsidRDefault="002A0149" w:rsidP="005B1DAA">
      <w:pPr>
        <w:spacing w:before="120" w:after="120" w:line="240" w:lineRule="auto"/>
        <w:jc w:val="center"/>
        <w:rPr>
          <w:rFonts w:ascii="Times New Roman" w:hAnsi="Times New Roman" w:cs="Times New Roman"/>
          <w:b/>
          <w:sz w:val="26"/>
          <w:szCs w:val="26"/>
          <w:lang w:val="uk-UA"/>
        </w:rPr>
      </w:pPr>
      <w:r w:rsidRPr="00820810">
        <w:rPr>
          <w:rFonts w:ascii="Times New Roman" w:hAnsi="Times New Roman" w:cs="Times New Roman"/>
          <w:b/>
          <w:sz w:val="26"/>
          <w:szCs w:val="26"/>
          <w:lang w:val="uk-UA"/>
        </w:rPr>
        <w:t>IX. Визначення заходів, за допомогою яких здійснюватиметься відстеження результативності дії регуляторного акт</w:t>
      </w:r>
      <w:r w:rsidR="006D0A98" w:rsidRPr="00820810">
        <w:rPr>
          <w:rFonts w:ascii="Times New Roman" w:hAnsi="Times New Roman" w:cs="Times New Roman"/>
          <w:b/>
          <w:sz w:val="26"/>
          <w:szCs w:val="26"/>
          <w:lang w:val="uk-UA"/>
        </w:rPr>
        <w:t>а</w:t>
      </w:r>
    </w:p>
    <w:p w:rsidR="002C7F8D" w:rsidRPr="00820810" w:rsidRDefault="002C7F8D" w:rsidP="002C7F8D">
      <w:pPr>
        <w:shd w:val="clear" w:color="auto" w:fill="FFFFFF"/>
        <w:spacing w:after="0"/>
        <w:ind w:firstLine="567"/>
        <w:jc w:val="both"/>
        <w:rPr>
          <w:rFonts w:ascii="Times New Roman" w:hAnsi="Times New Roman" w:cs="Times New Roman"/>
          <w:sz w:val="26"/>
          <w:szCs w:val="26"/>
          <w:lang w:val="uk-UA"/>
        </w:rPr>
      </w:pPr>
      <w:r w:rsidRPr="00820810">
        <w:rPr>
          <w:rFonts w:ascii="Times New Roman" w:hAnsi="Times New Roman" w:cs="Times New Roman"/>
          <w:sz w:val="26"/>
          <w:szCs w:val="26"/>
          <w:lang w:val="uk-UA"/>
        </w:rPr>
        <w:t>Відповідно до законодавства здійснюється базове, повторне та періодичне відстеження результативності регуляторного акта у строки, встановлені статтею 10 Закону України «Про засади державної регуляторної політики у сфері господарської діяльності».</w:t>
      </w:r>
    </w:p>
    <w:p w:rsidR="002C7F8D" w:rsidRPr="00820810" w:rsidRDefault="002C7F8D" w:rsidP="002C7F8D">
      <w:pPr>
        <w:shd w:val="clear" w:color="auto" w:fill="FFFFFF"/>
        <w:spacing w:after="0"/>
        <w:ind w:firstLine="567"/>
        <w:jc w:val="both"/>
        <w:rPr>
          <w:rFonts w:ascii="Times New Roman" w:hAnsi="Times New Roman" w:cs="Times New Roman"/>
          <w:sz w:val="26"/>
          <w:szCs w:val="26"/>
          <w:lang w:val="uk-UA"/>
        </w:rPr>
      </w:pPr>
      <w:r w:rsidRPr="00820810">
        <w:rPr>
          <w:rFonts w:ascii="Times New Roman" w:hAnsi="Times New Roman" w:cs="Times New Roman"/>
          <w:color w:val="000000"/>
          <w:sz w:val="26"/>
          <w:szCs w:val="26"/>
          <w:lang w:val="uk-UA"/>
        </w:rPr>
        <w:t>Базове відстеження результативності регуляторного акта буде здійснюватися після набрання ним чинності</w:t>
      </w:r>
      <w:r w:rsidRPr="00820810">
        <w:rPr>
          <w:rFonts w:ascii="Times New Roman" w:hAnsi="Times New Roman" w:cs="Times New Roman"/>
          <w:sz w:val="26"/>
          <w:szCs w:val="26"/>
          <w:lang w:val="uk-UA"/>
        </w:rPr>
        <w:t>, оскільки планується використовувати статистичний метод відстеження та статистичні дані.</w:t>
      </w:r>
    </w:p>
    <w:p w:rsidR="002C7F8D" w:rsidRPr="00820810" w:rsidRDefault="002C7F8D" w:rsidP="002C7F8D">
      <w:pPr>
        <w:shd w:val="clear" w:color="auto" w:fill="FFFFFF"/>
        <w:spacing w:after="0"/>
        <w:ind w:firstLine="567"/>
        <w:jc w:val="both"/>
        <w:rPr>
          <w:rFonts w:ascii="Times New Roman" w:hAnsi="Times New Roman" w:cs="Times New Roman"/>
          <w:sz w:val="26"/>
          <w:szCs w:val="26"/>
          <w:lang w:val="uk-UA"/>
        </w:rPr>
      </w:pPr>
      <w:r w:rsidRPr="00820810">
        <w:rPr>
          <w:rFonts w:ascii="Times New Roman" w:hAnsi="Times New Roman" w:cs="Times New Roman"/>
          <w:color w:val="000000"/>
          <w:sz w:val="26"/>
          <w:szCs w:val="26"/>
          <w:lang w:val="uk-UA"/>
        </w:rPr>
        <w:t>Повторне відстеження планується здійснити через рік після набрання чинності регуляторним актом</w:t>
      </w:r>
      <w:r w:rsidRPr="00820810">
        <w:rPr>
          <w:rFonts w:ascii="Times New Roman" w:hAnsi="Times New Roman" w:cs="Times New Roman"/>
          <w:sz w:val="26"/>
          <w:szCs w:val="26"/>
          <w:lang w:val="uk-UA"/>
        </w:rPr>
        <w:t>.</w:t>
      </w:r>
    </w:p>
    <w:p w:rsidR="002C7F8D" w:rsidRPr="00820810" w:rsidRDefault="002C7F8D" w:rsidP="002C7F8D">
      <w:pPr>
        <w:shd w:val="clear" w:color="auto" w:fill="FFFFFF"/>
        <w:spacing w:after="0"/>
        <w:ind w:firstLine="567"/>
        <w:jc w:val="both"/>
        <w:rPr>
          <w:rFonts w:ascii="Times New Roman" w:hAnsi="Times New Roman" w:cs="Times New Roman"/>
          <w:sz w:val="26"/>
          <w:szCs w:val="26"/>
          <w:lang w:val="uk-UA"/>
        </w:rPr>
      </w:pPr>
      <w:r w:rsidRPr="00820810">
        <w:rPr>
          <w:rFonts w:ascii="Times New Roman" w:hAnsi="Times New Roman" w:cs="Times New Roman"/>
          <w:color w:val="000000"/>
          <w:sz w:val="26"/>
          <w:szCs w:val="26"/>
          <w:lang w:val="uk-UA"/>
        </w:rPr>
        <w:t>Періодичне відстеження здійснюватиметься раз на три роки, починаючи з дня виконання заходів з повторного відстеження результативності цього акта</w:t>
      </w:r>
      <w:r w:rsidRPr="00820810">
        <w:rPr>
          <w:rFonts w:ascii="Times New Roman" w:hAnsi="Times New Roman" w:cs="Times New Roman"/>
          <w:sz w:val="26"/>
          <w:szCs w:val="26"/>
          <w:lang w:val="uk-UA"/>
        </w:rPr>
        <w:t>.</w:t>
      </w:r>
    </w:p>
    <w:p w:rsidR="002C7F8D" w:rsidRPr="00820810" w:rsidRDefault="002C7F8D" w:rsidP="002C7F8D">
      <w:pPr>
        <w:widowControl w:val="0"/>
        <w:spacing w:after="0" w:line="240" w:lineRule="auto"/>
        <w:ind w:firstLine="567"/>
        <w:jc w:val="both"/>
        <w:rPr>
          <w:rFonts w:ascii="Times New Roman" w:eastAsia="Times New Roman" w:hAnsi="Times New Roman" w:cs="Times New Roman"/>
          <w:sz w:val="26"/>
          <w:szCs w:val="26"/>
          <w:lang w:val="uk-UA"/>
        </w:rPr>
      </w:pPr>
      <w:r w:rsidRPr="00820810">
        <w:rPr>
          <w:rFonts w:ascii="Times New Roman" w:eastAsia="Times New Roman" w:hAnsi="Times New Roman" w:cs="Times New Roman"/>
          <w:sz w:val="26"/>
          <w:szCs w:val="26"/>
          <w:lang w:val="uk-UA"/>
        </w:rPr>
        <w:t xml:space="preserve">Відстеження результативності дії регуляторного акта здійснюватиметься Державним агентством з енергоефективності та енергозбереження статистичним методом шляхом аналізу інформації, отриманої від великих суб’єктів господарювання, та офіційної статистичної інформації. </w:t>
      </w:r>
    </w:p>
    <w:p w:rsidR="002C7F8D" w:rsidRPr="00820810" w:rsidRDefault="002C7F8D" w:rsidP="002C7F8D">
      <w:pPr>
        <w:widowControl w:val="0"/>
        <w:spacing w:after="0" w:line="240" w:lineRule="auto"/>
        <w:ind w:firstLine="567"/>
        <w:jc w:val="both"/>
        <w:rPr>
          <w:rFonts w:ascii="Times New Roman" w:eastAsia="Times New Roman" w:hAnsi="Times New Roman" w:cs="Times New Roman"/>
          <w:sz w:val="26"/>
          <w:szCs w:val="26"/>
          <w:lang w:val="uk-UA"/>
        </w:rPr>
      </w:pPr>
      <w:r w:rsidRPr="00820810">
        <w:rPr>
          <w:rFonts w:ascii="Times New Roman" w:eastAsia="Times New Roman" w:hAnsi="Times New Roman" w:cs="Times New Roman"/>
          <w:sz w:val="26"/>
          <w:szCs w:val="26"/>
          <w:lang w:val="uk-UA"/>
        </w:rPr>
        <w:t xml:space="preserve">У разі виявлення неврегульованих та проблемних моментів шляхом проведення аналізу показників дії цього акта, ці моменти буде виправлено внесенням відповідних змін. </w:t>
      </w:r>
    </w:p>
    <w:p w:rsidR="002C7F8D" w:rsidRPr="00820810" w:rsidRDefault="002C7F8D" w:rsidP="002C7F8D">
      <w:pPr>
        <w:widowControl w:val="0"/>
        <w:spacing w:after="0" w:line="240" w:lineRule="auto"/>
        <w:ind w:firstLine="567"/>
        <w:jc w:val="both"/>
        <w:rPr>
          <w:rFonts w:ascii="Times New Roman" w:eastAsia="Times New Roman" w:hAnsi="Times New Roman" w:cs="Times New Roman"/>
          <w:sz w:val="26"/>
          <w:szCs w:val="26"/>
          <w:lang w:val="uk-UA"/>
        </w:rPr>
      </w:pPr>
      <w:r w:rsidRPr="00820810">
        <w:rPr>
          <w:rFonts w:ascii="Times New Roman" w:eastAsia="Times New Roman" w:hAnsi="Times New Roman" w:cs="Times New Roman"/>
          <w:sz w:val="26"/>
          <w:szCs w:val="26"/>
          <w:lang w:val="uk-UA"/>
        </w:rPr>
        <w:t>Цільовими групами для проведення відстеження результативності регуляторного акта є великі суб’єкти господарювання.</w:t>
      </w:r>
    </w:p>
    <w:p w:rsidR="000C17C3" w:rsidRPr="00820810" w:rsidRDefault="000C17C3" w:rsidP="002C7F8D">
      <w:pPr>
        <w:spacing w:after="0" w:line="240" w:lineRule="auto"/>
        <w:rPr>
          <w:rFonts w:ascii="Times New Roman" w:hAnsi="Times New Roman" w:cs="Times New Roman"/>
          <w:b/>
          <w:sz w:val="28"/>
          <w:szCs w:val="28"/>
          <w:lang w:val="uk-UA"/>
        </w:rPr>
      </w:pPr>
    </w:p>
    <w:p w:rsidR="001202AD" w:rsidRDefault="001202AD" w:rsidP="002C7F8D">
      <w:pPr>
        <w:spacing w:after="0" w:line="240" w:lineRule="auto"/>
        <w:rPr>
          <w:rFonts w:ascii="Times New Roman" w:hAnsi="Times New Roman" w:cs="Times New Roman"/>
          <w:b/>
          <w:sz w:val="28"/>
          <w:szCs w:val="28"/>
          <w:lang w:val="uk-UA"/>
        </w:rPr>
      </w:pPr>
    </w:p>
    <w:p w:rsidR="007C0FB4" w:rsidRPr="00820810" w:rsidRDefault="007C0FB4" w:rsidP="002C7F8D">
      <w:pPr>
        <w:spacing w:after="0" w:line="240" w:lineRule="auto"/>
        <w:rPr>
          <w:rFonts w:ascii="Times New Roman" w:hAnsi="Times New Roman" w:cs="Times New Roman"/>
          <w:b/>
          <w:sz w:val="28"/>
          <w:szCs w:val="28"/>
          <w:lang w:val="uk-UA"/>
        </w:rPr>
      </w:pPr>
    </w:p>
    <w:p w:rsidR="002C7F8D" w:rsidRPr="007C0FB4" w:rsidRDefault="002C7F8D" w:rsidP="002C7F8D">
      <w:pPr>
        <w:shd w:val="clear" w:color="auto" w:fill="FFFFFF"/>
        <w:spacing w:after="0"/>
        <w:rPr>
          <w:rFonts w:asciiTheme="majorBidi" w:hAnsiTheme="majorBidi" w:cstheme="majorBidi"/>
          <w:b/>
          <w:sz w:val="27"/>
          <w:szCs w:val="27"/>
          <w:lang w:val="uk-UA"/>
        </w:rPr>
      </w:pPr>
      <w:r w:rsidRPr="007C0FB4">
        <w:rPr>
          <w:rFonts w:asciiTheme="majorBidi" w:hAnsiTheme="majorBidi" w:cstheme="majorBidi"/>
          <w:b/>
          <w:sz w:val="27"/>
          <w:szCs w:val="27"/>
          <w:lang w:val="uk-UA"/>
        </w:rPr>
        <w:t xml:space="preserve">Голова Державного агентства з </w:t>
      </w:r>
    </w:p>
    <w:p w:rsidR="002C7F8D" w:rsidRPr="007C0FB4" w:rsidRDefault="002C7F8D" w:rsidP="002C7F8D">
      <w:pPr>
        <w:shd w:val="clear" w:color="auto" w:fill="FFFFFF"/>
        <w:spacing w:after="0"/>
        <w:rPr>
          <w:rFonts w:asciiTheme="majorBidi" w:hAnsiTheme="majorBidi" w:cstheme="majorBidi"/>
          <w:b/>
          <w:sz w:val="27"/>
          <w:szCs w:val="27"/>
          <w:lang w:val="uk-UA"/>
        </w:rPr>
      </w:pPr>
      <w:r w:rsidRPr="007C0FB4">
        <w:rPr>
          <w:rFonts w:asciiTheme="majorBidi" w:hAnsiTheme="majorBidi" w:cstheme="majorBidi"/>
          <w:b/>
          <w:sz w:val="27"/>
          <w:szCs w:val="27"/>
          <w:lang w:val="uk-UA"/>
        </w:rPr>
        <w:t xml:space="preserve">енергоефективності та </w:t>
      </w:r>
    </w:p>
    <w:p w:rsidR="002C7F8D" w:rsidRPr="007C0FB4" w:rsidRDefault="002C7F8D" w:rsidP="002C7F8D">
      <w:pPr>
        <w:shd w:val="clear" w:color="auto" w:fill="FFFFFF"/>
        <w:spacing w:after="0"/>
        <w:rPr>
          <w:rFonts w:asciiTheme="majorBidi" w:hAnsiTheme="majorBidi" w:cstheme="majorBidi"/>
          <w:b/>
          <w:sz w:val="27"/>
          <w:szCs w:val="27"/>
          <w:lang w:val="uk-UA"/>
        </w:rPr>
      </w:pPr>
      <w:r w:rsidRPr="007C0FB4">
        <w:rPr>
          <w:rFonts w:asciiTheme="majorBidi" w:hAnsiTheme="majorBidi" w:cstheme="majorBidi"/>
          <w:b/>
          <w:sz w:val="27"/>
          <w:szCs w:val="27"/>
          <w:lang w:val="uk-UA"/>
        </w:rPr>
        <w:t xml:space="preserve">енергозбереження України                                              </w:t>
      </w:r>
      <w:r w:rsidR="007C0FB4">
        <w:rPr>
          <w:rFonts w:asciiTheme="majorBidi" w:hAnsiTheme="majorBidi" w:cstheme="majorBidi"/>
          <w:b/>
          <w:sz w:val="27"/>
          <w:szCs w:val="27"/>
          <w:lang w:val="uk-UA"/>
        </w:rPr>
        <w:t xml:space="preserve">     </w:t>
      </w:r>
      <w:bookmarkStart w:id="4" w:name="_GoBack"/>
      <w:bookmarkEnd w:id="4"/>
      <w:r w:rsidRPr="007C0FB4">
        <w:rPr>
          <w:rFonts w:asciiTheme="majorBidi" w:hAnsiTheme="majorBidi" w:cstheme="majorBidi"/>
          <w:b/>
          <w:sz w:val="27"/>
          <w:szCs w:val="27"/>
          <w:lang w:val="uk-UA"/>
        </w:rPr>
        <w:t xml:space="preserve">        Валерій  БЕЗУС</w:t>
      </w:r>
    </w:p>
    <w:p w:rsidR="002C7F8D" w:rsidRPr="007C0FB4" w:rsidRDefault="002C7F8D" w:rsidP="002C7F8D">
      <w:pPr>
        <w:shd w:val="clear" w:color="auto" w:fill="FFFFFF"/>
        <w:spacing w:after="0"/>
        <w:rPr>
          <w:rFonts w:asciiTheme="majorBidi" w:hAnsiTheme="majorBidi" w:cstheme="majorBidi"/>
          <w:color w:val="000000"/>
          <w:sz w:val="27"/>
          <w:szCs w:val="27"/>
          <w:highlight w:val="lightGray"/>
          <w:lang w:val="uk-UA"/>
        </w:rPr>
      </w:pPr>
      <w:r w:rsidRPr="007C0FB4">
        <w:rPr>
          <w:rFonts w:asciiTheme="majorBidi" w:hAnsiTheme="majorBidi" w:cstheme="majorBidi"/>
          <w:b/>
          <w:sz w:val="27"/>
          <w:szCs w:val="27"/>
          <w:lang w:val="uk-UA"/>
        </w:rPr>
        <w:t>____  ___________ 2022 року</w:t>
      </w:r>
    </w:p>
    <w:p w:rsidR="00EF07C4" w:rsidRPr="00820810" w:rsidRDefault="00EF07C4" w:rsidP="002C7F8D">
      <w:pPr>
        <w:pStyle w:val="af"/>
        <w:ind w:left="6237"/>
        <w:jc w:val="center"/>
        <w:rPr>
          <w:i/>
        </w:rPr>
      </w:pPr>
    </w:p>
    <w:sectPr w:rsidR="00EF07C4" w:rsidRPr="00820810" w:rsidSect="00B41027">
      <w:headerReference w:type="even" r:id="rId9"/>
      <w:headerReference w:type="default" r:id="rId10"/>
      <w:pgSz w:w="11906" w:h="16838"/>
      <w:pgMar w:top="993"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55" w:rsidRDefault="001F2355" w:rsidP="001775B8">
      <w:pPr>
        <w:spacing w:after="0" w:line="240" w:lineRule="auto"/>
      </w:pPr>
      <w:r>
        <w:separator/>
      </w:r>
    </w:p>
  </w:endnote>
  <w:endnote w:type="continuationSeparator" w:id="0">
    <w:p w:rsidR="001F2355" w:rsidRDefault="001F2355"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55" w:rsidRDefault="001F2355" w:rsidP="001775B8">
      <w:pPr>
        <w:spacing w:after="0" w:line="240" w:lineRule="auto"/>
      </w:pPr>
      <w:r>
        <w:separator/>
      </w:r>
    </w:p>
  </w:footnote>
  <w:footnote w:type="continuationSeparator" w:id="0">
    <w:p w:rsidR="001F2355" w:rsidRDefault="001F2355"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27" w:rsidRDefault="0089312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93127" w:rsidRDefault="00893127">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27" w:rsidRDefault="00893127" w:rsidP="003B61E6">
    <w:pPr>
      <w:pStyle w:val="af"/>
      <w:ind w:right="360"/>
      <w:jc w:val="center"/>
      <w:rPr>
        <w:rStyle w:val="af1"/>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585EBE">
      <w:rPr>
        <w:rStyle w:val="af1"/>
        <w:noProof/>
        <w:sz w:val="28"/>
        <w:szCs w:val="28"/>
      </w:rPr>
      <w:t>15</w:t>
    </w:r>
    <w:r w:rsidRPr="00455EE1">
      <w:rPr>
        <w:rStyle w:val="af1"/>
        <w:sz w:val="28"/>
        <w:szCs w:val="28"/>
      </w:rPr>
      <w:fldChar w:fldCharType="end"/>
    </w:r>
  </w:p>
  <w:p w:rsidR="00893127" w:rsidRPr="00B07D99" w:rsidRDefault="00893127" w:rsidP="003B61E6">
    <w:pPr>
      <w:pStyle w:val="af"/>
      <w:ind w:right="360"/>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65B092D"/>
    <w:multiLevelType w:val="multilevel"/>
    <w:tmpl w:val="49D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10"/>
  </w:num>
  <w:num w:numId="3">
    <w:abstractNumId w:val="8"/>
  </w:num>
  <w:num w:numId="4">
    <w:abstractNumId w:val="2"/>
  </w:num>
  <w:num w:numId="5">
    <w:abstractNumId w:val="7"/>
  </w:num>
  <w:num w:numId="6">
    <w:abstractNumId w:val="9"/>
  </w:num>
  <w:num w:numId="7">
    <w:abstractNumId w:val="3"/>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0529F"/>
    <w:rsid w:val="000122C7"/>
    <w:rsid w:val="0002328B"/>
    <w:rsid w:val="0003119F"/>
    <w:rsid w:val="00031E9F"/>
    <w:rsid w:val="0003506D"/>
    <w:rsid w:val="000377DB"/>
    <w:rsid w:val="000409CF"/>
    <w:rsid w:val="00041BFD"/>
    <w:rsid w:val="00042B63"/>
    <w:rsid w:val="000533E0"/>
    <w:rsid w:val="00054AAD"/>
    <w:rsid w:val="00060A58"/>
    <w:rsid w:val="00061613"/>
    <w:rsid w:val="00087044"/>
    <w:rsid w:val="00093132"/>
    <w:rsid w:val="000A1861"/>
    <w:rsid w:val="000B34CD"/>
    <w:rsid w:val="000B38A3"/>
    <w:rsid w:val="000B7D51"/>
    <w:rsid w:val="000C17C3"/>
    <w:rsid w:val="000C185A"/>
    <w:rsid w:val="000C2596"/>
    <w:rsid w:val="000C6886"/>
    <w:rsid w:val="000E1601"/>
    <w:rsid w:val="000E7591"/>
    <w:rsid w:val="001108DF"/>
    <w:rsid w:val="00112E3B"/>
    <w:rsid w:val="00114E9F"/>
    <w:rsid w:val="001179E6"/>
    <w:rsid w:val="001202AD"/>
    <w:rsid w:val="00123BAA"/>
    <w:rsid w:val="001246CD"/>
    <w:rsid w:val="00125A4C"/>
    <w:rsid w:val="001270D6"/>
    <w:rsid w:val="00131C2D"/>
    <w:rsid w:val="00133E00"/>
    <w:rsid w:val="001435BD"/>
    <w:rsid w:val="00153B15"/>
    <w:rsid w:val="00155AA0"/>
    <w:rsid w:val="00155B1D"/>
    <w:rsid w:val="001571FC"/>
    <w:rsid w:val="00160F1D"/>
    <w:rsid w:val="001775B8"/>
    <w:rsid w:val="00181DD5"/>
    <w:rsid w:val="0018716F"/>
    <w:rsid w:val="00191F16"/>
    <w:rsid w:val="001971CE"/>
    <w:rsid w:val="001978D1"/>
    <w:rsid w:val="001A0082"/>
    <w:rsid w:val="001A056E"/>
    <w:rsid w:val="001A29D3"/>
    <w:rsid w:val="001A4A8D"/>
    <w:rsid w:val="001A4C56"/>
    <w:rsid w:val="001B2903"/>
    <w:rsid w:val="001B55C6"/>
    <w:rsid w:val="001B6A81"/>
    <w:rsid w:val="001B7284"/>
    <w:rsid w:val="001C4E91"/>
    <w:rsid w:val="001C76F1"/>
    <w:rsid w:val="001D09D6"/>
    <w:rsid w:val="001D4A93"/>
    <w:rsid w:val="001D57C7"/>
    <w:rsid w:val="001D6AAE"/>
    <w:rsid w:val="001E123C"/>
    <w:rsid w:val="001E45BA"/>
    <w:rsid w:val="001E4892"/>
    <w:rsid w:val="001E76A3"/>
    <w:rsid w:val="001F12C4"/>
    <w:rsid w:val="001F2355"/>
    <w:rsid w:val="001F4BEC"/>
    <w:rsid w:val="001F7084"/>
    <w:rsid w:val="00200B21"/>
    <w:rsid w:val="002020A7"/>
    <w:rsid w:val="00207699"/>
    <w:rsid w:val="00212220"/>
    <w:rsid w:val="00214634"/>
    <w:rsid w:val="00217BA3"/>
    <w:rsid w:val="002219D6"/>
    <w:rsid w:val="00225DCA"/>
    <w:rsid w:val="002278C1"/>
    <w:rsid w:val="00234976"/>
    <w:rsid w:val="0024737A"/>
    <w:rsid w:val="002644AE"/>
    <w:rsid w:val="002651BB"/>
    <w:rsid w:val="00274A71"/>
    <w:rsid w:val="00276A8B"/>
    <w:rsid w:val="00276A8C"/>
    <w:rsid w:val="0027790E"/>
    <w:rsid w:val="0028123A"/>
    <w:rsid w:val="00282986"/>
    <w:rsid w:val="00287289"/>
    <w:rsid w:val="0029146A"/>
    <w:rsid w:val="00291993"/>
    <w:rsid w:val="002A0149"/>
    <w:rsid w:val="002A56BE"/>
    <w:rsid w:val="002A6EBF"/>
    <w:rsid w:val="002B11B6"/>
    <w:rsid w:val="002B2159"/>
    <w:rsid w:val="002B2CC1"/>
    <w:rsid w:val="002B493E"/>
    <w:rsid w:val="002C223A"/>
    <w:rsid w:val="002C2D27"/>
    <w:rsid w:val="002C7F8D"/>
    <w:rsid w:val="002D1850"/>
    <w:rsid w:val="002D2D69"/>
    <w:rsid w:val="002E1D60"/>
    <w:rsid w:val="002E452F"/>
    <w:rsid w:val="002E4CE2"/>
    <w:rsid w:val="002E61AA"/>
    <w:rsid w:val="002F01A4"/>
    <w:rsid w:val="002F32CA"/>
    <w:rsid w:val="002F55ED"/>
    <w:rsid w:val="00301D6B"/>
    <w:rsid w:val="0031391D"/>
    <w:rsid w:val="00313CEE"/>
    <w:rsid w:val="00326AF9"/>
    <w:rsid w:val="00326F84"/>
    <w:rsid w:val="00332476"/>
    <w:rsid w:val="003324E3"/>
    <w:rsid w:val="00340E8C"/>
    <w:rsid w:val="00345B32"/>
    <w:rsid w:val="00346840"/>
    <w:rsid w:val="003520AC"/>
    <w:rsid w:val="0036078A"/>
    <w:rsid w:val="00361295"/>
    <w:rsid w:val="0037091A"/>
    <w:rsid w:val="00374887"/>
    <w:rsid w:val="00376E6F"/>
    <w:rsid w:val="0039185D"/>
    <w:rsid w:val="00394F22"/>
    <w:rsid w:val="003957E7"/>
    <w:rsid w:val="00397EB8"/>
    <w:rsid w:val="003A5617"/>
    <w:rsid w:val="003A6DA5"/>
    <w:rsid w:val="003B586B"/>
    <w:rsid w:val="003B61E6"/>
    <w:rsid w:val="003B621E"/>
    <w:rsid w:val="003C1258"/>
    <w:rsid w:val="003D5660"/>
    <w:rsid w:val="003D5FED"/>
    <w:rsid w:val="003E73BF"/>
    <w:rsid w:val="003F42E6"/>
    <w:rsid w:val="00403134"/>
    <w:rsid w:val="00411530"/>
    <w:rsid w:val="00415225"/>
    <w:rsid w:val="00420AA2"/>
    <w:rsid w:val="00433D00"/>
    <w:rsid w:val="004379BF"/>
    <w:rsid w:val="00443793"/>
    <w:rsid w:val="004459FD"/>
    <w:rsid w:val="0044700E"/>
    <w:rsid w:val="00452387"/>
    <w:rsid w:val="0045281D"/>
    <w:rsid w:val="004603C6"/>
    <w:rsid w:val="004616D4"/>
    <w:rsid w:val="00472F55"/>
    <w:rsid w:val="00475B59"/>
    <w:rsid w:val="004767B8"/>
    <w:rsid w:val="004963D8"/>
    <w:rsid w:val="00497D48"/>
    <w:rsid w:val="004A118D"/>
    <w:rsid w:val="004A2B02"/>
    <w:rsid w:val="004A2EF0"/>
    <w:rsid w:val="004A35F4"/>
    <w:rsid w:val="004A605B"/>
    <w:rsid w:val="004B47DC"/>
    <w:rsid w:val="004B60E3"/>
    <w:rsid w:val="004C0D59"/>
    <w:rsid w:val="004C4F8E"/>
    <w:rsid w:val="004D467B"/>
    <w:rsid w:val="004E3486"/>
    <w:rsid w:val="004E7545"/>
    <w:rsid w:val="004F6B02"/>
    <w:rsid w:val="0050644D"/>
    <w:rsid w:val="005072B5"/>
    <w:rsid w:val="0051547A"/>
    <w:rsid w:val="00516C82"/>
    <w:rsid w:val="00520E77"/>
    <w:rsid w:val="0052181D"/>
    <w:rsid w:val="00537D13"/>
    <w:rsid w:val="0054473F"/>
    <w:rsid w:val="0055388D"/>
    <w:rsid w:val="00570453"/>
    <w:rsid w:val="00576F38"/>
    <w:rsid w:val="00580083"/>
    <w:rsid w:val="005805DC"/>
    <w:rsid w:val="00581750"/>
    <w:rsid w:val="00585EBE"/>
    <w:rsid w:val="00592E82"/>
    <w:rsid w:val="005960F0"/>
    <w:rsid w:val="00597608"/>
    <w:rsid w:val="005A3483"/>
    <w:rsid w:val="005B1602"/>
    <w:rsid w:val="005B1DAA"/>
    <w:rsid w:val="005C339F"/>
    <w:rsid w:val="005C7E19"/>
    <w:rsid w:val="005D0E8B"/>
    <w:rsid w:val="005D1867"/>
    <w:rsid w:val="005D22CE"/>
    <w:rsid w:val="005E447C"/>
    <w:rsid w:val="0060384C"/>
    <w:rsid w:val="0060499F"/>
    <w:rsid w:val="00614356"/>
    <w:rsid w:val="006171A8"/>
    <w:rsid w:val="00624432"/>
    <w:rsid w:val="006330DE"/>
    <w:rsid w:val="00637AC1"/>
    <w:rsid w:val="00641A31"/>
    <w:rsid w:val="00647B47"/>
    <w:rsid w:val="00654D85"/>
    <w:rsid w:val="0066382F"/>
    <w:rsid w:val="00672D37"/>
    <w:rsid w:val="00676379"/>
    <w:rsid w:val="00677415"/>
    <w:rsid w:val="00680BD9"/>
    <w:rsid w:val="0068318B"/>
    <w:rsid w:val="00684686"/>
    <w:rsid w:val="00684CAE"/>
    <w:rsid w:val="00684F94"/>
    <w:rsid w:val="00691CD1"/>
    <w:rsid w:val="00691F1C"/>
    <w:rsid w:val="00694270"/>
    <w:rsid w:val="00695F7E"/>
    <w:rsid w:val="00696A2F"/>
    <w:rsid w:val="006A16DF"/>
    <w:rsid w:val="006A3F4E"/>
    <w:rsid w:val="006A4426"/>
    <w:rsid w:val="006A5C01"/>
    <w:rsid w:val="006B00EF"/>
    <w:rsid w:val="006B1301"/>
    <w:rsid w:val="006C4CE6"/>
    <w:rsid w:val="006C68A5"/>
    <w:rsid w:val="006C7029"/>
    <w:rsid w:val="006D0A98"/>
    <w:rsid w:val="006D2A98"/>
    <w:rsid w:val="006D3877"/>
    <w:rsid w:val="006D5EE2"/>
    <w:rsid w:val="006E0363"/>
    <w:rsid w:val="006E0985"/>
    <w:rsid w:val="006E6C64"/>
    <w:rsid w:val="006F241E"/>
    <w:rsid w:val="006F5C0A"/>
    <w:rsid w:val="007028C5"/>
    <w:rsid w:val="00723F61"/>
    <w:rsid w:val="007436CA"/>
    <w:rsid w:val="007457D7"/>
    <w:rsid w:val="007465BB"/>
    <w:rsid w:val="00747CA1"/>
    <w:rsid w:val="00752ED7"/>
    <w:rsid w:val="0075409B"/>
    <w:rsid w:val="00762BE3"/>
    <w:rsid w:val="00763CE1"/>
    <w:rsid w:val="00764DB2"/>
    <w:rsid w:val="00783291"/>
    <w:rsid w:val="00792EC7"/>
    <w:rsid w:val="00793AC3"/>
    <w:rsid w:val="00795962"/>
    <w:rsid w:val="007971DF"/>
    <w:rsid w:val="007A0571"/>
    <w:rsid w:val="007A15C0"/>
    <w:rsid w:val="007B111E"/>
    <w:rsid w:val="007C0FB4"/>
    <w:rsid w:val="007C4749"/>
    <w:rsid w:val="007C554B"/>
    <w:rsid w:val="007D3373"/>
    <w:rsid w:val="007D3AB0"/>
    <w:rsid w:val="007D658A"/>
    <w:rsid w:val="007D6EBA"/>
    <w:rsid w:val="007D76FD"/>
    <w:rsid w:val="007E0543"/>
    <w:rsid w:val="007E2964"/>
    <w:rsid w:val="007E3D24"/>
    <w:rsid w:val="007E4568"/>
    <w:rsid w:val="007E51F2"/>
    <w:rsid w:val="007E63D1"/>
    <w:rsid w:val="007F7AB5"/>
    <w:rsid w:val="007F7D78"/>
    <w:rsid w:val="00807D8D"/>
    <w:rsid w:val="00813556"/>
    <w:rsid w:val="00820810"/>
    <w:rsid w:val="00820C60"/>
    <w:rsid w:val="008223EA"/>
    <w:rsid w:val="00822EF0"/>
    <w:rsid w:val="00823DBC"/>
    <w:rsid w:val="0082657C"/>
    <w:rsid w:val="00834C3E"/>
    <w:rsid w:val="00846AAD"/>
    <w:rsid w:val="00847CFE"/>
    <w:rsid w:val="00854F16"/>
    <w:rsid w:val="00864D50"/>
    <w:rsid w:val="00870F8B"/>
    <w:rsid w:val="00874ED5"/>
    <w:rsid w:val="00881701"/>
    <w:rsid w:val="008826B1"/>
    <w:rsid w:val="00893127"/>
    <w:rsid w:val="0089368A"/>
    <w:rsid w:val="00897116"/>
    <w:rsid w:val="0089757A"/>
    <w:rsid w:val="008A58CF"/>
    <w:rsid w:val="008B055D"/>
    <w:rsid w:val="008C3A18"/>
    <w:rsid w:val="008C6FC7"/>
    <w:rsid w:val="008E09BA"/>
    <w:rsid w:val="008E41C1"/>
    <w:rsid w:val="008E49E2"/>
    <w:rsid w:val="008F3573"/>
    <w:rsid w:val="008F37BD"/>
    <w:rsid w:val="008F4575"/>
    <w:rsid w:val="008F6F04"/>
    <w:rsid w:val="00902EB5"/>
    <w:rsid w:val="009063FC"/>
    <w:rsid w:val="009151D3"/>
    <w:rsid w:val="00915DFD"/>
    <w:rsid w:val="00916792"/>
    <w:rsid w:val="009169B9"/>
    <w:rsid w:val="00930587"/>
    <w:rsid w:val="00935B66"/>
    <w:rsid w:val="00950103"/>
    <w:rsid w:val="0095068B"/>
    <w:rsid w:val="009554AC"/>
    <w:rsid w:val="009714B1"/>
    <w:rsid w:val="0097498C"/>
    <w:rsid w:val="00977047"/>
    <w:rsid w:val="009946D0"/>
    <w:rsid w:val="00997359"/>
    <w:rsid w:val="00997C38"/>
    <w:rsid w:val="009A4DA0"/>
    <w:rsid w:val="009A6968"/>
    <w:rsid w:val="009B0236"/>
    <w:rsid w:val="009B0D5D"/>
    <w:rsid w:val="009B1FE1"/>
    <w:rsid w:val="009B432B"/>
    <w:rsid w:val="009B4D41"/>
    <w:rsid w:val="009B4F2F"/>
    <w:rsid w:val="009D1562"/>
    <w:rsid w:val="009D5CB1"/>
    <w:rsid w:val="009D755D"/>
    <w:rsid w:val="009E04A7"/>
    <w:rsid w:val="009F709F"/>
    <w:rsid w:val="00A008B7"/>
    <w:rsid w:val="00A02195"/>
    <w:rsid w:val="00A1016B"/>
    <w:rsid w:val="00A14BC0"/>
    <w:rsid w:val="00A22640"/>
    <w:rsid w:val="00A41EDA"/>
    <w:rsid w:val="00A607A5"/>
    <w:rsid w:val="00A618FD"/>
    <w:rsid w:val="00A70E35"/>
    <w:rsid w:val="00A716FE"/>
    <w:rsid w:val="00AA6559"/>
    <w:rsid w:val="00AB12EC"/>
    <w:rsid w:val="00AB35C1"/>
    <w:rsid w:val="00AB3F27"/>
    <w:rsid w:val="00AD2D98"/>
    <w:rsid w:val="00AE2F4B"/>
    <w:rsid w:val="00B01F8C"/>
    <w:rsid w:val="00B04002"/>
    <w:rsid w:val="00B0461A"/>
    <w:rsid w:val="00B064CD"/>
    <w:rsid w:val="00B07D99"/>
    <w:rsid w:val="00B12D64"/>
    <w:rsid w:val="00B12FC7"/>
    <w:rsid w:val="00B14656"/>
    <w:rsid w:val="00B17C59"/>
    <w:rsid w:val="00B222A2"/>
    <w:rsid w:val="00B27514"/>
    <w:rsid w:val="00B37154"/>
    <w:rsid w:val="00B37886"/>
    <w:rsid w:val="00B41027"/>
    <w:rsid w:val="00B513AF"/>
    <w:rsid w:val="00B55C5A"/>
    <w:rsid w:val="00B5661F"/>
    <w:rsid w:val="00B60C15"/>
    <w:rsid w:val="00B63278"/>
    <w:rsid w:val="00B64133"/>
    <w:rsid w:val="00B64566"/>
    <w:rsid w:val="00B75066"/>
    <w:rsid w:val="00B82BB9"/>
    <w:rsid w:val="00B9113E"/>
    <w:rsid w:val="00B93BB7"/>
    <w:rsid w:val="00B976BA"/>
    <w:rsid w:val="00BB7E92"/>
    <w:rsid w:val="00BD4A06"/>
    <w:rsid w:val="00BE4901"/>
    <w:rsid w:val="00C1006D"/>
    <w:rsid w:val="00C11AC1"/>
    <w:rsid w:val="00C428A8"/>
    <w:rsid w:val="00C43A2B"/>
    <w:rsid w:val="00C452C8"/>
    <w:rsid w:val="00C4679D"/>
    <w:rsid w:val="00C47044"/>
    <w:rsid w:val="00C5015B"/>
    <w:rsid w:val="00C541C7"/>
    <w:rsid w:val="00C57933"/>
    <w:rsid w:val="00C6134E"/>
    <w:rsid w:val="00C617A8"/>
    <w:rsid w:val="00C63901"/>
    <w:rsid w:val="00C639A4"/>
    <w:rsid w:val="00C71DC8"/>
    <w:rsid w:val="00C852C4"/>
    <w:rsid w:val="00C87050"/>
    <w:rsid w:val="00C90553"/>
    <w:rsid w:val="00C9367F"/>
    <w:rsid w:val="00C962B4"/>
    <w:rsid w:val="00CB39BA"/>
    <w:rsid w:val="00CB4451"/>
    <w:rsid w:val="00CC2B44"/>
    <w:rsid w:val="00CD55D8"/>
    <w:rsid w:val="00CE1D43"/>
    <w:rsid w:val="00CE4244"/>
    <w:rsid w:val="00D00C11"/>
    <w:rsid w:val="00D035E1"/>
    <w:rsid w:val="00D12BCB"/>
    <w:rsid w:val="00D13707"/>
    <w:rsid w:val="00D178BC"/>
    <w:rsid w:val="00D37FAA"/>
    <w:rsid w:val="00D450D1"/>
    <w:rsid w:val="00D51970"/>
    <w:rsid w:val="00D53900"/>
    <w:rsid w:val="00D53F04"/>
    <w:rsid w:val="00D75069"/>
    <w:rsid w:val="00D7637F"/>
    <w:rsid w:val="00D76FDA"/>
    <w:rsid w:val="00D8305D"/>
    <w:rsid w:val="00D850BB"/>
    <w:rsid w:val="00D85C28"/>
    <w:rsid w:val="00D860C9"/>
    <w:rsid w:val="00D908F8"/>
    <w:rsid w:val="00D92977"/>
    <w:rsid w:val="00D95B24"/>
    <w:rsid w:val="00D96CA7"/>
    <w:rsid w:val="00DB0BF1"/>
    <w:rsid w:val="00DB2000"/>
    <w:rsid w:val="00DC04CD"/>
    <w:rsid w:val="00DC5086"/>
    <w:rsid w:val="00DC5597"/>
    <w:rsid w:val="00DD19A6"/>
    <w:rsid w:val="00DD4C13"/>
    <w:rsid w:val="00DD54A9"/>
    <w:rsid w:val="00DD5ADE"/>
    <w:rsid w:val="00DF2EF5"/>
    <w:rsid w:val="00E02DD0"/>
    <w:rsid w:val="00E03E66"/>
    <w:rsid w:val="00E05F94"/>
    <w:rsid w:val="00E12F04"/>
    <w:rsid w:val="00E21CA5"/>
    <w:rsid w:val="00E358CC"/>
    <w:rsid w:val="00E4006E"/>
    <w:rsid w:val="00E42933"/>
    <w:rsid w:val="00E44E4A"/>
    <w:rsid w:val="00E51DDE"/>
    <w:rsid w:val="00E62F4C"/>
    <w:rsid w:val="00E64C74"/>
    <w:rsid w:val="00E654AD"/>
    <w:rsid w:val="00E74B84"/>
    <w:rsid w:val="00E90052"/>
    <w:rsid w:val="00E9302A"/>
    <w:rsid w:val="00EA146B"/>
    <w:rsid w:val="00EB2B57"/>
    <w:rsid w:val="00EB6EB5"/>
    <w:rsid w:val="00EB6EC8"/>
    <w:rsid w:val="00ED2B1A"/>
    <w:rsid w:val="00ED5A1D"/>
    <w:rsid w:val="00ED7A05"/>
    <w:rsid w:val="00EE3432"/>
    <w:rsid w:val="00EF07C4"/>
    <w:rsid w:val="00EF1D55"/>
    <w:rsid w:val="00EF3149"/>
    <w:rsid w:val="00F14B38"/>
    <w:rsid w:val="00F24062"/>
    <w:rsid w:val="00F3698D"/>
    <w:rsid w:val="00F37C41"/>
    <w:rsid w:val="00F4032E"/>
    <w:rsid w:val="00F47916"/>
    <w:rsid w:val="00F63467"/>
    <w:rsid w:val="00F724C8"/>
    <w:rsid w:val="00F7630E"/>
    <w:rsid w:val="00F81A8B"/>
    <w:rsid w:val="00F82AAC"/>
    <w:rsid w:val="00F95D8B"/>
    <w:rsid w:val="00F9784C"/>
    <w:rsid w:val="00F97ED1"/>
    <w:rsid w:val="00FA0A56"/>
    <w:rsid w:val="00FA5BD8"/>
    <w:rsid w:val="00FA7668"/>
    <w:rsid w:val="00FC6742"/>
    <w:rsid w:val="00FE2566"/>
    <w:rsid w:val="00FE735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 w:id="8794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75EF-AD85-4D32-928B-F29CFF5A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15</Pages>
  <Words>3706</Words>
  <Characters>21130</Characters>
  <Application>Microsoft Office Word</Application>
  <DocSecurity>0</DocSecurity>
  <Lines>176</Lines>
  <Paragraphs>49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Radchenko</cp:lastModifiedBy>
  <cp:revision>38</cp:revision>
  <cp:lastPrinted>2022-12-05T09:36:00Z</cp:lastPrinted>
  <dcterms:created xsi:type="dcterms:W3CDTF">2021-08-05T08:15:00Z</dcterms:created>
  <dcterms:modified xsi:type="dcterms:W3CDTF">2022-12-05T09:38:00Z</dcterms:modified>
</cp:coreProperties>
</file>