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E7" w:rsidRPr="00F21F78" w:rsidRDefault="00CA26E7" w:rsidP="00CA26E7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Додаток 4</w:t>
      </w:r>
    </w:p>
    <w:p w:rsidR="00CA26E7" w:rsidRPr="00FF0154" w:rsidRDefault="00CA26E7" w:rsidP="00CA26E7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>щодо вимог до екодизайну для твердопаливних котлів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CA26E7" w:rsidRDefault="00CA26E7" w:rsidP="00CA26E7">
      <w:pPr>
        <w:shd w:val="clear" w:color="auto" w:fill="FFFFFF"/>
        <w:spacing w:before="120" w:after="120" w:line="312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26E7" w:rsidRDefault="00CA26E7" w:rsidP="00CA26E7">
      <w:pPr>
        <w:shd w:val="clear" w:color="auto" w:fill="FFFFFF"/>
        <w:spacing w:before="120" w:after="120" w:line="312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07C2">
        <w:rPr>
          <w:rFonts w:ascii="Times New Roman" w:hAnsi="Times New Roman" w:cs="Times New Roman"/>
          <w:b/>
          <w:sz w:val="28"/>
          <w:szCs w:val="28"/>
          <w:lang w:val="uk-UA"/>
        </w:rPr>
        <w:t>Процедура верифікації для цілей ринкового нагляду</w:t>
      </w:r>
    </w:p>
    <w:p w:rsidR="0005432E" w:rsidRPr="00D6471A" w:rsidRDefault="0005432E" w:rsidP="00D6471A">
      <w:pPr>
        <w:shd w:val="clear" w:color="auto" w:fill="FFFFFF"/>
        <w:spacing w:before="100" w:beforeAutospacing="1" w:after="100" w:afterAutospacing="1" w:line="332" w:lineRule="atLeast"/>
        <w:ind w:firstLine="567"/>
        <w:jc w:val="both"/>
        <w:rPr>
          <w:rFonts w:ascii="Arial" w:eastAsia="Times New Roman" w:hAnsi="Arial" w:cs="Arial"/>
          <w:color w:val="000000"/>
          <w:lang w:val="uk-UA"/>
        </w:rPr>
      </w:pPr>
      <w:r w:rsidRPr="000F4C70">
        <w:rPr>
          <w:rFonts w:ascii="Times New Roman" w:hAnsi="Times New Roman" w:cs="Times New Roman"/>
          <w:sz w:val="28"/>
          <w:szCs w:val="28"/>
          <w:lang w:val="uk-UA"/>
        </w:rPr>
        <w:t xml:space="preserve">При здійсненні перевірок у цілях ринкового нагляду, вказаних у </w:t>
      </w:r>
      <w:r w:rsidR="004407C2">
        <w:rPr>
          <w:rFonts w:ascii="Times New Roman" w:hAnsi="Times New Roman" w:cs="Times New Roman"/>
          <w:sz w:val="28"/>
          <w:szCs w:val="28"/>
          <w:lang w:val="uk-UA"/>
        </w:rPr>
        <w:t>пункті </w:t>
      </w:r>
      <w:r w:rsidR="003B518C" w:rsidRPr="00D6471A"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 w:rsidR="000F4C70" w:rsidRPr="00D647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Технічного регламенту щодо встановлення системи для визначення вимог з екодизайну енергоспоживчих продуктів</w:t>
      </w:r>
      <w:r w:rsidR="00D6471A" w:rsidRPr="00D647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691D86" w:rsidRPr="00D6471A">
        <w:rPr>
          <w:rFonts w:ascii="Times New Roman" w:hAnsi="Times New Roman" w:cs="Times New Roman"/>
          <w:sz w:val="28"/>
          <w:szCs w:val="28"/>
          <w:lang w:val="uk-UA"/>
        </w:rPr>
        <w:t xml:space="preserve"> затвер</w:t>
      </w:r>
      <w:r w:rsidR="00D6471A" w:rsidRPr="00D6471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91D86" w:rsidRPr="00D6471A">
        <w:rPr>
          <w:rFonts w:ascii="Times New Roman" w:hAnsi="Times New Roman" w:cs="Times New Roman"/>
          <w:sz w:val="28"/>
          <w:szCs w:val="28"/>
          <w:lang w:val="uk-UA"/>
        </w:rPr>
        <w:t>жено</w:t>
      </w:r>
      <w:r w:rsidR="00D6471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D6471A" w:rsidRPr="00D6471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691D86" w:rsidRPr="00D6471A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D6471A" w:rsidRPr="00D6471A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691D86" w:rsidRPr="00D6471A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03 жовтня 2018 року № 804 </w:t>
      </w:r>
      <w:r w:rsidR="00691D86" w:rsidRPr="00D647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(</w:t>
      </w:r>
      <w:r w:rsidR="00D6471A" w:rsidRPr="00D647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Офіційний вісник України,</w:t>
      </w:r>
      <w:r w:rsidR="00D6471A" w:rsidRPr="00D6471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6471A" w:rsidRPr="00D6471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2018 р., № 80, ст</w:t>
      </w:r>
      <w:r w:rsidR="00A80A3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D6471A" w:rsidRPr="00D6471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2678</w:t>
      </w:r>
      <w:r w:rsidR="00691D86" w:rsidRPr="00D647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)</w:t>
      </w:r>
      <w:r w:rsidRPr="00D6471A">
        <w:rPr>
          <w:rFonts w:ascii="Times New Roman" w:hAnsi="Times New Roman" w:cs="Times New Roman"/>
          <w:sz w:val="28"/>
          <w:szCs w:val="28"/>
          <w:lang w:val="uk-UA"/>
        </w:rPr>
        <w:t>, органи держав</w:t>
      </w:r>
      <w:r w:rsidR="003B518C" w:rsidRPr="00D6471A">
        <w:rPr>
          <w:rFonts w:ascii="Times New Roman" w:hAnsi="Times New Roman" w:cs="Times New Roman"/>
          <w:sz w:val="28"/>
          <w:szCs w:val="28"/>
          <w:lang w:val="uk-UA"/>
        </w:rPr>
        <w:t>ного ринкового нагляду</w:t>
      </w:r>
      <w:r w:rsidRPr="00D6471A">
        <w:rPr>
          <w:rFonts w:ascii="Times New Roman" w:hAnsi="Times New Roman" w:cs="Times New Roman"/>
          <w:sz w:val="28"/>
          <w:szCs w:val="28"/>
          <w:lang w:val="uk-UA"/>
        </w:rPr>
        <w:t xml:space="preserve"> повинні застосовувати зазначену нижче процедуру верифікації відповідності вимогам, визначеним у додатку </w:t>
      </w:r>
      <w:r w:rsidR="000F4C70" w:rsidRPr="00D6471A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E66329" w:rsidRPr="00D6471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0F4C70" w:rsidRPr="00D6471A">
        <w:rPr>
          <w:rFonts w:ascii="Times New Roman" w:hAnsi="Times New Roman" w:cs="Times New Roman"/>
          <w:sz w:val="28"/>
          <w:szCs w:val="28"/>
          <w:lang w:val="uk-UA"/>
        </w:rPr>
        <w:t>цього Технічного регламенту</w:t>
      </w:r>
      <w:r w:rsidRPr="00D647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432E" w:rsidRDefault="001406F6" w:rsidP="001406F6">
      <w:pPr>
        <w:shd w:val="clear" w:color="auto" w:fill="FFFFFF"/>
        <w:spacing w:before="120" w:after="12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07C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407C2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>ргани державного ринкового нагляду проводять випробування одного зразка кожної моделі.</w:t>
      </w:r>
      <w:r w:rsidR="00E66329" w:rsidRPr="00E66329">
        <w:t xml:space="preserve"> </w:t>
      </w:r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>Зразок випробовують на один чи більше видів палива з характеристиками в такому ж діапазоні, як і у виду(</w:t>
      </w:r>
      <w:proofErr w:type="spellStart"/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>) палива, використаних виробником для проведення вимірювань згідно з додатком</w:t>
      </w:r>
      <w:r w:rsidR="00E66329">
        <w:rPr>
          <w:rFonts w:ascii="Times New Roman" w:hAnsi="Times New Roman" w:cs="Times New Roman"/>
          <w:sz w:val="28"/>
          <w:szCs w:val="28"/>
          <w:lang w:val="uk-UA"/>
        </w:rPr>
        <w:t> 3 до цього Технічного регламенту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6329" w:rsidRDefault="001406F6" w:rsidP="001406F6">
      <w:pPr>
        <w:shd w:val="clear" w:color="auto" w:fill="FFFFFF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407C2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>одель вважають такою, що відповідає застосов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 xml:space="preserve">ним </w:t>
      </w:r>
      <w:r w:rsidR="00E66329">
        <w:rPr>
          <w:rFonts w:ascii="Times New Roman" w:hAnsi="Times New Roman" w:cs="Times New Roman"/>
          <w:sz w:val="28"/>
          <w:szCs w:val="28"/>
          <w:lang w:val="uk-UA"/>
        </w:rPr>
        <w:t>вимогам, визначеним у додатку 2</w:t>
      </w:r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 xml:space="preserve"> до цього </w:t>
      </w:r>
      <w:r w:rsidR="00E66329">
        <w:rPr>
          <w:rFonts w:ascii="Times New Roman" w:hAnsi="Times New Roman" w:cs="Times New Roman"/>
          <w:sz w:val="28"/>
          <w:szCs w:val="28"/>
          <w:lang w:val="uk-UA"/>
        </w:rPr>
        <w:t>Технічного р</w:t>
      </w:r>
      <w:r w:rsidR="00E66329" w:rsidRPr="00E66329">
        <w:rPr>
          <w:rFonts w:ascii="Times New Roman" w:hAnsi="Times New Roman" w:cs="Times New Roman"/>
          <w:sz w:val="28"/>
          <w:szCs w:val="28"/>
          <w:lang w:val="uk-UA"/>
        </w:rPr>
        <w:t>егламенту, якщо:</w:t>
      </w:r>
    </w:p>
    <w:p w:rsidR="00E66329" w:rsidRPr="001406F6" w:rsidRDefault="004407C2" w:rsidP="004407C2">
      <w:pPr>
        <w:shd w:val="clear" w:color="auto" w:fill="FFFFFF"/>
        <w:spacing w:before="120"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 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 xml:space="preserve">значення, вказані в технічній документації, відповідають 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 xml:space="preserve">вимогам, визначеним у додатку 2 до </w:t>
      </w:r>
      <w:r w:rsidR="001406F6" w:rsidRPr="00E66329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>Технічного р</w:t>
      </w:r>
      <w:r w:rsidR="001406F6" w:rsidRPr="00E66329">
        <w:rPr>
          <w:rFonts w:ascii="Times New Roman" w:hAnsi="Times New Roman" w:cs="Times New Roman"/>
          <w:sz w:val="28"/>
          <w:szCs w:val="28"/>
          <w:lang w:val="uk-UA"/>
        </w:rPr>
        <w:t>егламенту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406F6" w:rsidRDefault="004407C2" w:rsidP="001406F6">
      <w:pPr>
        <w:shd w:val="clear" w:color="auto" w:fill="FFFFFF"/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 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випробування параметрів моделі, перелічених у таблиці 2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, демонструє відповід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>ність за всіма цими параметрами.</w:t>
      </w:r>
    </w:p>
    <w:p w:rsidR="001406F6" w:rsidRDefault="004407C2" w:rsidP="001406F6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кщо результату, вказаного в пункті 2(а)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, не досягнуто, модель та всі інші рівноцінні моделі вважають такими</w:t>
      </w:r>
      <w:bookmarkStart w:id="0" w:name="_GoBack"/>
      <w:bookmarkEnd w:id="0"/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, що не ві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>дповідають цьому Технічному р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егламенту. Якщо результату, вказ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>аного в пункті 2(б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406F6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1406F6" w:rsidRPr="001406F6">
        <w:rPr>
          <w:rFonts w:ascii="Times New Roman" w:hAnsi="Times New Roman" w:cs="Times New Roman"/>
          <w:sz w:val="28"/>
          <w:szCs w:val="28"/>
          <w:lang w:val="uk-UA"/>
        </w:rPr>
        <w:t>, не досягнуто, органи державного ринкового нагляду довільно вибирають три додаткові зразки цієї ж моделі для тестування. Як альтернатива, три додаткові вибрані зразки можуть бути однієї чи декількох рівноцінних моделей, перелічених як еквівалентні продукти в технічній документації виробника.</w:t>
      </w:r>
    </w:p>
    <w:p w:rsidR="001406F6" w:rsidRDefault="004407C2" w:rsidP="001406F6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>Модель вважають такою, що відповідає застосовним вимогам, визначеним у додатку</w:t>
      </w:r>
      <w:r w:rsidR="007010CA" w:rsidRPr="007010CA">
        <w:rPr>
          <w:rFonts w:ascii="Times New Roman" w:hAnsi="Times New Roman" w:cs="Times New Roman"/>
          <w:sz w:val="28"/>
          <w:szCs w:val="28"/>
        </w:rPr>
        <w:t> </w:t>
      </w:r>
      <w:r w:rsidR="007010C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 xml:space="preserve"> до цього </w:t>
      </w:r>
      <w:r w:rsidR="007010CA">
        <w:rPr>
          <w:rFonts w:ascii="Times New Roman" w:hAnsi="Times New Roman" w:cs="Times New Roman"/>
          <w:sz w:val="28"/>
          <w:szCs w:val="28"/>
          <w:lang w:val="uk-UA"/>
        </w:rPr>
        <w:t>Технічного р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>егламенту, якщо випробування параметрів моделі, перелічених у таблиці</w:t>
      </w:r>
      <w:r w:rsidR="007010CA" w:rsidRPr="007010CA">
        <w:rPr>
          <w:rFonts w:ascii="Times New Roman" w:hAnsi="Times New Roman" w:cs="Times New Roman"/>
          <w:sz w:val="28"/>
          <w:szCs w:val="28"/>
        </w:rPr>
        <w:t> 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10CA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>, демонструє відповідність за усіма цими параметрами.</w:t>
      </w:r>
    </w:p>
    <w:p w:rsidR="007010CA" w:rsidRPr="007010CA" w:rsidRDefault="004407C2" w:rsidP="001406F6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>Якщо результатів, вказаних у пункті 4</w:t>
      </w:r>
      <w:r w:rsidR="007010CA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 xml:space="preserve">, не досягнуто, модель та всі інші рівноцінні моделі вважають такими, що не відповідають цьому </w:t>
      </w:r>
      <w:r w:rsidR="007010CA">
        <w:rPr>
          <w:rFonts w:ascii="Times New Roman" w:hAnsi="Times New Roman" w:cs="Times New Roman"/>
          <w:sz w:val="28"/>
          <w:szCs w:val="28"/>
          <w:lang w:val="uk-UA"/>
        </w:rPr>
        <w:t>Технічному р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t xml:space="preserve">егламенту. Органи державного ринкового нагляду </w:t>
      </w:r>
      <w:r w:rsidR="007010CA" w:rsidRPr="007010CA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повинні надати результати випробувань та іншу відповідну інформацію впродовж одного місяця з моменту ухвалення ріше</w:t>
      </w:r>
      <w:r>
        <w:rPr>
          <w:rFonts w:ascii="Times New Roman" w:hAnsi="Times New Roman" w:cs="Times New Roman"/>
          <w:sz w:val="28"/>
          <w:szCs w:val="28"/>
          <w:lang w:val="uk-UA"/>
        </w:rPr>
        <w:t>ння про невідповідність моделі.</w:t>
      </w:r>
    </w:p>
    <w:p w:rsidR="007010CA" w:rsidRPr="007010CA" w:rsidRDefault="007010CA" w:rsidP="001406F6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10CA">
        <w:rPr>
          <w:rFonts w:ascii="Times New Roman" w:hAnsi="Times New Roman" w:cs="Times New Roman"/>
          <w:sz w:val="28"/>
          <w:szCs w:val="28"/>
          <w:lang w:val="uk-UA"/>
        </w:rPr>
        <w:t>Органи державного ринкового нагляду використовують методи вимірю</w:t>
      </w:r>
      <w:r w:rsidR="004407C2">
        <w:rPr>
          <w:rFonts w:ascii="Times New Roman" w:hAnsi="Times New Roman" w:cs="Times New Roman"/>
          <w:sz w:val="28"/>
          <w:szCs w:val="28"/>
          <w:lang w:val="uk-UA"/>
        </w:rPr>
        <w:t>вання та розрахунку, визначені у</w:t>
      </w:r>
      <w:r w:rsidRPr="007010CA">
        <w:rPr>
          <w:rFonts w:ascii="Times New Roman" w:hAnsi="Times New Roman" w:cs="Times New Roman"/>
          <w:sz w:val="28"/>
          <w:szCs w:val="28"/>
          <w:lang w:val="uk-UA"/>
        </w:rPr>
        <w:t xml:space="preserve"> додатку </w:t>
      </w:r>
      <w:r>
        <w:rPr>
          <w:rFonts w:ascii="Times New Roman" w:hAnsi="Times New Roman" w:cs="Times New Roman"/>
          <w:sz w:val="28"/>
          <w:szCs w:val="28"/>
          <w:lang w:val="uk-UA"/>
        </w:rPr>
        <w:t>3 до цього Технічного регламенту</w:t>
      </w:r>
      <w:r w:rsidRPr="007010CA">
        <w:rPr>
          <w:rFonts w:ascii="Times New Roman" w:hAnsi="Times New Roman" w:cs="Times New Roman"/>
          <w:sz w:val="28"/>
          <w:szCs w:val="28"/>
          <w:lang w:val="uk-UA"/>
        </w:rPr>
        <w:t>. Допустимі відхилення для цілей верифікації, визначені в цьому додатку, стосуються лише верифікації виміряних параметрів з боку органів державного ринкового нагляду та не повинні бути використані виробником чи імпортером як дозволене допустиме відхилення для встановлення значень в технічній документації.</w:t>
      </w:r>
    </w:p>
    <w:p w:rsidR="00BB2BD7" w:rsidRPr="007010CA" w:rsidRDefault="00BB2BD7" w:rsidP="007010CA">
      <w:pPr>
        <w:shd w:val="clear" w:color="auto" w:fill="FFFFFF"/>
        <w:spacing w:before="120" w:after="0" w:line="312" w:lineRule="atLeast"/>
        <w:jc w:val="both"/>
        <w:rPr>
          <w:rFonts w:ascii="Arial Unicode MS" w:eastAsia="Arial Unicode MS" w:hAnsi="Arial Unicode MS" w:cs="Arial Unicode MS"/>
          <w:color w:val="444444"/>
          <w:sz w:val="21"/>
          <w:szCs w:val="21"/>
          <w:lang w:val="uk-UA"/>
        </w:rPr>
      </w:pPr>
    </w:p>
    <w:p w:rsidR="00BB2BD7" w:rsidRPr="007010CA" w:rsidRDefault="00BB2BD7" w:rsidP="007010CA">
      <w:pPr>
        <w:shd w:val="clear" w:color="auto" w:fill="FFFFFF"/>
        <w:spacing w:after="120" w:line="312" w:lineRule="atLeast"/>
        <w:jc w:val="right"/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</w:pPr>
      <w:r w:rsidRPr="007010CA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uk-UA"/>
        </w:rPr>
        <w:t>Таблиця 2</w:t>
      </w:r>
    </w:p>
    <w:tbl>
      <w:tblPr>
        <w:tblW w:w="95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89"/>
        <w:gridCol w:w="5839"/>
      </w:tblGrid>
      <w:tr w:rsidR="00BB2BD7" w:rsidRPr="007010CA" w:rsidTr="00CB79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BB2BD7">
            <w:pPr>
              <w:spacing w:before="60" w:after="60" w:line="312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Параметри</w:t>
            </w: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7010CA" w:rsidP="00BB2BD7">
            <w:pPr>
              <w:spacing w:before="60" w:after="60" w:line="312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010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Допустимі відхилення для цілей верифікації</w:t>
            </w:r>
          </w:p>
        </w:tc>
      </w:tr>
      <w:tr w:rsidR="00BB2BD7" w:rsidRPr="007010CA" w:rsidTr="00CB79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CB79FB" w:rsidRDefault="00BB2BD7" w:rsidP="007010CA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Сезонна енергоефективність </w:t>
            </w:r>
            <w:r w:rsid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обігріву</w:t>
            </w: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приміщен</w:t>
            </w:r>
            <w:r w:rsid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 </w:t>
            </w:r>
            <w:r w:rsidRPr="00CB79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η </w:t>
            </w:r>
            <w:r w:rsidR="00CB79FB" w:rsidRPr="00CB79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s</w:t>
            </w: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CB79FB" w:rsidP="00CB79FB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Визначене</w:t>
            </w:r>
            <w:r w:rsidR="00BB2BD7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07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значення</w:t>
            </w:r>
            <w:r w:rsidRPr="004407C2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</w:t>
            </w:r>
            <w:hyperlink r:id="rId8" w:anchor="ntr1-L_2015193EN.01011301-E0001" w:history="1">
              <w:r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(</w:t>
              </w:r>
              <w:r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Pr="004407C2">
                <w:rPr>
                  <w:rStyle w:val="super"/>
                  <w:rFonts w:ascii="Times New Roman" w:hAnsi="Times New Roman" w:cs="Times New Roman"/>
                  <w:sz w:val="28"/>
                  <w:szCs w:val="28"/>
                  <w:shd w:val="clear" w:color="auto" w:fill="FFFFFF"/>
                  <w:vertAlign w:val="superscript"/>
                </w:rPr>
                <w:t>1</w:t>
              </w:r>
              <w:r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)</w:t>
              </w:r>
            </w:hyperlink>
            <w:r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BB2BD7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більше</w:t>
            </w:r>
            <w:r w:rsidR="00BB2BD7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ніж на 4%.</w:t>
            </w:r>
            <w:r w:rsidR="00BB2BD7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нижче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заявлене для</w:t>
            </w:r>
            <w:r w:rsidR="00BB2BD7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зразка значення.</w:t>
            </w:r>
          </w:p>
        </w:tc>
      </w:tr>
      <w:tr w:rsidR="00BB2BD7" w:rsidRPr="007010CA" w:rsidTr="00CB79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CB79FB" w:rsidP="007010CA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Викиди твердих част</w:t>
            </w:r>
            <w:r w:rsidR="00BB2BD7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</w:t>
            </w: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CB79FB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Визначене </w:t>
            </w:r>
            <w:r w:rsidRPr="004407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значення</w:t>
            </w:r>
            <w:r w:rsidR="00CB79FB" w:rsidRPr="004407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9" w:anchor="ntr1-L_2015193EN.01011301-E0001" w:history="1">
              <w:r w:rsidR="00CB79FB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(</w:t>
              </w:r>
              <w:r w:rsidR="00CB79FB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CB79FB" w:rsidRPr="004407C2">
                <w:rPr>
                  <w:rStyle w:val="super"/>
                  <w:rFonts w:ascii="Times New Roman" w:hAnsi="Times New Roman" w:cs="Times New Roman"/>
                  <w:sz w:val="28"/>
                  <w:szCs w:val="28"/>
                  <w:shd w:val="clear" w:color="auto" w:fill="FFFFFF"/>
                  <w:vertAlign w:val="superscript"/>
                </w:rPr>
                <w:t>1</w:t>
              </w:r>
              <w:r w:rsidR="00CB79FB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CB79FB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)</w:t>
              </w:r>
            </w:hyperlink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не </w:t>
            </w:r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більше ніж на 9 мг/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 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B79FB" w:rsidRPr="00CB79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вище за заявлене для зразка значення.</w:t>
            </w:r>
          </w:p>
        </w:tc>
      </w:tr>
      <w:tr w:rsidR="00BB2BD7" w:rsidRPr="007010CA" w:rsidTr="00CB79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CB79FB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Викиди газоподібних 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органічних </w:t>
            </w:r>
            <w:proofErr w:type="spellStart"/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сполук</w:t>
            </w:r>
            <w:proofErr w:type="spellEnd"/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CB79FB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Визначене </w:t>
            </w:r>
            <w:r w:rsidRPr="004407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значення </w:t>
            </w:r>
            <w:hyperlink r:id="rId10" w:anchor="ntr1-L_2015193EN.01011301-E0001" w:history="1">
              <w:r w:rsidR="00CB79FB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(</w:t>
              </w:r>
              <w:r w:rsidR="00CB79FB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CB79FB" w:rsidRPr="004407C2">
                <w:rPr>
                  <w:rStyle w:val="super"/>
                  <w:rFonts w:ascii="Times New Roman" w:hAnsi="Times New Roman" w:cs="Times New Roman"/>
                  <w:sz w:val="28"/>
                  <w:szCs w:val="28"/>
                  <w:shd w:val="clear" w:color="auto" w:fill="FFFFFF"/>
                  <w:vertAlign w:val="superscript"/>
                </w:rPr>
                <w:t>1</w:t>
              </w:r>
              <w:r w:rsidR="00CB79FB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CB79FB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)</w:t>
              </w:r>
            </w:hyperlink>
            <w:r w:rsidR="00CB79FB">
              <w:rPr>
                <w:sz w:val="28"/>
                <w:szCs w:val="28"/>
                <w:lang w:val="uk-UA"/>
              </w:rPr>
              <w:t xml:space="preserve"> </w:t>
            </w: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більш</w:t>
            </w:r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 ніж на 7 мг/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 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B79FB" w:rsidRPr="00CB79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вище за заявлене для зразка значення.</w:t>
            </w:r>
          </w:p>
        </w:tc>
      </w:tr>
      <w:tr w:rsidR="00BB2BD7" w:rsidRPr="007010CA" w:rsidTr="00CB79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CB79FB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Викиди </w:t>
            </w:r>
            <w:proofErr w:type="spellStart"/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монооксиду</w:t>
            </w:r>
            <w:proofErr w:type="spellEnd"/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вуглецю</w:t>
            </w: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CB79FB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Визначене </w:t>
            </w:r>
            <w:r w:rsidRPr="004407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значення </w:t>
            </w:r>
            <w:hyperlink r:id="rId11" w:anchor="ntr1-L_2015193EN.01011301-E0001" w:history="1">
              <w:r w:rsidR="00CB79FB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(</w:t>
              </w:r>
              <w:r w:rsidR="00CB79FB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CB79FB" w:rsidRPr="004407C2">
                <w:rPr>
                  <w:rStyle w:val="super"/>
                  <w:rFonts w:ascii="Times New Roman" w:hAnsi="Times New Roman" w:cs="Times New Roman"/>
                  <w:sz w:val="28"/>
                  <w:szCs w:val="28"/>
                  <w:shd w:val="clear" w:color="auto" w:fill="FFFFFF"/>
                  <w:vertAlign w:val="superscript"/>
                </w:rPr>
                <w:t>1</w:t>
              </w:r>
              <w:r w:rsidR="00CB79FB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CB79FB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)</w:t>
              </w:r>
            </w:hyperlink>
            <w:r w:rsidR="00CB79FB">
              <w:rPr>
                <w:sz w:val="28"/>
                <w:szCs w:val="28"/>
                <w:lang w:val="uk-UA"/>
              </w:rPr>
              <w:t xml:space="preserve"> </w:t>
            </w: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більш</w:t>
            </w:r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 ніж на 30 мг/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 </w:t>
            </w:r>
            <w:r w:rsidR="00CB79FB" w:rsidRPr="007010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CB79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16187" w:rsidRPr="00CB79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вище за заявлене для зразка значення.</w:t>
            </w:r>
          </w:p>
        </w:tc>
      </w:tr>
      <w:tr w:rsidR="00BB2BD7" w:rsidRPr="007010CA" w:rsidTr="00CB79F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7010CA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Викиди оксидів азоту</w:t>
            </w:r>
          </w:p>
        </w:tc>
        <w:tc>
          <w:tcPr>
            <w:tcW w:w="5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B2BD7" w:rsidRPr="007010CA" w:rsidRDefault="00BB2BD7" w:rsidP="00816187">
            <w:pPr>
              <w:spacing w:before="60" w:after="6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Визначене </w:t>
            </w:r>
            <w:r w:rsidRPr="004407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значення </w:t>
            </w:r>
            <w:hyperlink r:id="rId12" w:anchor="ntr1-L_2015193EN.01011301-E0001" w:history="1">
              <w:r w:rsidR="00816187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(</w:t>
              </w:r>
              <w:r w:rsidR="00816187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816187" w:rsidRPr="004407C2">
                <w:rPr>
                  <w:rStyle w:val="super"/>
                  <w:rFonts w:ascii="Times New Roman" w:hAnsi="Times New Roman" w:cs="Times New Roman"/>
                  <w:sz w:val="28"/>
                  <w:szCs w:val="28"/>
                  <w:shd w:val="clear" w:color="auto" w:fill="FFFFFF"/>
                  <w:vertAlign w:val="superscript"/>
                </w:rPr>
                <w:t>1</w:t>
              </w:r>
              <w:r w:rsidR="00816187" w:rsidRPr="004407C2">
                <w:rPr>
                  <w:rStyle w:val="apple-converted-space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 </w:t>
              </w:r>
              <w:r w:rsidR="00816187" w:rsidRPr="004407C2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)</w:t>
              </w:r>
            </w:hyperlink>
            <w:r w:rsidR="00816187">
              <w:rPr>
                <w:sz w:val="28"/>
                <w:szCs w:val="28"/>
                <w:lang w:val="uk-UA"/>
              </w:rPr>
              <w:t xml:space="preserve"> </w:t>
            </w: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 </w:t>
            </w:r>
            <w:r w:rsidR="008161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більше ніж на 30 мг/</w:t>
            </w:r>
            <w:r w:rsidR="00816187"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 </w:t>
            </w:r>
            <w:r w:rsidR="00816187" w:rsidRPr="007010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8161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16187" w:rsidRPr="00CB79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вище за заявлене для зразка значення</w:t>
            </w:r>
            <w:r w:rsidRPr="007010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F23485" w:rsidRDefault="009E009D">
      <w:pPr>
        <w:rPr>
          <w:lang w:val="uk-UA"/>
        </w:rPr>
      </w:pPr>
    </w:p>
    <w:p w:rsidR="00816187" w:rsidRDefault="009E009D" w:rsidP="0081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3" w:anchor="ntr1-L_2015193EN.01011301-E0001" w:history="1">
        <w:r w:rsidR="00816187" w:rsidRPr="0081618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(</w:t>
        </w:r>
        <w:r w:rsidR="00816187" w:rsidRPr="00816187">
          <w:rPr>
            <w:rStyle w:val="apple-converted-space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 </w:t>
        </w:r>
        <w:r w:rsidR="00816187" w:rsidRPr="00816187">
          <w:rPr>
            <w:rStyle w:val="super"/>
            <w:rFonts w:ascii="Times New Roman" w:hAnsi="Times New Roman" w:cs="Times New Roman"/>
            <w:sz w:val="28"/>
            <w:szCs w:val="28"/>
            <w:shd w:val="clear" w:color="auto" w:fill="FFFFFF"/>
            <w:vertAlign w:val="superscript"/>
            <w:lang w:val="uk-UA"/>
          </w:rPr>
          <w:t>1</w:t>
        </w:r>
        <w:r w:rsidR="00816187" w:rsidRPr="00816187">
          <w:rPr>
            <w:rStyle w:val="apple-converted-space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 </w:t>
        </w:r>
        <w:r w:rsidR="00816187" w:rsidRPr="0081618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)</w:t>
        </w:r>
      </w:hyperlink>
      <w:r w:rsidR="008161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187" w:rsidRPr="00816187">
        <w:rPr>
          <w:rFonts w:ascii="Times New Roman" w:hAnsi="Times New Roman" w:cs="Times New Roman"/>
          <w:sz w:val="28"/>
          <w:szCs w:val="28"/>
          <w:lang w:val="uk-UA"/>
        </w:rPr>
        <w:t>У разі випробування трьох додаткових зразків, як передбачено пунктом 3</w:t>
      </w:r>
      <w:r w:rsidR="00816187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816187" w:rsidRPr="00816187">
        <w:rPr>
          <w:rFonts w:ascii="Times New Roman" w:hAnsi="Times New Roman" w:cs="Times New Roman"/>
          <w:sz w:val="28"/>
          <w:szCs w:val="28"/>
          <w:lang w:val="uk-UA"/>
        </w:rPr>
        <w:t>, середнє арифметичне трьох визначених значень.</w:t>
      </w:r>
    </w:p>
    <w:p w:rsidR="00816187" w:rsidRDefault="00816187" w:rsidP="008161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6187" w:rsidRPr="00816187" w:rsidRDefault="00816187" w:rsidP="0081618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sectPr w:rsidR="00816187" w:rsidRPr="00816187" w:rsidSect="007C53AF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80E" w:rsidRDefault="0010680E" w:rsidP="007C53AF">
      <w:pPr>
        <w:spacing w:after="0" w:line="240" w:lineRule="auto"/>
      </w:pPr>
      <w:r>
        <w:separator/>
      </w:r>
    </w:p>
  </w:endnote>
  <w:endnote w:type="continuationSeparator" w:id="0">
    <w:p w:rsidR="0010680E" w:rsidRDefault="0010680E" w:rsidP="007C5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80E" w:rsidRDefault="0010680E" w:rsidP="007C53AF">
      <w:pPr>
        <w:spacing w:after="0" w:line="240" w:lineRule="auto"/>
      </w:pPr>
      <w:r>
        <w:separator/>
      </w:r>
    </w:p>
  </w:footnote>
  <w:footnote w:type="continuationSeparator" w:id="0">
    <w:p w:rsidR="0010680E" w:rsidRDefault="0010680E" w:rsidP="007C5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3410911"/>
      <w:docPartObj>
        <w:docPartGallery w:val="Page Numbers (Top of Page)"/>
        <w:docPartUnique/>
      </w:docPartObj>
    </w:sdtPr>
    <w:sdtEndPr/>
    <w:sdtContent>
      <w:p w:rsidR="007C53AF" w:rsidRDefault="007C53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09D">
          <w:rPr>
            <w:noProof/>
          </w:rPr>
          <w:t>2</w:t>
        </w:r>
        <w:r>
          <w:fldChar w:fldCharType="end"/>
        </w:r>
      </w:p>
    </w:sdtContent>
  </w:sdt>
  <w:p w:rsidR="007C53AF" w:rsidRPr="007C53AF" w:rsidRDefault="007C53AF" w:rsidP="007C53AF">
    <w:pPr>
      <w:spacing w:after="0" w:line="240" w:lineRule="auto"/>
      <w:ind w:left="7088" w:hanging="284"/>
      <w:rPr>
        <w:rFonts w:ascii="Times New Roman" w:eastAsia="Times New Roman" w:hAnsi="Times New Roman" w:cs="Times New Roman"/>
        <w:iCs/>
        <w:sz w:val="24"/>
        <w:szCs w:val="24"/>
        <w:lang w:val="uk-UA"/>
      </w:rPr>
    </w:pPr>
    <w:r w:rsidRPr="00F10538">
      <w:rPr>
        <w:rFonts w:ascii="Times New Roman" w:eastAsia="Times New Roman" w:hAnsi="Times New Roman" w:cs="Times New Roman"/>
        <w:iCs/>
        <w:sz w:val="24"/>
        <w:szCs w:val="24"/>
        <w:lang w:val="uk-UA"/>
      </w:rPr>
      <w:t xml:space="preserve">Продовження додатка </w:t>
    </w:r>
    <w:r>
      <w:rPr>
        <w:rFonts w:ascii="Times New Roman" w:eastAsia="Times New Roman" w:hAnsi="Times New Roman" w:cs="Times New Roman"/>
        <w:iCs/>
        <w:sz w:val="24"/>
        <w:szCs w:val="24"/>
        <w:lang w:val="uk-UA"/>
      </w:rPr>
      <w:t>4</w:t>
    </w:r>
  </w:p>
  <w:p w:rsidR="007C53AF" w:rsidRDefault="007C53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3306"/>
    <w:multiLevelType w:val="multilevel"/>
    <w:tmpl w:val="454A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D7"/>
    <w:rsid w:val="0005432E"/>
    <w:rsid w:val="000F4C70"/>
    <w:rsid w:val="0010680E"/>
    <w:rsid w:val="001406F6"/>
    <w:rsid w:val="002730ED"/>
    <w:rsid w:val="0035648D"/>
    <w:rsid w:val="003B518C"/>
    <w:rsid w:val="004407C2"/>
    <w:rsid w:val="004A7ACE"/>
    <w:rsid w:val="00691D86"/>
    <w:rsid w:val="007010CA"/>
    <w:rsid w:val="007C53AF"/>
    <w:rsid w:val="00816187"/>
    <w:rsid w:val="009D3736"/>
    <w:rsid w:val="009E009D"/>
    <w:rsid w:val="00A80A39"/>
    <w:rsid w:val="00BB2BD7"/>
    <w:rsid w:val="00C44A85"/>
    <w:rsid w:val="00CA26E7"/>
    <w:rsid w:val="00CB79FB"/>
    <w:rsid w:val="00D6471A"/>
    <w:rsid w:val="00E66329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32E"/>
    <w:pPr>
      <w:ind w:left="720"/>
      <w:contextualSpacing/>
    </w:pPr>
  </w:style>
  <w:style w:type="paragraph" w:customStyle="1" w:styleId="ShapkaDocumentu">
    <w:name w:val="Shapka Documentu"/>
    <w:basedOn w:val="a"/>
    <w:rsid w:val="003B518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apple-converted-space">
    <w:name w:val="apple-converted-space"/>
    <w:basedOn w:val="a0"/>
    <w:rsid w:val="00CB79FB"/>
  </w:style>
  <w:style w:type="character" w:styleId="a4">
    <w:name w:val="Hyperlink"/>
    <w:basedOn w:val="a0"/>
    <w:uiPriority w:val="99"/>
    <w:semiHidden/>
    <w:unhideWhenUsed/>
    <w:rsid w:val="00CB79FB"/>
    <w:rPr>
      <w:color w:val="0000FF"/>
      <w:u w:val="single"/>
    </w:rPr>
  </w:style>
  <w:style w:type="character" w:customStyle="1" w:styleId="super">
    <w:name w:val="super"/>
    <w:basedOn w:val="a0"/>
    <w:rsid w:val="00CB79FB"/>
  </w:style>
  <w:style w:type="character" w:styleId="a5">
    <w:name w:val="Strong"/>
    <w:basedOn w:val="a0"/>
    <w:uiPriority w:val="22"/>
    <w:qFormat/>
    <w:rsid w:val="00D6471A"/>
    <w:rPr>
      <w:b/>
      <w:bCs/>
    </w:rPr>
  </w:style>
  <w:style w:type="paragraph" w:styleId="a6">
    <w:name w:val="header"/>
    <w:basedOn w:val="a"/>
    <w:link w:val="a7"/>
    <w:uiPriority w:val="99"/>
    <w:unhideWhenUsed/>
    <w:rsid w:val="007C5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53AF"/>
  </w:style>
  <w:style w:type="paragraph" w:styleId="a8">
    <w:name w:val="footer"/>
    <w:basedOn w:val="a"/>
    <w:link w:val="a9"/>
    <w:uiPriority w:val="99"/>
    <w:unhideWhenUsed/>
    <w:rsid w:val="007C5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53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32E"/>
    <w:pPr>
      <w:ind w:left="720"/>
      <w:contextualSpacing/>
    </w:pPr>
  </w:style>
  <w:style w:type="paragraph" w:customStyle="1" w:styleId="ShapkaDocumentu">
    <w:name w:val="Shapka Documentu"/>
    <w:basedOn w:val="a"/>
    <w:rsid w:val="003B518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apple-converted-space">
    <w:name w:val="apple-converted-space"/>
    <w:basedOn w:val="a0"/>
    <w:rsid w:val="00CB79FB"/>
  </w:style>
  <w:style w:type="character" w:styleId="a4">
    <w:name w:val="Hyperlink"/>
    <w:basedOn w:val="a0"/>
    <w:uiPriority w:val="99"/>
    <w:semiHidden/>
    <w:unhideWhenUsed/>
    <w:rsid w:val="00CB79FB"/>
    <w:rPr>
      <w:color w:val="0000FF"/>
      <w:u w:val="single"/>
    </w:rPr>
  </w:style>
  <w:style w:type="character" w:customStyle="1" w:styleId="super">
    <w:name w:val="super"/>
    <w:basedOn w:val="a0"/>
    <w:rsid w:val="00CB79FB"/>
  </w:style>
  <w:style w:type="character" w:styleId="a5">
    <w:name w:val="Strong"/>
    <w:basedOn w:val="a0"/>
    <w:uiPriority w:val="22"/>
    <w:qFormat/>
    <w:rsid w:val="00D6471A"/>
    <w:rPr>
      <w:b/>
      <w:bCs/>
    </w:rPr>
  </w:style>
  <w:style w:type="paragraph" w:styleId="a6">
    <w:name w:val="header"/>
    <w:basedOn w:val="a"/>
    <w:link w:val="a7"/>
    <w:uiPriority w:val="99"/>
    <w:unhideWhenUsed/>
    <w:rsid w:val="007C5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53AF"/>
  </w:style>
  <w:style w:type="paragraph" w:styleId="a8">
    <w:name w:val="footer"/>
    <w:basedOn w:val="a"/>
    <w:link w:val="a9"/>
    <w:uiPriority w:val="99"/>
    <w:unhideWhenUsed/>
    <w:rsid w:val="007C5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5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2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67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73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07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52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6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52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60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8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12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EN/TXT/?uri=uriserv%3AOJ.L_.2015.193.01.0100.01.ENG" TargetMode="External"/><Relationship Id="rId13" Type="http://schemas.openxmlformats.org/officeDocument/2006/relationships/hyperlink" Target="https://eur-lex.europa.eu/legal-content/EN/TXT/?uri=uriserv%3AOJ.L_.2015.193.01.0100.01.EN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EN/TXT/?uri=uriserv%3AOJ.L_.2015.193.01.0100.01.E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EN/TXT/?uri=uriserv%3AOJ.L_.2015.193.01.0100.01.E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ur-lex.europa.eu/legal-content/EN/TXT/?uri=uriserv%3AOJ.L_.2015.193.01.0100.01.E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EN/TXT/?uri=uriserv%3AOJ.L_.2015.193.01.0100.01.EN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2</cp:revision>
  <dcterms:created xsi:type="dcterms:W3CDTF">2021-04-15T11:26:00Z</dcterms:created>
  <dcterms:modified xsi:type="dcterms:W3CDTF">2021-04-15T11:26:00Z</dcterms:modified>
</cp:coreProperties>
</file>