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2F" w:rsidRPr="00E1110C" w:rsidRDefault="002C732F" w:rsidP="002C732F">
      <w:pPr>
        <w:spacing w:before="240"/>
        <w:jc w:val="center"/>
        <w:rPr>
          <w:b/>
          <w:sz w:val="28"/>
          <w:szCs w:val="28"/>
          <w:lang w:val="uk-UA"/>
        </w:rPr>
      </w:pPr>
      <w:r w:rsidRPr="00E1110C">
        <w:rPr>
          <w:b/>
          <w:sz w:val="28"/>
          <w:szCs w:val="28"/>
          <w:lang w:val="uk-UA"/>
        </w:rPr>
        <w:t>Аналіз регуляторного впливу</w:t>
      </w:r>
    </w:p>
    <w:p w:rsidR="002C732F" w:rsidRPr="00E1110C" w:rsidRDefault="002C732F" w:rsidP="002C732F">
      <w:pPr>
        <w:jc w:val="center"/>
        <w:rPr>
          <w:b/>
          <w:sz w:val="28"/>
          <w:szCs w:val="28"/>
          <w:lang w:val="uk-UA"/>
        </w:rPr>
      </w:pPr>
      <w:r w:rsidRPr="00E1110C">
        <w:rPr>
          <w:b/>
          <w:sz w:val="28"/>
          <w:szCs w:val="28"/>
          <w:lang w:val="uk-UA"/>
        </w:rPr>
        <w:t>проекту Закону України «</w:t>
      </w:r>
      <w:r w:rsidRPr="00E1110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E1110C">
        <w:rPr>
          <w:b/>
          <w:sz w:val="28"/>
          <w:szCs w:val="28"/>
          <w:lang w:val="uk-UA"/>
        </w:rPr>
        <w:t>»</w:t>
      </w:r>
    </w:p>
    <w:p w:rsidR="002C732F" w:rsidRPr="00CE061E" w:rsidRDefault="002C732F" w:rsidP="002C732F">
      <w:pPr>
        <w:pStyle w:val="HTML1"/>
        <w:ind w:firstLine="709"/>
        <w:jc w:val="both"/>
        <w:rPr>
          <w:rFonts w:ascii="Times New Roman" w:hAnsi="Times New Roman"/>
          <w:b/>
          <w:color w:val="auto"/>
          <w:sz w:val="32"/>
          <w:szCs w:val="28"/>
          <w:lang w:val="uk-UA"/>
        </w:rPr>
      </w:pPr>
    </w:p>
    <w:p w:rsidR="002C732F" w:rsidRDefault="002C732F" w:rsidP="002C732F">
      <w:pPr>
        <w:pStyle w:val="a3"/>
        <w:ind w:firstLine="708"/>
        <w:rPr>
          <w:szCs w:val="28"/>
        </w:rPr>
      </w:pPr>
      <w:r w:rsidRPr="00BC0B09">
        <w:rPr>
          <w:szCs w:val="28"/>
        </w:rPr>
        <w:t xml:space="preserve">1. Визначення та аналіз проблеми, яку </w:t>
      </w:r>
      <w:r>
        <w:rPr>
          <w:szCs w:val="28"/>
        </w:rPr>
        <w:t xml:space="preserve">передбачається </w:t>
      </w:r>
      <w:r w:rsidRPr="00BC0B09">
        <w:rPr>
          <w:szCs w:val="28"/>
        </w:rPr>
        <w:t>розв`яза</w:t>
      </w:r>
      <w:r>
        <w:rPr>
          <w:szCs w:val="28"/>
        </w:rPr>
        <w:t>ти</w:t>
      </w:r>
      <w:r w:rsidRPr="00BC0B09">
        <w:rPr>
          <w:szCs w:val="28"/>
        </w:rPr>
        <w:t xml:space="preserve"> шляхом державного регулювання</w:t>
      </w:r>
    </w:p>
    <w:p w:rsidR="002C732F" w:rsidRPr="00BC0B09" w:rsidRDefault="002C732F" w:rsidP="002C732F">
      <w:pPr>
        <w:pStyle w:val="a3"/>
        <w:ind w:firstLine="708"/>
        <w:rPr>
          <w:szCs w:val="28"/>
        </w:rPr>
      </w:pPr>
    </w:p>
    <w:p w:rsidR="002C732F" w:rsidRPr="00E1110C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E1110C">
        <w:rPr>
          <w:sz w:val="28"/>
          <w:szCs w:val="28"/>
          <w:lang w:val="uk-UA"/>
        </w:rPr>
        <w:t>Необхідність прийняття проекту Закону</w:t>
      </w:r>
      <w:r w:rsidRPr="003944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 w:rsidRPr="00086531">
        <w:rPr>
          <w:sz w:val="28"/>
          <w:szCs w:val="28"/>
          <w:lang w:val="uk-UA"/>
        </w:rPr>
        <w:t>«</w:t>
      </w:r>
      <w:r w:rsidRPr="008F47E2">
        <w:rPr>
          <w:color w:val="000000"/>
          <w:sz w:val="28"/>
          <w:szCs w:val="28"/>
          <w:lang w:val="uk-UA"/>
        </w:rPr>
        <w:t>Про внесення змін до деяких закон</w:t>
      </w:r>
      <w:r>
        <w:rPr>
          <w:color w:val="000000"/>
          <w:sz w:val="28"/>
          <w:szCs w:val="28"/>
          <w:lang w:val="uk-UA"/>
        </w:rPr>
        <w:t>одавчих актів</w:t>
      </w:r>
      <w:r w:rsidRPr="008F47E2">
        <w:rPr>
          <w:color w:val="000000"/>
          <w:sz w:val="28"/>
          <w:szCs w:val="28"/>
          <w:lang w:val="uk-UA"/>
        </w:rPr>
        <w:t xml:space="preserve"> України щодо сприяння розвитку конкурентного середовища та залучення інвестицій у сфері теплопостачання</w:t>
      </w:r>
      <w:r w:rsidRPr="0008653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(далі – проект Закону)</w:t>
      </w:r>
      <w:r w:rsidRPr="00E1110C">
        <w:rPr>
          <w:sz w:val="28"/>
          <w:szCs w:val="28"/>
          <w:lang w:val="uk-UA"/>
        </w:rPr>
        <w:t xml:space="preserve"> зумовлена потребою врегулювання ситуації, що склалась в державі у сфері теплопостачання.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>На сьогодні, внаслідок недосконалої законодавчої бази державного регулювання у сфері теплопостачання існують значні перешкоди функціонування рин</w:t>
      </w:r>
      <w:r>
        <w:rPr>
          <w:color w:val="000000"/>
          <w:sz w:val="28"/>
          <w:szCs w:val="28"/>
          <w:lang w:val="uk-UA"/>
        </w:rPr>
        <w:t>ку теплової енергії</w:t>
      </w:r>
      <w:r w:rsidRPr="00CA4B04">
        <w:rPr>
          <w:color w:val="000000"/>
          <w:sz w:val="28"/>
          <w:szCs w:val="28"/>
          <w:lang w:val="uk-UA"/>
        </w:rPr>
        <w:t xml:space="preserve"> в Україні, що зумовлено, в першу черг</w:t>
      </w:r>
      <w:r>
        <w:rPr>
          <w:color w:val="000000"/>
          <w:sz w:val="28"/>
          <w:szCs w:val="28"/>
          <w:lang w:val="uk-UA"/>
        </w:rPr>
        <w:t xml:space="preserve">у, невизначеністю самої моделі </w:t>
      </w:r>
      <w:r w:rsidRPr="00CA4B04">
        <w:rPr>
          <w:color w:val="000000"/>
          <w:sz w:val="28"/>
          <w:szCs w:val="28"/>
          <w:lang w:val="uk-UA"/>
        </w:rPr>
        <w:t xml:space="preserve">та схем функціонування зазначеного ринку. 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>Наслідками невизначеної ситуації, що с</w:t>
      </w:r>
      <w:r>
        <w:rPr>
          <w:color w:val="000000"/>
          <w:sz w:val="28"/>
          <w:szCs w:val="28"/>
          <w:lang w:val="uk-UA"/>
        </w:rPr>
        <w:t>клалася,</w:t>
      </w:r>
      <w:r w:rsidRPr="00CA4B04">
        <w:rPr>
          <w:color w:val="000000"/>
          <w:sz w:val="28"/>
          <w:szCs w:val="28"/>
          <w:lang w:val="uk-UA"/>
        </w:rPr>
        <w:t xml:space="preserve"> є: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 xml:space="preserve">порушення цілісності та послідовності </w:t>
      </w:r>
      <w:r>
        <w:rPr>
          <w:color w:val="000000"/>
          <w:sz w:val="28"/>
          <w:szCs w:val="28"/>
          <w:lang w:val="uk-UA"/>
        </w:rPr>
        <w:t>процесів виробництва, транспортування та постачання теплової енергії</w:t>
      </w:r>
      <w:r w:rsidRPr="00CA4B04">
        <w:rPr>
          <w:color w:val="000000"/>
          <w:sz w:val="28"/>
          <w:szCs w:val="28"/>
          <w:lang w:val="uk-UA"/>
        </w:rPr>
        <w:t>;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 xml:space="preserve">відсутність передумов виникнення та посилення конкуренції у </w:t>
      </w:r>
      <w:r>
        <w:rPr>
          <w:color w:val="000000"/>
          <w:sz w:val="28"/>
          <w:szCs w:val="28"/>
          <w:lang w:val="uk-UA"/>
        </w:rPr>
        <w:t>сфері теплопостачання;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незахищеність споживачів від економічних зловживань суб’єктів природних монополій;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відсутність стимулів до підвищення якості теплової енергії та удосконалення процесів її виробництва, транспортування та постачання;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недосконалість правових основ для здійснення енергоефективних заходів на об’єктах у сфері теплопостачання та об’єктах споживання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left="142" w:firstLine="57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розбалансованість механізмів тарифоутворення (в частині недосконалості методології та підходів до формування та встановлення тарифів на відповідні товари та послуги, а також існування практики перехресного субсидування між видами діяльності суб’єктів господарювання); 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обмеженість ролі та участі споживача у питаннях постачання теплової енергії тощо.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Одним із </w:t>
      </w:r>
      <w:r>
        <w:rPr>
          <w:color w:val="000000"/>
          <w:sz w:val="28"/>
          <w:szCs w:val="28"/>
          <w:lang w:val="uk-UA"/>
        </w:rPr>
        <w:t>засад</w:t>
      </w:r>
      <w:r w:rsidRPr="00AA1B83">
        <w:rPr>
          <w:color w:val="000000"/>
          <w:sz w:val="28"/>
          <w:szCs w:val="28"/>
          <w:lang w:val="uk-UA"/>
        </w:rPr>
        <w:t xml:space="preserve"> державного регулювання у цій сфері має бути</w:t>
      </w:r>
      <w:r>
        <w:rPr>
          <w:color w:val="000000"/>
          <w:sz w:val="28"/>
          <w:szCs w:val="28"/>
          <w:lang w:val="uk-UA"/>
        </w:rPr>
        <w:t xml:space="preserve"> </w:t>
      </w:r>
      <w:r w:rsidRPr="00AA1B83">
        <w:rPr>
          <w:color w:val="000000"/>
          <w:sz w:val="28"/>
          <w:szCs w:val="28"/>
          <w:lang w:val="uk-UA"/>
        </w:rPr>
        <w:t>цивільно-правове врегулювання відносин між основними суб’єктами ринку теплової енергії (теплогенеруючими, теплотранспортуючими та теплопостачальними організаціями та споживачами), а саме вирішення проблеми неструктурованості договірних відносин між ними</w:t>
      </w:r>
      <w:r>
        <w:rPr>
          <w:color w:val="000000"/>
          <w:sz w:val="28"/>
          <w:szCs w:val="28"/>
          <w:lang w:val="uk-UA"/>
        </w:rPr>
        <w:t>.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Неврегульованість вищезазначених питань впливає на рівень надійності та ефективності виробництва, транспортування та постачання теплової енергії, призводить до ускладнення фінансового становища </w:t>
      </w:r>
      <w:r w:rsidRPr="00AA1B83">
        <w:rPr>
          <w:color w:val="000000"/>
          <w:sz w:val="28"/>
          <w:szCs w:val="28"/>
          <w:lang w:val="uk-UA"/>
        </w:rPr>
        <w:lastRenderedPageBreak/>
        <w:t>підприємств у сфері теплопостачання  та економічної нестабільності галузі в цілому, а також до зростання соціальної напруги у суспільстві.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C732F" w:rsidRDefault="002C732F" w:rsidP="002C732F">
      <w:pPr>
        <w:numPr>
          <w:ilvl w:val="12"/>
          <w:numId w:val="0"/>
        </w:numPr>
        <w:ind w:firstLine="709"/>
        <w:jc w:val="both"/>
        <w:rPr>
          <w:b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Ц</w:t>
      </w:r>
      <w:r w:rsidRPr="00BC0B09">
        <w:rPr>
          <w:b/>
          <w:sz w:val="28"/>
          <w:szCs w:val="28"/>
          <w:lang w:val="uk-UA"/>
        </w:rPr>
        <w:t>іл</w:t>
      </w:r>
      <w:r>
        <w:rPr>
          <w:b/>
          <w:sz w:val="28"/>
          <w:szCs w:val="28"/>
          <w:lang w:val="uk-UA"/>
        </w:rPr>
        <w:t>і</w:t>
      </w:r>
      <w:r w:rsidRPr="00BC0B09">
        <w:rPr>
          <w:b/>
          <w:sz w:val="28"/>
          <w:szCs w:val="28"/>
          <w:lang w:val="uk-UA"/>
        </w:rPr>
        <w:t xml:space="preserve"> державного регулювання</w:t>
      </w:r>
    </w:p>
    <w:p w:rsidR="002C732F" w:rsidRPr="00BC0B09" w:rsidRDefault="002C732F" w:rsidP="002C732F">
      <w:pPr>
        <w:numPr>
          <w:ilvl w:val="12"/>
          <w:numId w:val="0"/>
        </w:numPr>
        <w:ind w:firstLine="709"/>
        <w:jc w:val="both"/>
        <w:rPr>
          <w:b/>
          <w:sz w:val="28"/>
          <w:szCs w:val="28"/>
          <w:lang w:val="uk-UA"/>
        </w:rPr>
      </w:pP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Метою проекту Закону є удосконалення законодавчої бази державного регулювання сфери теплопостачання, зокрема: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створення прозорої та однакової на всій території України моделі функціонування ринку теплової енергії із однозначним  визначенням сфери діяльності та відповідальності кожного із суб’єктів ринку: теплогенеруючих, теплотранспортуючих та теплопостачальних організацій, споживачів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стимулювання та розвиток конкуренції на суміжних ринках у сфері теплопостачання із підвищенням рівня якості процесів виробництва, транспортування та постачання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створення стимулів до підвищення рівня енергетичної ефективності у сфері теплопостачання, у тому числі на об’єктах споживання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удосконалення механізмів тарифоутворення у сфері теплопостачання.</w:t>
      </w:r>
    </w:p>
    <w:p w:rsidR="002C732F" w:rsidRPr="00106984" w:rsidRDefault="002C732F" w:rsidP="002C732F">
      <w:pPr>
        <w:pStyle w:val="ContinuedBodyText"/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:rsidR="002C732F" w:rsidRDefault="002C732F" w:rsidP="002C732F">
      <w:pPr>
        <w:pStyle w:val="3"/>
        <w:tabs>
          <w:tab w:val="left" w:pos="1080"/>
        </w:tabs>
        <w:spacing w:line="240" w:lineRule="auto"/>
        <w:ind w:firstLine="708"/>
        <w:rPr>
          <w:b/>
          <w:szCs w:val="28"/>
          <w:lang w:val="uk-UA"/>
        </w:rPr>
      </w:pPr>
      <w:r w:rsidRPr="00BC0B09">
        <w:rPr>
          <w:b/>
          <w:szCs w:val="28"/>
          <w:lang w:val="uk-UA"/>
        </w:rPr>
        <w:t xml:space="preserve">3. </w:t>
      </w:r>
      <w:r>
        <w:rPr>
          <w:b/>
          <w:szCs w:val="28"/>
          <w:lang w:val="uk-UA"/>
        </w:rPr>
        <w:t>Визначення та оцінка альтернативних способів досягнення визначених цілей</w:t>
      </w:r>
    </w:p>
    <w:p w:rsidR="002C732F" w:rsidRPr="00BC0B09" w:rsidRDefault="002C732F" w:rsidP="002C732F">
      <w:pPr>
        <w:pStyle w:val="3"/>
        <w:tabs>
          <w:tab w:val="left" w:pos="1080"/>
        </w:tabs>
        <w:spacing w:line="240" w:lineRule="auto"/>
        <w:ind w:firstLine="708"/>
        <w:rPr>
          <w:b/>
          <w:szCs w:val="28"/>
          <w:lang w:val="uk-UA"/>
        </w:rPr>
      </w:pPr>
    </w:p>
    <w:tbl>
      <w:tblPr>
        <w:tblW w:w="10016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676"/>
        <w:gridCol w:w="4820"/>
      </w:tblGrid>
      <w:tr w:rsidR="002C732F" w:rsidRPr="00957A70" w:rsidTr="00754E19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Можливі способи  досягнення цілей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Оцінка способу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Причини відмови від альтернативних способів/аргументи щодо переваги обраного способу</w:t>
            </w:r>
          </w:p>
        </w:tc>
      </w:tr>
      <w:tr w:rsidR="002C732F" w:rsidRPr="00754E19" w:rsidTr="00754E1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uk-UA"/>
              </w:rPr>
            </w:pPr>
            <w:r w:rsidRPr="003944E1">
              <w:rPr>
                <w:sz w:val="26"/>
                <w:szCs w:val="26"/>
                <w:lang w:val="uk-UA"/>
              </w:rPr>
              <w:t>Збереження чинного способу регулювання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>Не забезпечує високу ефективність державного регулювання суб’єктів природних монополій та суб’єктів господарювання на суміжних ринках.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>Існуючий спосіб може призвести до підвищення соціальної напруги у суспільстві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>Потребує вдосконалення, оскільки його застосування унеможливить забезпечення високої ефективності державного регулювання суб’єктів природних монополій та суб’єктів господарювання на суміжних ринках, їх стимулювання до реалізації енергоефективних проектів</w:t>
            </w:r>
          </w:p>
        </w:tc>
      </w:tr>
      <w:tr w:rsidR="002C732F" w:rsidRPr="00BC0B09" w:rsidTr="00754E19">
        <w:tc>
          <w:tcPr>
            <w:tcW w:w="2520" w:type="dxa"/>
            <w:shd w:val="clear" w:color="auto" w:fill="auto"/>
            <w:vAlign w:val="center"/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uk-UA"/>
              </w:rPr>
            </w:pPr>
            <w:r w:rsidRPr="003944E1">
              <w:rPr>
                <w:sz w:val="26"/>
                <w:szCs w:val="26"/>
                <w:lang w:val="uk-UA"/>
              </w:rPr>
              <w:t>Обраний спосіб</w:t>
            </w:r>
          </w:p>
        </w:tc>
        <w:tc>
          <w:tcPr>
            <w:tcW w:w="2676" w:type="dxa"/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 xml:space="preserve">Забезпечить збалансування інтересів суб’єктів господарювання,  споживачів та держави, а також </w:t>
            </w:r>
            <w:r w:rsidRPr="003E157E">
              <w:rPr>
                <w:sz w:val="26"/>
                <w:szCs w:val="26"/>
                <w:lang w:val="uk-UA"/>
              </w:rPr>
              <w:lastRenderedPageBreak/>
              <w:t>дозволить створити стимули для підвищення ефективності, залучення інвестицій та оновлення основних фондів</w:t>
            </w:r>
          </w:p>
        </w:tc>
        <w:tc>
          <w:tcPr>
            <w:tcW w:w="4820" w:type="dxa"/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lastRenderedPageBreak/>
              <w:t>Забезпечить впровадження  стимулюючого регулювання та дозволить створити стимули для підвищення ефективності (в тому числі енергетичної), залучення інвестиц</w:t>
            </w:r>
            <w:r>
              <w:rPr>
                <w:sz w:val="26"/>
                <w:szCs w:val="26"/>
                <w:lang w:val="uk-UA"/>
              </w:rPr>
              <w:t>ій та оновлення основних фондів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</w:tc>
      </w:tr>
    </w:tbl>
    <w:p w:rsidR="002C732F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</w:p>
    <w:p w:rsidR="002C732F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  <w:r w:rsidRPr="00BC0B09">
        <w:rPr>
          <w:szCs w:val="28"/>
        </w:rPr>
        <w:t xml:space="preserve">4. </w:t>
      </w:r>
      <w:r w:rsidRPr="00DA1467">
        <w:rPr>
          <w:szCs w:val="28"/>
        </w:rPr>
        <w:t>Механізм та заходи, що пропонуються для розв’язання проблеми</w:t>
      </w:r>
    </w:p>
    <w:p w:rsidR="002C732F" w:rsidRPr="00BC0B09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Для досягнення поставленої цілі державного регулювання пропонується прийняти </w:t>
      </w:r>
      <w:r>
        <w:rPr>
          <w:sz w:val="28"/>
          <w:szCs w:val="28"/>
          <w:lang w:val="uk-UA"/>
        </w:rPr>
        <w:t xml:space="preserve">проект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980D5F">
        <w:rPr>
          <w:sz w:val="28"/>
          <w:szCs w:val="28"/>
          <w:lang w:val="uk-UA"/>
        </w:rPr>
        <w:t>».</w:t>
      </w:r>
    </w:p>
    <w:p w:rsidR="002C732F" w:rsidRDefault="002C732F" w:rsidP="002C732F">
      <w:pPr>
        <w:pStyle w:val="ContinuedBodyText"/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D05A56">
        <w:rPr>
          <w:sz w:val="28"/>
          <w:szCs w:val="28"/>
          <w:lang w:val="uk-UA"/>
        </w:rPr>
        <w:t>Прийняття проекту Закону України 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D05A56">
        <w:rPr>
          <w:sz w:val="28"/>
          <w:szCs w:val="28"/>
          <w:lang w:val="uk-UA"/>
        </w:rPr>
        <w:t>»</w:t>
      </w:r>
      <w:r w:rsidRPr="00980D5F">
        <w:rPr>
          <w:sz w:val="28"/>
          <w:szCs w:val="28"/>
          <w:lang w:val="uk-UA"/>
        </w:rPr>
        <w:t xml:space="preserve"> передбачає</w:t>
      </w:r>
      <w:r w:rsidRPr="00D05A56">
        <w:rPr>
          <w:sz w:val="28"/>
          <w:szCs w:val="28"/>
          <w:lang w:val="uk-UA"/>
        </w:rPr>
        <w:t xml:space="preserve"> </w:t>
      </w:r>
      <w:r w:rsidRPr="00AA1B83">
        <w:rPr>
          <w:color w:val="000000"/>
          <w:sz w:val="28"/>
          <w:szCs w:val="28"/>
          <w:lang w:val="uk-UA"/>
        </w:rPr>
        <w:t>впровадження елементів механізму юридичного анбандлінгу (</w:t>
      </w:r>
      <w:r w:rsidRPr="00AA1B83">
        <w:rPr>
          <w:i/>
          <w:color w:val="000000"/>
          <w:sz w:val="28"/>
          <w:szCs w:val="28"/>
          <w:lang w:val="uk-UA"/>
        </w:rPr>
        <w:t>англ.</w:t>
      </w:r>
      <w:r w:rsidRPr="00AA1B83">
        <w:rPr>
          <w:color w:val="000000"/>
          <w:sz w:val="28"/>
          <w:szCs w:val="28"/>
          <w:lang w:val="uk-UA"/>
        </w:rPr>
        <w:t xml:space="preserve"> </w:t>
      </w:r>
      <w:r w:rsidRPr="00AA1B83">
        <w:rPr>
          <w:color w:val="000000"/>
          <w:sz w:val="28"/>
          <w:szCs w:val="28"/>
        </w:rPr>
        <w:t>unbundling</w:t>
      </w:r>
      <w:r w:rsidRPr="00AA1B83">
        <w:rPr>
          <w:color w:val="000000"/>
          <w:sz w:val="28"/>
          <w:szCs w:val="28"/>
          <w:lang w:val="uk-UA"/>
        </w:rPr>
        <w:t xml:space="preserve"> – розділення) – відокремлення діяльностей з виробництва, транспортування</w:t>
      </w:r>
      <w:r>
        <w:rPr>
          <w:color w:val="000000"/>
          <w:sz w:val="28"/>
          <w:szCs w:val="28"/>
          <w:lang w:val="uk-UA"/>
        </w:rPr>
        <w:t xml:space="preserve"> та постачання теплової енергії.</w:t>
      </w:r>
    </w:p>
    <w:p w:rsidR="002C732F" w:rsidRPr="00D05A56" w:rsidRDefault="002C732F" w:rsidP="002C732F">
      <w:pPr>
        <w:pStyle w:val="ContinuedBodyText"/>
        <w:spacing w:line="240" w:lineRule="auto"/>
        <w:ind w:firstLine="567"/>
        <w:rPr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Механізм анбандлінгу широко застосовується на енергетичних ринках країн Західної та Центральної Європи. Окремі його елементи вже впроваджуються в Україні на ринках електроенергетики та природного газу.</w:t>
      </w:r>
    </w:p>
    <w:p w:rsidR="002B1D7A" w:rsidRPr="00155BC9" w:rsidRDefault="002C732F" w:rsidP="002B1D7A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В рамках цього механізму передбачається прийняття відповідних змін до чинного законодавства, якими буде встановлено заборону</w:t>
      </w:r>
      <w:r w:rsidRPr="00AA1B83">
        <w:rPr>
          <w:b/>
          <w:sz w:val="28"/>
          <w:szCs w:val="28"/>
          <w:lang w:val="uk-UA"/>
        </w:rPr>
        <w:t xml:space="preserve"> </w:t>
      </w:r>
      <w:r w:rsidR="002B1D7A" w:rsidRPr="00155BC9">
        <w:rPr>
          <w:sz w:val="28"/>
          <w:szCs w:val="28"/>
          <w:lang w:val="uk-UA"/>
        </w:rPr>
        <w:t>суб’єктам природних монополій – теплотранспортуюючим організаціям суміщувати в одній юридичній особі ліцензовану діяльність з транспортування теплової енергії з видами ліцензованої діяльності на суміжних ринках, а саме господарською діяльністю з виробництва теплової енергії та господарською діяльністю з постачання теплової енергії.</w:t>
      </w:r>
    </w:p>
    <w:p w:rsidR="002C732F" w:rsidRPr="00691886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  <w:r w:rsidRPr="00BC0B09">
        <w:rPr>
          <w:szCs w:val="28"/>
        </w:rPr>
        <w:t>5. Обґрунтування можливості досягнення визначених цілей у разі прийняття регуляторного акта</w:t>
      </w:r>
    </w:p>
    <w:p w:rsidR="002C732F" w:rsidRPr="00BC0B09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</w:p>
    <w:p w:rsidR="002C732F" w:rsidRPr="00980D5F" w:rsidRDefault="002C732F" w:rsidP="006C2A5A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>Реалізація норм проект Закону дозволить:</w:t>
      </w:r>
    </w:p>
    <w:p w:rsidR="002C732F" w:rsidRPr="00980D5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>забезпечити необхідні умови для розвитку конкурентного середовища у сфері виробництва теплової енергії та збільшення обсягів інвестування в енергоефективні проекти</w:t>
      </w:r>
      <w:r>
        <w:rPr>
          <w:sz w:val="28"/>
          <w:szCs w:val="28"/>
          <w:lang w:val="uk-UA"/>
        </w:rPr>
        <w:t>;</w:t>
      </w:r>
    </w:p>
    <w:p w:rsidR="002C732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>створити передумови для розвитку ринку постачання теплової енергії та стимулювання теплопостачальних організацій до підвищення власних конкурентних переваг шляхом здійснення ними енергоефективних заходів на об’єктах теплоспоживання (надання енергосервісу).</w:t>
      </w:r>
    </w:p>
    <w:p w:rsidR="002C732F" w:rsidRPr="00980D5F" w:rsidRDefault="002C732F" w:rsidP="002C732F">
      <w:pPr>
        <w:jc w:val="both"/>
        <w:rPr>
          <w:sz w:val="28"/>
          <w:szCs w:val="28"/>
          <w:lang w:val="uk-UA"/>
        </w:rPr>
      </w:pP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Вплив зовнішніх факторів на дію акта – позитивного та негативного впливу зовнішніх факторів на дію регуляторного акта не очікується;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lastRenderedPageBreak/>
        <w:t>Обставини, які можуть впливати на виконання вимог акта – зміни у чинному законодавстві;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Оцінка можливості впровадження та виконання вимог акта – надано високу оцінку можливості впровадження та виконання вимог акта суб’єктами господарювання;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Характеристика механізму повної або часткової компенсації можливої шкоди у разі настання очікуваних наслідків дії акта – механізм повної або часткової компенсації можливої шкоди не розроблявся, оскільки за результатами введення в дію положень проекту Закону України «</w:t>
      </w:r>
      <w:r w:rsidRPr="003944E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3944E1">
        <w:rPr>
          <w:sz w:val="28"/>
          <w:szCs w:val="28"/>
          <w:lang w:val="uk-UA"/>
        </w:rPr>
        <w:t>» не очікується настання будь-яких негативних наслідків;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Державний контроль та нагляд за додержанням вимог акта – функції в частині здійснення державного контролю та нагляду за додержанням вимог акта будуть здійснюватися в межах компетенції органами, яким надано таке право чинним законодавством.</w:t>
      </w: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>6.</w:t>
      </w:r>
      <w:r w:rsidRPr="00BC0B09">
        <w:rPr>
          <w:sz w:val="28"/>
          <w:szCs w:val="28"/>
          <w:lang w:val="uk-UA"/>
        </w:rPr>
        <w:t xml:space="preserve"> </w:t>
      </w:r>
      <w:r w:rsidRPr="00DA1467">
        <w:rPr>
          <w:b/>
          <w:sz w:val="28"/>
          <w:szCs w:val="28"/>
          <w:lang w:val="uk-UA"/>
        </w:rPr>
        <w:t>Очікувані результати від прийняття регуляторного акта. Аналіз вигод та витрат</w:t>
      </w: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</w:p>
    <w:p w:rsidR="002C732F" w:rsidRDefault="002C732F" w:rsidP="002C732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3420A">
        <w:rPr>
          <w:sz w:val="28"/>
          <w:szCs w:val="28"/>
          <w:lang w:val="uk-UA"/>
        </w:rPr>
        <w:t>Прийняття законопроекту за</w:t>
      </w:r>
      <w:r>
        <w:rPr>
          <w:sz w:val="28"/>
          <w:szCs w:val="28"/>
          <w:lang w:val="uk-UA"/>
        </w:rPr>
        <w:t xml:space="preserve">безпечить ефективну діяльність </w:t>
      </w:r>
      <w:r w:rsidRPr="00A3420A">
        <w:rPr>
          <w:sz w:val="28"/>
          <w:szCs w:val="28"/>
          <w:lang w:val="uk-UA"/>
        </w:rPr>
        <w:t xml:space="preserve">суб’єктів </w:t>
      </w:r>
      <w:r>
        <w:rPr>
          <w:sz w:val="28"/>
          <w:szCs w:val="28"/>
          <w:lang w:val="uk-UA"/>
        </w:rPr>
        <w:t xml:space="preserve">природних монополій та суб’єктів </w:t>
      </w:r>
      <w:r w:rsidRPr="00A3420A">
        <w:rPr>
          <w:sz w:val="28"/>
          <w:szCs w:val="28"/>
          <w:lang w:val="uk-UA"/>
        </w:rPr>
        <w:t>господарювання на суміжних ринках</w:t>
      </w:r>
      <w:r>
        <w:rPr>
          <w:sz w:val="28"/>
          <w:szCs w:val="28"/>
          <w:lang w:val="uk-UA"/>
        </w:rPr>
        <w:t xml:space="preserve"> у сфері теплопостачання</w:t>
      </w:r>
      <w:r w:rsidRPr="00A3420A">
        <w:rPr>
          <w:sz w:val="28"/>
          <w:szCs w:val="28"/>
          <w:lang w:val="uk-UA"/>
        </w:rPr>
        <w:t xml:space="preserve">, створить сприятливу основу для їх збалансованого </w:t>
      </w:r>
      <w:r>
        <w:rPr>
          <w:sz w:val="28"/>
          <w:szCs w:val="28"/>
          <w:lang w:val="uk-UA"/>
        </w:rPr>
        <w:t xml:space="preserve">розвитку та </w:t>
      </w:r>
      <w:r w:rsidRPr="00A3420A">
        <w:rPr>
          <w:sz w:val="28"/>
          <w:szCs w:val="28"/>
          <w:lang w:val="uk-UA"/>
        </w:rPr>
        <w:t xml:space="preserve">необхідні правові умови для залучення інвестицій, необхідних для відновлення технічної інфраструктури, </w:t>
      </w:r>
      <w:r w:rsidRPr="00A3420A">
        <w:rPr>
          <w:color w:val="000000"/>
          <w:sz w:val="28"/>
          <w:szCs w:val="28"/>
          <w:lang w:val="uk-UA"/>
        </w:rPr>
        <w:t>впровадження енергоефективних технологій</w:t>
      </w:r>
      <w:r>
        <w:rPr>
          <w:color w:val="000000"/>
          <w:sz w:val="28"/>
          <w:szCs w:val="28"/>
          <w:lang w:val="uk-UA"/>
        </w:rPr>
        <w:t>.</w:t>
      </w:r>
    </w:p>
    <w:p w:rsidR="002C732F" w:rsidRPr="00A3420A" w:rsidRDefault="002C732F" w:rsidP="002C732F">
      <w:pPr>
        <w:ind w:firstLine="720"/>
        <w:jc w:val="both"/>
        <w:rPr>
          <w:rStyle w:val="a7"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111"/>
        <w:gridCol w:w="3260"/>
      </w:tblGrid>
      <w:tr w:rsidR="002C732F" w:rsidRPr="00CE2C0C" w:rsidTr="00754E1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Об’єкт впливу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Вигоди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Витрати</w:t>
            </w:r>
          </w:p>
        </w:tc>
      </w:tr>
      <w:tr w:rsidR="002C732F" w:rsidRPr="00CE2C0C" w:rsidTr="00754E1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Виконання вимог чинного законодавства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  <w:tr w:rsidR="002C732F" w:rsidRPr="00CE2C0C" w:rsidTr="00754E19">
        <w:trPr>
          <w:trHeight w:val="17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 xml:space="preserve">Суб’єкти господарювання </w:t>
            </w:r>
          </w:p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(ліцензіати)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Створення конкурентних умов для економічного розвитку підприємств всіх форм власності, які сьогодні працюють на ринку теплової енергії, забезпечення стимулів до підвищення їх господарської та енергетичної ефективності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  <w:tr w:rsidR="002C732F" w:rsidRPr="00CE2C0C" w:rsidTr="00754E1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Забезпечення надійного постачання населенню теплової енергії належної якості відповідно до встановлених норм, стандартів і правил, зростання її цінової доступності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</w:tbl>
    <w:p w:rsidR="006C2A5A" w:rsidRDefault="006C2A5A" w:rsidP="002C732F">
      <w:pPr>
        <w:pStyle w:val="a3"/>
        <w:tabs>
          <w:tab w:val="left" w:pos="360"/>
        </w:tabs>
        <w:ind w:firstLine="709"/>
        <w:outlineLvl w:val="0"/>
        <w:rPr>
          <w:b w:val="0"/>
          <w:szCs w:val="28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b w:val="0"/>
          <w:szCs w:val="28"/>
        </w:rPr>
      </w:pPr>
      <w:r w:rsidRPr="00134BF3">
        <w:rPr>
          <w:b w:val="0"/>
          <w:szCs w:val="28"/>
        </w:rPr>
        <w:lastRenderedPageBreak/>
        <w:t>В результаті прийняття регуляторного акта негативних наслідків не очікується.</w:t>
      </w:r>
    </w:p>
    <w:p w:rsidR="00754E19" w:rsidRPr="00754E19" w:rsidRDefault="00754E19" w:rsidP="00754E19">
      <w:pPr>
        <w:pStyle w:val="a3"/>
        <w:tabs>
          <w:tab w:val="left" w:pos="360"/>
        </w:tabs>
        <w:outlineLvl w:val="0"/>
        <w:rPr>
          <w:b w:val="0"/>
          <w:sz w:val="36"/>
          <w:szCs w:val="36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  <w:r w:rsidRPr="00BC0B09">
        <w:rPr>
          <w:szCs w:val="28"/>
        </w:rPr>
        <w:t>7. Обґрунтування терміну дії регуляторного акта</w:t>
      </w:r>
    </w:p>
    <w:p w:rsidR="002C732F" w:rsidRPr="00754E19" w:rsidRDefault="002C732F" w:rsidP="002C732F">
      <w:pPr>
        <w:pStyle w:val="a3"/>
        <w:tabs>
          <w:tab w:val="left" w:pos="360"/>
        </w:tabs>
        <w:ind w:firstLine="709"/>
        <w:outlineLvl w:val="0"/>
        <w:rPr>
          <w:sz w:val="36"/>
          <w:szCs w:val="36"/>
        </w:rPr>
      </w:pP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З моменту набрання чинності </w:t>
      </w:r>
      <w:r>
        <w:rPr>
          <w:sz w:val="28"/>
          <w:szCs w:val="28"/>
          <w:lang w:val="uk-UA"/>
        </w:rPr>
        <w:t xml:space="preserve">проекту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2F684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704D8">
        <w:rPr>
          <w:sz w:val="28"/>
          <w:szCs w:val="28"/>
          <w:lang w:val="uk-UA"/>
        </w:rPr>
        <w:t xml:space="preserve">термін </w:t>
      </w:r>
      <w:r>
        <w:rPr>
          <w:sz w:val="28"/>
          <w:szCs w:val="28"/>
          <w:lang w:val="uk-UA"/>
        </w:rPr>
        <w:t>його</w:t>
      </w:r>
      <w:r w:rsidRPr="000704D8">
        <w:rPr>
          <w:sz w:val="28"/>
          <w:szCs w:val="28"/>
          <w:lang w:val="uk-UA"/>
        </w:rPr>
        <w:t xml:space="preserve"> дії не обмеж</w:t>
      </w:r>
      <w:r>
        <w:rPr>
          <w:sz w:val="28"/>
          <w:szCs w:val="28"/>
          <w:lang w:val="uk-UA"/>
        </w:rPr>
        <w:t>ено</w:t>
      </w:r>
      <w:r w:rsidRPr="000704D8">
        <w:rPr>
          <w:sz w:val="28"/>
          <w:szCs w:val="28"/>
          <w:lang w:val="uk-UA"/>
        </w:rPr>
        <w:t>. Він може бути змінений у разі внесення відповідних змін до законодавства.</w:t>
      </w:r>
    </w:p>
    <w:p w:rsidR="002C732F" w:rsidRPr="00BC0B09" w:rsidRDefault="002C732F" w:rsidP="002C732F">
      <w:pPr>
        <w:pStyle w:val="a3"/>
        <w:numPr>
          <w:ilvl w:val="12"/>
          <w:numId w:val="0"/>
        </w:numPr>
        <w:ind w:firstLine="709"/>
        <w:rPr>
          <w:b w:val="0"/>
          <w:szCs w:val="28"/>
        </w:rPr>
      </w:pPr>
    </w:p>
    <w:p w:rsidR="002C732F" w:rsidRDefault="002C732F" w:rsidP="002C732F">
      <w:pPr>
        <w:ind w:left="540"/>
        <w:jc w:val="both"/>
        <w:rPr>
          <w:rStyle w:val="a7"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 xml:space="preserve">  8.</w:t>
      </w:r>
      <w:r w:rsidRPr="00BC0B09">
        <w:rPr>
          <w:sz w:val="28"/>
          <w:szCs w:val="28"/>
          <w:lang w:val="uk-UA"/>
        </w:rPr>
        <w:t xml:space="preserve"> </w:t>
      </w:r>
      <w:r w:rsidRPr="00BC0B09">
        <w:rPr>
          <w:rStyle w:val="a7"/>
          <w:sz w:val="28"/>
          <w:szCs w:val="28"/>
          <w:lang w:val="uk-UA"/>
        </w:rPr>
        <w:t>Визначення показників результативності регуляторного акта</w:t>
      </w:r>
    </w:p>
    <w:p w:rsidR="002C732F" w:rsidRPr="00BC0B09" w:rsidRDefault="002C732F" w:rsidP="002C732F">
      <w:pPr>
        <w:ind w:left="540"/>
        <w:jc w:val="both"/>
        <w:rPr>
          <w:rStyle w:val="a7"/>
          <w:sz w:val="28"/>
          <w:szCs w:val="28"/>
          <w:lang w:val="uk-UA"/>
        </w:rPr>
      </w:pPr>
    </w:p>
    <w:p w:rsidR="002C732F" w:rsidRPr="000704D8" w:rsidRDefault="002C732F" w:rsidP="002C732F">
      <w:pPr>
        <w:shd w:val="clear" w:color="auto" w:fill="FFFFFF"/>
        <w:ind w:right="-104" w:firstLine="720"/>
        <w:jc w:val="both"/>
        <w:rPr>
          <w:sz w:val="28"/>
          <w:szCs w:val="28"/>
          <w:lang w:val="uk-UA"/>
        </w:rPr>
      </w:pPr>
      <w:r w:rsidRPr="00DA1467">
        <w:rPr>
          <w:sz w:val="28"/>
          <w:szCs w:val="28"/>
          <w:lang w:val="uk-UA"/>
        </w:rPr>
        <w:t xml:space="preserve">Після набрання чинності </w:t>
      </w:r>
      <w:r>
        <w:rPr>
          <w:sz w:val="28"/>
          <w:szCs w:val="28"/>
          <w:lang w:val="uk-UA"/>
        </w:rPr>
        <w:t xml:space="preserve">проекту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2F684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його</w:t>
      </w:r>
      <w:r w:rsidRPr="00DA1467">
        <w:rPr>
          <w:sz w:val="28"/>
          <w:szCs w:val="28"/>
          <w:lang w:val="uk-UA"/>
        </w:rPr>
        <w:t xml:space="preserve"> результативність визначатиметься такими кількісними показниками</w:t>
      </w:r>
      <w:r w:rsidRPr="000704D8">
        <w:rPr>
          <w:sz w:val="28"/>
          <w:szCs w:val="28"/>
          <w:lang w:val="uk-UA"/>
        </w:rPr>
        <w:t>:</w:t>
      </w: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>1) розмір надходжень до державного та місцевих бюджетів і державних цільових фондів, пов'язаних з дією акта – не змінюється;</w:t>
      </w: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>2) кількість суб'єктів господарювання та/або фізичних осіб, на яких поширюватиметься дія акта – дія акта поширюється на всіх суб’єктів природних монополій та суб’єктів господарювання на суміжних ринках</w:t>
      </w:r>
      <w:r>
        <w:rPr>
          <w:sz w:val="28"/>
          <w:szCs w:val="28"/>
          <w:lang w:val="uk-UA"/>
        </w:rPr>
        <w:t xml:space="preserve"> у сфері теплопостачання</w:t>
      </w:r>
      <w:r w:rsidRPr="000704D8">
        <w:rPr>
          <w:sz w:val="28"/>
          <w:szCs w:val="28"/>
          <w:lang w:val="uk-UA"/>
        </w:rPr>
        <w:t>;</w:t>
      </w:r>
    </w:p>
    <w:p w:rsidR="002C732F" w:rsidRPr="000704D8" w:rsidRDefault="002C732F" w:rsidP="002C732F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3) розмір </w:t>
      </w:r>
      <w:r w:rsidR="006C2A5A">
        <w:rPr>
          <w:sz w:val="28"/>
          <w:szCs w:val="28"/>
          <w:lang w:val="uk-UA"/>
        </w:rPr>
        <w:t xml:space="preserve">коштів </w:t>
      </w:r>
      <w:r w:rsidRPr="000704D8">
        <w:rPr>
          <w:sz w:val="28"/>
          <w:szCs w:val="28"/>
          <w:lang w:val="uk-UA"/>
        </w:rPr>
        <w:t xml:space="preserve">та час, що витрачатимуться суб'єктами господарювання та/або фізичними особами, пов'язаними з виконанням вимог акта – не змінюється; </w:t>
      </w:r>
    </w:p>
    <w:p w:rsidR="00620329" w:rsidRDefault="002C732F" w:rsidP="004907DA">
      <w:pPr>
        <w:ind w:firstLine="720"/>
        <w:jc w:val="both"/>
        <w:rPr>
          <w:b/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4) рівень поінформованості суб'єктів господарювання та/або фізичних осіб з основних положень акта – </w:t>
      </w:r>
      <w:r>
        <w:rPr>
          <w:sz w:val="28"/>
          <w:szCs w:val="28"/>
          <w:lang w:val="uk-UA"/>
        </w:rPr>
        <w:t>середній</w:t>
      </w:r>
      <w:r w:rsidR="004907DA">
        <w:rPr>
          <w:sz w:val="28"/>
          <w:szCs w:val="28"/>
          <w:lang w:val="uk-UA"/>
        </w:rPr>
        <w:t xml:space="preserve">. </w:t>
      </w:r>
    </w:p>
    <w:p w:rsidR="006C2A5A" w:rsidRPr="00754E19" w:rsidRDefault="006C2A5A" w:rsidP="002C732F">
      <w:pPr>
        <w:pStyle w:val="a5"/>
        <w:spacing w:after="0"/>
        <w:ind w:left="0" w:firstLine="720"/>
        <w:jc w:val="both"/>
        <w:rPr>
          <w:b/>
          <w:sz w:val="32"/>
          <w:szCs w:val="32"/>
          <w:lang w:val="uk-UA"/>
        </w:rPr>
      </w:pPr>
    </w:p>
    <w:p w:rsidR="002C732F" w:rsidRDefault="002C732F" w:rsidP="002C732F">
      <w:pPr>
        <w:pStyle w:val="a5"/>
        <w:spacing w:after="0"/>
        <w:ind w:left="0" w:firstLine="720"/>
        <w:jc w:val="both"/>
        <w:rPr>
          <w:rStyle w:val="a7"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>9.</w:t>
      </w:r>
      <w:r w:rsidRPr="00BC0B09">
        <w:rPr>
          <w:sz w:val="28"/>
          <w:szCs w:val="28"/>
          <w:lang w:val="uk-UA"/>
        </w:rPr>
        <w:t xml:space="preserve"> </w:t>
      </w:r>
      <w:r w:rsidRPr="00BC0B09">
        <w:rPr>
          <w:rStyle w:val="a7"/>
          <w:sz w:val="28"/>
          <w:szCs w:val="28"/>
          <w:lang w:val="uk-UA"/>
        </w:rPr>
        <w:t>Визначення заходів, за допомогою яких буде здійснюватися відстеження результативності регуляторного акта</w:t>
      </w:r>
    </w:p>
    <w:p w:rsidR="002C732F" w:rsidRPr="00754E19" w:rsidRDefault="002C732F" w:rsidP="002C732F">
      <w:pPr>
        <w:pStyle w:val="a5"/>
        <w:spacing w:after="0"/>
        <w:ind w:left="0" w:firstLine="720"/>
        <w:jc w:val="both"/>
        <w:rPr>
          <w:rStyle w:val="a7"/>
          <w:bCs w:val="0"/>
          <w:sz w:val="32"/>
          <w:szCs w:val="32"/>
          <w:lang w:val="uk-UA"/>
        </w:rPr>
      </w:pPr>
    </w:p>
    <w:p w:rsidR="002C732F" w:rsidRPr="00BC0B09" w:rsidRDefault="002C732F" w:rsidP="002C732F">
      <w:pPr>
        <w:pStyle w:val="32"/>
        <w:spacing w:after="0"/>
        <w:ind w:left="0" w:firstLine="720"/>
        <w:jc w:val="both"/>
        <w:rPr>
          <w:sz w:val="28"/>
          <w:szCs w:val="28"/>
          <w:lang w:val="uk-UA"/>
        </w:rPr>
      </w:pPr>
      <w:r w:rsidRPr="00BC0B09">
        <w:rPr>
          <w:sz w:val="28"/>
          <w:szCs w:val="28"/>
          <w:lang w:val="uk-UA"/>
        </w:rPr>
        <w:t>Відстеження результативності регуляторного акта здійснюватиметься відповідно до Закону України «Про засади державної регуляторної політики у сфері господарської діяльності».</w:t>
      </w:r>
    </w:p>
    <w:p w:rsidR="002C732F" w:rsidRPr="00BC0B09" w:rsidRDefault="002C732F" w:rsidP="002C732F">
      <w:pPr>
        <w:pStyle w:val="32"/>
        <w:spacing w:after="0"/>
        <w:ind w:left="0" w:firstLine="720"/>
        <w:jc w:val="both"/>
        <w:rPr>
          <w:sz w:val="28"/>
          <w:szCs w:val="28"/>
          <w:lang w:val="uk-UA"/>
        </w:rPr>
      </w:pPr>
      <w:r w:rsidRPr="00BC0B09">
        <w:rPr>
          <w:sz w:val="28"/>
          <w:szCs w:val="28"/>
          <w:lang w:val="uk-UA"/>
        </w:rPr>
        <w:t>Базове відстеження результативності регуляторного акту буде здійснено після набрання чинності ц</w:t>
      </w:r>
      <w:r>
        <w:rPr>
          <w:sz w:val="28"/>
          <w:szCs w:val="28"/>
          <w:lang w:val="uk-UA"/>
        </w:rPr>
        <w:t>им</w:t>
      </w:r>
      <w:r w:rsidRPr="00BC0B09">
        <w:rPr>
          <w:sz w:val="28"/>
          <w:szCs w:val="28"/>
          <w:lang w:val="uk-UA"/>
        </w:rPr>
        <w:t xml:space="preserve"> регуляторн</w:t>
      </w:r>
      <w:r>
        <w:rPr>
          <w:sz w:val="28"/>
          <w:szCs w:val="28"/>
          <w:lang w:val="uk-UA"/>
        </w:rPr>
        <w:t>им</w:t>
      </w:r>
      <w:r w:rsidRPr="00BC0B09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>ом</w:t>
      </w:r>
      <w:r w:rsidRPr="00BC0B09">
        <w:rPr>
          <w:sz w:val="28"/>
          <w:szCs w:val="28"/>
          <w:lang w:val="uk-UA"/>
        </w:rPr>
        <w:t xml:space="preserve"> шляхом використання виключно статистичн</w:t>
      </w:r>
      <w:r>
        <w:rPr>
          <w:sz w:val="28"/>
          <w:szCs w:val="28"/>
          <w:lang w:val="uk-UA"/>
        </w:rPr>
        <w:t>их даних</w:t>
      </w:r>
      <w:r w:rsidRPr="00BC0B09">
        <w:rPr>
          <w:sz w:val="28"/>
          <w:szCs w:val="28"/>
          <w:lang w:val="uk-UA"/>
        </w:rPr>
        <w:t>.</w:t>
      </w:r>
    </w:p>
    <w:p w:rsidR="002C732F" w:rsidRPr="00BC0B09" w:rsidRDefault="002C732F" w:rsidP="002C732F">
      <w:pPr>
        <w:pStyle w:val="a3"/>
        <w:ind w:firstLine="709"/>
        <w:rPr>
          <w:b w:val="0"/>
          <w:szCs w:val="28"/>
        </w:rPr>
      </w:pPr>
      <w:r w:rsidRPr="00BC0B09">
        <w:rPr>
          <w:b w:val="0"/>
          <w:szCs w:val="28"/>
        </w:rPr>
        <w:t xml:space="preserve">Повторне відстеження результативності регуляторного акта буде здійснено через рік </w:t>
      </w:r>
      <w:r>
        <w:rPr>
          <w:b w:val="0"/>
          <w:szCs w:val="28"/>
        </w:rPr>
        <w:t>після</w:t>
      </w:r>
      <w:r w:rsidRPr="00BC0B09">
        <w:rPr>
          <w:b w:val="0"/>
          <w:szCs w:val="28"/>
        </w:rPr>
        <w:t xml:space="preserve"> набрання ним чинності з метою оцінки ступеня досягнення цим актом визначених цілей</w:t>
      </w:r>
      <w:r w:rsidRPr="00BC0B09">
        <w:rPr>
          <w:szCs w:val="28"/>
        </w:rPr>
        <w:t xml:space="preserve"> </w:t>
      </w:r>
      <w:r w:rsidRPr="00BC0B09">
        <w:rPr>
          <w:b w:val="0"/>
          <w:szCs w:val="28"/>
        </w:rPr>
        <w:t>шляхом використання  виключно статистичн</w:t>
      </w:r>
      <w:r>
        <w:rPr>
          <w:b w:val="0"/>
          <w:szCs w:val="28"/>
        </w:rPr>
        <w:t>их даних</w:t>
      </w:r>
      <w:r w:rsidRPr="00BC0B09">
        <w:rPr>
          <w:b w:val="0"/>
          <w:szCs w:val="28"/>
        </w:rPr>
        <w:t xml:space="preserve">. Одержані при здійсненні повторного відстеження результативності значення показників результативності будуть </w:t>
      </w:r>
      <w:r w:rsidRPr="00BC0B09">
        <w:rPr>
          <w:b w:val="0"/>
          <w:szCs w:val="28"/>
        </w:rPr>
        <w:lastRenderedPageBreak/>
        <w:t>порівнюватися із значеннями цих показників, що були одержані при здійсненні базового відстеження.</w:t>
      </w:r>
    </w:p>
    <w:p w:rsidR="002C732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DA1467">
        <w:rPr>
          <w:sz w:val="28"/>
          <w:szCs w:val="28"/>
          <w:lang w:val="uk-UA"/>
        </w:rPr>
        <w:t>Періодичні відстеження результативності будуть здійснюватися раз на кожні три роки починаючи з дня закінчення заходів з повторного відстеження результативності цього акт</w:t>
      </w:r>
      <w:bookmarkStart w:id="0" w:name="_GoBack"/>
      <w:bookmarkEnd w:id="0"/>
      <w:r w:rsidRPr="00DA1467">
        <w:rPr>
          <w:sz w:val="28"/>
          <w:szCs w:val="28"/>
          <w:lang w:val="uk-UA"/>
        </w:rPr>
        <w:t>а.</w:t>
      </w:r>
    </w:p>
    <w:p w:rsidR="00E63FA5" w:rsidRDefault="00CD2AF5">
      <w:pPr>
        <w:rPr>
          <w:lang w:val="uk-UA"/>
        </w:rPr>
      </w:pPr>
    </w:p>
    <w:p w:rsidR="006C2A5A" w:rsidRDefault="006C2A5A">
      <w:pPr>
        <w:rPr>
          <w:lang w:val="uk-UA"/>
        </w:rPr>
      </w:pPr>
    </w:p>
    <w:p w:rsidR="00754E19" w:rsidRDefault="00754E19" w:rsidP="006C2A5A">
      <w:pPr>
        <w:widowControl w:val="0"/>
        <w:tabs>
          <w:tab w:val="left" w:pos="1080"/>
          <w:tab w:val="left" w:pos="7797"/>
        </w:tabs>
        <w:rPr>
          <w:rFonts w:cs="Arial"/>
          <w:b/>
          <w:snapToGrid w:val="0"/>
          <w:sz w:val="28"/>
          <w:szCs w:val="28"/>
          <w:lang w:val="uk-UA"/>
        </w:rPr>
      </w:pPr>
      <w:r>
        <w:rPr>
          <w:rFonts w:cs="Arial"/>
          <w:b/>
          <w:snapToGrid w:val="0"/>
          <w:sz w:val="28"/>
          <w:szCs w:val="28"/>
          <w:lang w:val="uk-UA"/>
        </w:rPr>
        <w:t>Перший заступник Міністра регіонального</w:t>
      </w:r>
    </w:p>
    <w:p w:rsidR="00754E19" w:rsidRDefault="00754E19" w:rsidP="006C2A5A">
      <w:pPr>
        <w:widowControl w:val="0"/>
        <w:tabs>
          <w:tab w:val="left" w:pos="1080"/>
          <w:tab w:val="left" w:pos="7797"/>
        </w:tabs>
        <w:rPr>
          <w:rFonts w:cs="Arial"/>
          <w:b/>
          <w:snapToGrid w:val="0"/>
          <w:sz w:val="28"/>
          <w:szCs w:val="28"/>
          <w:lang w:val="uk-UA"/>
        </w:rPr>
      </w:pPr>
      <w:r>
        <w:rPr>
          <w:rFonts w:cs="Arial"/>
          <w:b/>
          <w:snapToGrid w:val="0"/>
          <w:sz w:val="28"/>
          <w:szCs w:val="28"/>
          <w:lang w:val="uk-UA"/>
        </w:rPr>
        <w:t xml:space="preserve">розвитку, будівництва </w:t>
      </w:r>
    </w:p>
    <w:p w:rsidR="006C2A5A" w:rsidRPr="006C2A5A" w:rsidRDefault="00754E19" w:rsidP="006C2A5A">
      <w:pPr>
        <w:widowControl w:val="0"/>
        <w:tabs>
          <w:tab w:val="left" w:pos="1080"/>
          <w:tab w:val="left" w:pos="7797"/>
        </w:tabs>
        <w:rPr>
          <w:rFonts w:cs="Arial"/>
          <w:b/>
          <w:snapToGrid w:val="0"/>
          <w:sz w:val="28"/>
          <w:szCs w:val="28"/>
          <w:lang w:val="uk-UA"/>
        </w:rPr>
      </w:pPr>
      <w:r>
        <w:rPr>
          <w:rFonts w:cs="Arial"/>
          <w:b/>
          <w:snapToGrid w:val="0"/>
          <w:sz w:val="28"/>
          <w:szCs w:val="28"/>
          <w:lang w:val="uk-UA"/>
        </w:rPr>
        <w:t>та житлово-комунального господарства України</w:t>
      </w:r>
      <w:r w:rsidR="006C2A5A" w:rsidRPr="006C2A5A">
        <w:rPr>
          <w:rFonts w:cs="Arial"/>
          <w:b/>
          <w:snapToGrid w:val="0"/>
          <w:sz w:val="28"/>
          <w:szCs w:val="28"/>
          <w:lang w:val="uk-UA"/>
        </w:rPr>
        <w:tab/>
      </w:r>
      <w:r>
        <w:rPr>
          <w:rFonts w:cs="Arial"/>
          <w:b/>
          <w:snapToGrid w:val="0"/>
          <w:sz w:val="28"/>
          <w:szCs w:val="28"/>
          <w:lang w:val="uk-UA"/>
        </w:rPr>
        <w:t>В. Негода</w:t>
      </w:r>
    </w:p>
    <w:p w:rsidR="00754E19" w:rsidRDefault="00754E19" w:rsidP="002B1D7A">
      <w:pPr>
        <w:widowControl w:val="0"/>
        <w:tabs>
          <w:tab w:val="left" w:pos="0"/>
          <w:tab w:val="left" w:pos="1080"/>
        </w:tabs>
        <w:rPr>
          <w:rFonts w:cs="Arial"/>
          <w:snapToGrid w:val="0"/>
          <w:sz w:val="28"/>
          <w:szCs w:val="28"/>
          <w:lang w:val="uk-UA"/>
        </w:rPr>
      </w:pPr>
    </w:p>
    <w:p w:rsidR="006C2A5A" w:rsidRPr="002B1D7A" w:rsidRDefault="006C2A5A" w:rsidP="002B1D7A">
      <w:pPr>
        <w:widowControl w:val="0"/>
        <w:tabs>
          <w:tab w:val="left" w:pos="0"/>
          <w:tab w:val="left" w:pos="1080"/>
        </w:tabs>
        <w:rPr>
          <w:rFonts w:cs="Arial"/>
          <w:snapToGrid w:val="0"/>
          <w:sz w:val="28"/>
          <w:szCs w:val="28"/>
          <w:lang w:val="uk-UA"/>
        </w:rPr>
      </w:pPr>
      <w:r w:rsidRPr="004907DA">
        <w:rPr>
          <w:rFonts w:cs="Arial"/>
          <w:snapToGrid w:val="0"/>
          <w:sz w:val="28"/>
          <w:szCs w:val="28"/>
          <w:lang w:val="uk-UA"/>
        </w:rPr>
        <w:t>___ _________2015 р.</w:t>
      </w:r>
    </w:p>
    <w:sectPr w:rsidR="006C2A5A" w:rsidRPr="002B1D7A" w:rsidSect="006C2A5A">
      <w:headerReference w:type="default" r:id="rId6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F5" w:rsidRDefault="00CD2AF5" w:rsidP="002C732F">
      <w:r>
        <w:separator/>
      </w:r>
    </w:p>
  </w:endnote>
  <w:endnote w:type="continuationSeparator" w:id="0">
    <w:p w:rsidR="00CD2AF5" w:rsidRDefault="00CD2AF5" w:rsidP="002C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F5" w:rsidRDefault="00CD2AF5" w:rsidP="002C732F">
      <w:r>
        <w:separator/>
      </w:r>
    </w:p>
  </w:footnote>
  <w:footnote w:type="continuationSeparator" w:id="0">
    <w:p w:rsidR="00CD2AF5" w:rsidRDefault="00CD2AF5" w:rsidP="002C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843756"/>
      <w:docPartObj>
        <w:docPartGallery w:val="Page Numbers (Top of Page)"/>
        <w:docPartUnique/>
      </w:docPartObj>
    </w:sdtPr>
    <w:sdtEndPr/>
    <w:sdtContent>
      <w:p w:rsidR="002C732F" w:rsidRDefault="002C73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19" w:rsidRPr="00754E19">
          <w:rPr>
            <w:noProof/>
            <w:lang w:val="uk-UA"/>
          </w:rPr>
          <w:t>5</w:t>
        </w:r>
        <w:r>
          <w:fldChar w:fldCharType="end"/>
        </w:r>
      </w:p>
    </w:sdtContent>
  </w:sdt>
  <w:p w:rsidR="002C732F" w:rsidRDefault="002C73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F"/>
    <w:rsid w:val="002B1D7A"/>
    <w:rsid w:val="002C732F"/>
    <w:rsid w:val="00343815"/>
    <w:rsid w:val="004907DA"/>
    <w:rsid w:val="00620329"/>
    <w:rsid w:val="006C18D7"/>
    <w:rsid w:val="006C2A5A"/>
    <w:rsid w:val="00754E19"/>
    <w:rsid w:val="0096110C"/>
    <w:rsid w:val="00BC43EA"/>
    <w:rsid w:val="00CA5FCE"/>
    <w:rsid w:val="00CD2AF5"/>
    <w:rsid w:val="00EF74F8"/>
    <w:rsid w:val="00F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59B0-92E1-46CF-8170-D93E8ED8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C73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31">
    <w:name w:val="Основний текст 31"/>
    <w:basedOn w:val="a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 w:val="28"/>
      <w:szCs w:val="20"/>
      <w:lang w:val="uk-UA"/>
    </w:rPr>
  </w:style>
  <w:style w:type="paragraph" w:customStyle="1" w:styleId="HTML1">
    <w:name w:val="Стандартний HTML1"/>
    <w:basedOn w:val="a"/>
    <w:rsid w:val="002C7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1"/>
      <w:szCs w:val="20"/>
    </w:rPr>
  </w:style>
  <w:style w:type="paragraph" w:styleId="3">
    <w:name w:val="Body Text 3"/>
    <w:basedOn w:val="a"/>
    <w:link w:val="30"/>
    <w:rsid w:val="002C732F"/>
    <w:pPr>
      <w:spacing w:line="36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C73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732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C732F"/>
    <w:rPr>
      <w:b/>
      <w:bCs/>
    </w:rPr>
  </w:style>
  <w:style w:type="character" w:styleId="a8">
    <w:name w:val="Hyperlink"/>
    <w:rsid w:val="002C732F"/>
    <w:rPr>
      <w:color w:val="0000FF"/>
      <w:u w:val="single"/>
    </w:rPr>
  </w:style>
  <w:style w:type="paragraph" w:styleId="32">
    <w:name w:val="Body Text Indent 3"/>
    <w:basedOn w:val="a"/>
    <w:link w:val="33"/>
    <w:rsid w:val="002C732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C73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tinuedBodyText">
    <w:name w:val="Continued Body Text"/>
    <w:basedOn w:val="a"/>
    <w:uiPriority w:val="99"/>
    <w:rsid w:val="002C732F"/>
    <w:pPr>
      <w:spacing w:line="288" w:lineRule="auto"/>
      <w:ind w:firstLine="284"/>
      <w:jc w:val="both"/>
    </w:pPr>
    <w:rPr>
      <w:szCs w:val="20"/>
      <w:lang w:val="en-US"/>
    </w:rPr>
  </w:style>
  <w:style w:type="character" w:customStyle="1" w:styleId="rvts23">
    <w:name w:val="rvts23"/>
    <w:basedOn w:val="a0"/>
    <w:rsid w:val="002C732F"/>
  </w:style>
  <w:style w:type="paragraph" w:customStyle="1" w:styleId="rvps2">
    <w:name w:val="rvps2"/>
    <w:basedOn w:val="a"/>
    <w:uiPriority w:val="99"/>
    <w:rsid w:val="002C732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2A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2A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Минрегионбуд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Інеса Олександрівна</dc:creator>
  <cp:keywords/>
  <dc:description/>
  <cp:lastModifiedBy>Володимир</cp:lastModifiedBy>
  <cp:revision>5</cp:revision>
  <cp:lastPrinted>2015-10-30T18:35:00Z</cp:lastPrinted>
  <dcterms:created xsi:type="dcterms:W3CDTF">2015-10-30T17:31:00Z</dcterms:created>
  <dcterms:modified xsi:type="dcterms:W3CDTF">2016-01-12T16:03:00Z</dcterms:modified>
</cp:coreProperties>
</file>