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24" w:rsidRPr="00273107" w:rsidRDefault="004B0D24" w:rsidP="004B0D24">
      <w:pPr>
        <w:autoSpaceDE/>
        <w:autoSpaceDN/>
        <w:ind w:left="6096"/>
        <w:jc w:val="center"/>
        <w:rPr>
          <w:iCs/>
          <w:sz w:val="28"/>
          <w:szCs w:val="28"/>
          <w:lang w:val="uk-UA"/>
        </w:rPr>
      </w:pPr>
      <w:r w:rsidRPr="00273107">
        <w:rPr>
          <w:iCs/>
          <w:sz w:val="28"/>
          <w:szCs w:val="28"/>
          <w:lang w:val="uk-UA"/>
        </w:rPr>
        <w:t>Додаток 2</w:t>
      </w:r>
    </w:p>
    <w:p w:rsidR="004B0D24" w:rsidRPr="00273107" w:rsidRDefault="004B0D24" w:rsidP="004B0D24">
      <w:pPr>
        <w:autoSpaceDE/>
        <w:autoSpaceDN/>
        <w:ind w:left="6096"/>
        <w:jc w:val="center"/>
        <w:rPr>
          <w:sz w:val="28"/>
          <w:szCs w:val="28"/>
          <w:lang w:val="uk-UA" w:eastAsia="ru-RU"/>
        </w:rPr>
      </w:pPr>
      <w:r w:rsidRPr="00273107">
        <w:rPr>
          <w:sz w:val="28"/>
          <w:szCs w:val="28"/>
          <w:lang w:val="uk-UA" w:eastAsia="ru-RU"/>
        </w:rPr>
        <w:t>до Технічного регламенту</w:t>
      </w:r>
    </w:p>
    <w:p w:rsidR="004B0D24" w:rsidRPr="00273107" w:rsidRDefault="004B0D24" w:rsidP="004B0D24">
      <w:pPr>
        <w:pStyle w:val="a3"/>
        <w:widowControl/>
        <w:jc w:val="center"/>
        <w:rPr>
          <w:spacing w:val="0"/>
          <w:kern w:val="0"/>
          <w:position w:val="0"/>
          <w:sz w:val="28"/>
          <w:szCs w:val="28"/>
          <w:lang w:val="uk-UA" w:eastAsia="ru-RU"/>
        </w:rPr>
      </w:pPr>
    </w:p>
    <w:p w:rsidR="004B0D24" w:rsidRDefault="00102E56" w:rsidP="004B0D24">
      <w:pPr>
        <w:pStyle w:val="a3"/>
        <w:widowControl/>
        <w:jc w:val="center"/>
        <w:rPr>
          <w:b/>
          <w:spacing w:val="0"/>
          <w:kern w:val="0"/>
          <w:position w:val="0"/>
          <w:sz w:val="28"/>
          <w:szCs w:val="28"/>
          <w:lang w:val="uk-UA" w:eastAsia="ru-RU"/>
        </w:rPr>
      </w:pPr>
      <w:r>
        <w:rPr>
          <w:b/>
          <w:spacing w:val="0"/>
          <w:kern w:val="0"/>
          <w:position w:val="0"/>
          <w:sz w:val="28"/>
          <w:szCs w:val="28"/>
          <w:lang w:val="uk-UA" w:eastAsia="ru-RU"/>
        </w:rPr>
        <w:t xml:space="preserve">Вимоги до </w:t>
      </w:r>
      <w:proofErr w:type="spellStart"/>
      <w:r>
        <w:rPr>
          <w:b/>
          <w:spacing w:val="0"/>
          <w:kern w:val="0"/>
          <w:position w:val="0"/>
          <w:sz w:val="28"/>
          <w:szCs w:val="28"/>
          <w:lang w:val="uk-UA" w:eastAsia="ru-RU"/>
        </w:rPr>
        <w:t>екодизайну</w:t>
      </w:r>
      <w:proofErr w:type="spellEnd"/>
      <w:r w:rsidR="00B3109F">
        <w:rPr>
          <w:b/>
          <w:spacing w:val="0"/>
          <w:kern w:val="0"/>
          <w:position w:val="0"/>
          <w:sz w:val="28"/>
          <w:szCs w:val="28"/>
          <w:lang w:val="uk-UA" w:eastAsia="ru-RU"/>
        </w:rPr>
        <w:t xml:space="preserve"> </w:t>
      </w:r>
    </w:p>
    <w:p w:rsidR="00B3109F" w:rsidRPr="003239D7" w:rsidRDefault="00B3109F" w:rsidP="004B0D24">
      <w:pPr>
        <w:pStyle w:val="a3"/>
        <w:widowControl/>
        <w:jc w:val="center"/>
        <w:rPr>
          <w:b/>
          <w:spacing w:val="0"/>
          <w:kern w:val="0"/>
          <w:position w:val="0"/>
          <w:sz w:val="28"/>
          <w:szCs w:val="28"/>
          <w:lang w:val="uk-UA" w:eastAsia="ru-RU"/>
        </w:rPr>
      </w:pPr>
    </w:p>
    <w:p w:rsidR="00B3109F" w:rsidRPr="003239D7" w:rsidRDefault="00102E56" w:rsidP="00C30832">
      <w:pPr>
        <w:pStyle w:val="a3"/>
        <w:widowControl/>
        <w:numPr>
          <w:ilvl w:val="0"/>
          <w:numId w:val="11"/>
        </w:numPr>
        <w:ind w:left="0" w:firstLine="567"/>
        <w:rPr>
          <w:spacing w:val="0"/>
          <w:kern w:val="0"/>
          <w:position w:val="0"/>
          <w:sz w:val="28"/>
          <w:szCs w:val="28"/>
          <w:lang w:val="uk-UA" w:eastAsia="ru-RU"/>
        </w:rPr>
      </w:pPr>
      <w:r w:rsidRPr="003239D7">
        <w:rPr>
          <w:spacing w:val="0"/>
          <w:kern w:val="0"/>
          <w:position w:val="0"/>
          <w:sz w:val="28"/>
          <w:szCs w:val="28"/>
          <w:lang w:val="uk-UA" w:eastAsia="ru-RU"/>
        </w:rPr>
        <w:t>ВИМОГИ ДО ЕКОДИЗАЙНУ ДЛЯ ВОДОНАГРІВАЧІВ</w:t>
      </w:r>
    </w:p>
    <w:p w:rsidR="00102E56" w:rsidRPr="003239D7" w:rsidRDefault="00102E56" w:rsidP="00102E56">
      <w:pPr>
        <w:pStyle w:val="a3"/>
        <w:widowControl/>
        <w:ind w:left="927"/>
        <w:rPr>
          <w:spacing w:val="0"/>
          <w:kern w:val="0"/>
          <w:position w:val="0"/>
          <w:sz w:val="28"/>
          <w:szCs w:val="28"/>
          <w:lang w:val="uk-UA" w:eastAsia="ru-RU"/>
        </w:rPr>
      </w:pPr>
    </w:p>
    <w:p w:rsidR="00102E56" w:rsidRPr="003239D7" w:rsidRDefault="00716AA8" w:rsidP="00C30832">
      <w:pPr>
        <w:pStyle w:val="a3"/>
        <w:widowControl/>
        <w:numPr>
          <w:ilvl w:val="0"/>
          <w:numId w:val="10"/>
        </w:numPr>
        <w:rPr>
          <w:spacing w:val="0"/>
          <w:kern w:val="0"/>
          <w:position w:val="0"/>
          <w:sz w:val="28"/>
          <w:szCs w:val="28"/>
          <w:lang w:val="uk-UA" w:eastAsia="ru-RU"/>
        </w:rPr>
      </w:pPr>
      <w:r>
        <w:rPr>
          <w:spacing w:val="0"/>
          <w:kern w:val="0"/>
          <w:position w:val="0"/>
          <w:sz w:val="28"/>
          <w:szCs w:val="28"/>
          <w:lang w:val="uk-UA" w:eastAsia="ru-RU"/>
        </w:rPr>
        <w:t xml:space="preserve">Вимоги до енергоефективності (ККД) </w:t>
      </w:r>
      <w:r w:rsidR="00102E56" w:rsidRPr="003239D7">
        <w:rPr>
          <w:spacing w:val="0"/>
          <w:kern w:val="0"/>
          <w:position w:val="0"/>
          <w:sz w:val="28"/>
          <w:szCs w:val="28"/>
          <w:lang w:val="uk-UA" w:eastAsia="ru-RU"/>
        </w:rPr>
        <w:t>нагріву води</w:t>
      </w:r>
    </w:p>
    <w:p w:rsidR="00102E56" w:rsidRPr="003239D7" w:rsidRDefault="00102E56" w:rsidP="00102E56">
      <w:pPr>
        <w:pStyle w:val="a3"/>
        <w:widowControl/>
        <w:ind w:firstLine="567"/>
        <w:rPr>
          <w:spacing w:val="0"/>
          <w:kern w:val="0"/>
          <w:position w:val="0"/>
          <w:sz w:val="28"/>
          <w:szCs w:val="28"/>
          <w:lang w:val="uk-UA" w:eastAsia="ru-RU"/>
        </w:rPr>
      </w:pPr>
    </w:p>
    <w:p w:rsidR="00B3109F" w:rsidRPr="003239D7" w:rsidRDefault="00C30832" w:rsidP="00745016">
      <w:pPr>
        <w:pStyle w:val="a3"/>
        <w:widowControl/>
        <w:spacing w:after="24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 w:eastAsia="ru-RU"/>
        </w:rPr>
      </w:pPr>
      <w:r>
        <w:rPr>
          <w:spacing w:val="0"/>
          <w:kern w:val="0"/>
          <w:position w:val="0"/>
          <w:sz w:val="28"/>
          <w:szCs w:val="28"/>
          <w:lang w:eastAsia="ru-RU"/>
        </w:rPr>
        <w:t>1</w:t>
      </w:r>
      <w:r w:rsidR="00E92755" w:rsidRPr="003239D7">
        <w:rPr>
          <w:spacing w:val="0"/>
          <w:kern w:val="0"/>
          <w:position w:val="0"/>
          <w:sz w:val="28"/>
          <w:szCs w:val="28"/>
          <w:lang w:val="uk-UA" w:eastAsia="ru-RU"/>
        </w:rPr>
        <w:t xml:space="preserve">) </w:t>
      </w:r>
      <w:r w:rsidR="00102E56" w:rsidRPr="003239D7">
        <w:rPr>
          <w:spacing w:val="0"/>
          <w:kern w:val="0"/>
          <w:position w:val="0"/>
          <w:sz w:val="28"/>
          <w:szCs w:val="28"/>
          <w:lang w:val="uk-UA" w:eastAsia="ru-RU"/>
        </w:rPr>
        <w:t xml:space="preserve">Через 2 роки </w:t>
      </w:r>
      <w:r w:rsidR="009937B2" w:rsidRPr="003239D7">
        <w:rPr>
          <w:spacing w:val="0"/>
          <w:kern w:val="0"/>
          <w:position w:val="0"/>
          <w:sz w:val="28"/>
          <w:szCs w:val="28"/>
          <w:lang w:val="uk-UA" w:eastAsia="ru-RU"/>
        </w:rPr>
        <w:t>з дати</w:t>
      </w:r>
      <w:r w:rsidR="00102E56" w:rsidRPr="003239D7">
        <w:rPr>
          <w:spacing w:val="0"/>
          <w:kern w:val="0"/>
          <w:position w:val="0"/>
          <w:sz w:val="28"/>
          <w:szCs w:val="28"/>
          <w:lang w:val="uk-UA" w:eastAsia="ru-RU"/>
        </w:rPr>
        <w:t xml:space="preserve"> набрання чинності цим Технічним регламентом енергоефективн</w:t>
      </w:r>
      <w:r w:rsidR="00C1148A" w:rsidRPr="003239D7">
        <w:rPr>
          <w:spacing w:val="0"/>
          <w:kern w:val="0"/>
          <w:position w:val="0"/>
          <w:sz w:val="28"/>
          <w:szCs w:val="28"/>
          <w:lang w:val="uk-UA" w:eastAsia="ru-RU"/>
        </w:rPr>
        <w:t>ість</w:t>
      </w:r>
      <w:r w:rsidR="00102E56" w:rsidRPr="003239D7">
        <w:rPr>
          <w:spacing w:val="0"/>
          <w:kern w:val="0"/>
          <w:position w:val="0"/>
          <w:sz w:val="28"/>
          <w:szCs w:val="28"/>
          <w:lang w:val="uk-UA" w:eastAsia="ru-RU"/>
        </w:rPr>
        <w:t xml:space="preserve"> нагріву води водонагрівачів повинна бути не н</w:t>
      </w:r>
      <w:r w:rsidR="00681D80">
        <w:rPr>
          <w:spacing w:val="0"/>
          <w:kern w:val="0"/>
          <w:position w:val="0"/>
          <w:sz w:val="28"/>
          <w:szCs w:val="28"/>
          <w:lang w:val="uk-UA" w:eastAsia="ru-RU"/>
        </w:rPr>
        <w:t>и</w:t>
      </w:r>
      <w:r w:rsidR="00102E56" w:rsidRPr="003239D7">
        <w:rPr>
          <w:spacing w:val="0"/>
          <w:kern w:val="0"/>
          <w:position w:val="0"/>
          <w:sz w:val="28"/>
          <w:szCs w:val="28"/>
          <w:lang w:val="uk-UA" w:eastAsia="ru-RU"/>
        </w:rPr>
        <w:t>жче наступних значень:</w:t>
      </w: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E92755" w:rsidRPr="003239D7" w:rsidTr="00E92755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E92755" w:rsidRPr="003239D7" w:rsidRDefault="00E92755" w:rsidP="00E92755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>Заявлений профіль навантаження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3XS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XXS</w:t>
            </w:r>
          </w:p>
        </w:tc>
        <w:tc>
          <w:tcPr>
            <w:tcW w:w="708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XS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M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L</w:t>
            </w:r>
          </w:p>
        </w:tc>
        <w:tc>
          <w:tcPr>
            <w:tcW w:w="708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XL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XXL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3XL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4XL</w:t>
            </w:r>
          </w:p>
        </w:tc>
      </w:tr>
      <w:tr w:rsidR="00E92755" w:rsidRPr="003239D7" w:rsidTr="00E92755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E92755" w:rsidRPr="003239D7" w:rsidRDefault="00E92755" w:rsidP="00E92755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 xml:space="preserve">Енергоефективність </w:t>
            </w:r>
            <w:r w:rsidR="00716AA8">
              <w:rPr>
                <w:lang w:val="uk-UA"/>
              </w:rPr>
              <w:t xml:space="preserve">(ККД) </w:t>
            </w:r>
            <w:r w:rsidRPr="003239D7">
              <w:rPr>
                <w:lang w:val="uk-UA"/>
              </w:rPr>
              <w:t>нагріву води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22 %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23 %</w:t>
            </w:r>
          </w:p>
        </w:tc>
        <w:tc>
          <w:tcPr>
            <w:tcW w:w="708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26 %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26 %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30 %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30 %</w:t>
            </w:r>
          </w:p>
        </w:tc>
        <w:tc>
          <w:tcPr>
            <w:tcW w:w="708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30 %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709" w:type="dxa"/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</w:tr>
      <w:tr w:rsidR="00E92755" w:rsidRPr="003239D7" w:rsidTr="00E92755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E92755" w:rsidRPr="003239D7" w:rsidRDefault="00E92755" w:rsidP="00E04769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 xml:space="preserve">Крім того, для </w:t>
            </w:r>
            <w:r w:rsidRPr="00F94B95">
              <w:rPr>
                <w:lang w:val="uk-UA"/>
              </w:rPr>
              <w:t xml:space="preserve">водонагрівачів із параметром </w:t>
            </w:r>
            <w:proofErr w:type="spellStart"/>
            <w:r w:rsidRPr="00F94B95">
              <w:rPr>
                <w:i/>
                <w:lang w:val="uk-UA"/>
              </w:rPr>
              <w:t>smart</w:t>
            </w:r>
            <w:proofErr w:type="spellEnd"/>
            <w:r w:rsidR="00C1148A" w:rsidRPr="00F94B95">
              <w:rPr>
                <w:i/>
                <w:lang w:val="uk-UA"/>
              </w:rPr>
              <w:t xml:space="preserve"> </w:t>
            </w:r>
            <w:r w:rsidRPr="00F94B95">
              <w:rPr>
                <w:lang w:val="uk-UA"/>
              </w:rPr>
              <w:t xml:space="preserve"> </w:t>
            </w:r>
            <w:r w:rsidR="00E04769">
              <w:rPr>
                <w:lang w:val="uk-UA"/>
              </w:rPr>
              <w:t xml:space="preserve">= </w:t>
            </w:r>
            <w:r w:rsidRPr="00F94B95">
              <w:rPr>
                <w:lang w:val="uk-UA"/>
              </w:rPr>
              <w:t xml:space="preserve">«1»: </w:t>
            </w:r>
            <w:proofErr w:type="spellStart"/>
            <w:r w:rsidRPr="00F94B95">
              <w:rPr>
                <w:lang w:val="uk-UA"/>
              </w:rPr>
              <w:t>енерго</w:t>
            </w:r>
            <w:proofErr w:type="spellEnd"/>
            <w:r w:rsidR="00C1148A" w:rsidRPr="00F94B95">
              <w:rPr>
                <w:lang w:val="uk-UA"/>
              </w:rPr>
              <w:t>-</w:t>
            </w:r>
            <w:r w:rsidRPr="00F94B95">
              <w:rPr>
                <w:lang w:val="uk-UA"/>
              </w:rPr>
              <w:t xml:space="preserve">ефективність нагріву води розраховується для </w:t>
            </w:r>
            <w:proofErr w:type="spellStart"/>
            <w:r w:rsidRPr="00F94B95">
              <w:rPr>
                <w:i/>
                <w:lang w:val="uk-UA"/>
              </w:rPr>
              <w:t>smart</w:t>
            </w:r>
            <w:proofErr w:type="spellEnd"/>
            <w:r w:rsidRPr="00F94B95">
              <w:rPr>
                <w:lang w:val="uk-UA"/>
              </w:rPr>
              <w:t xml:space="preserve"> = 0 з випробуваннями в умовах заявленого</w:t>
            </w:r>
            <w:r w:rsidRPr="003239D7">
              <w:rPr>
                <w:lang w:val="uk-UA"/>
              </w:rPr>
              <w:t xml:space="preserve"> профілю навантаження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19 %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20 %</w:t>
            </w:r>
          </w:p>
        </w:tc>
        <w:tc>
          <w:tcPr>
            <w:tcW w:w="708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23 %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23 %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27 %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27 %</w:t>
            </w:r>
          </w:p>
        </w:tc>
        <w:tc>
          <w:tcPr>
            <w:tcW w:w="708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27 %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28 %</w:t>
            </w:r>
          </w:p>
        </w:tc>
        <w:tc>
          <w:tcPr>
            <w:tcW w:w="709" w:type="dxa"/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28 %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</w:p>
          <w:p w:rsidR="00E92755" w:rsidRPr="003239D7" w:rsidRDefault="00E92755" w:rsidP="00E92755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28 %</w:t>
            </w:r>
          </w:p>
        </w:tc>
      </w:tr>
    </w:tbl>
    <w:p w:rsidR="00E92755" w:rsidRPr="003239D7" w:rsidRDefault="00C30832" w:rsidP="00745016">
      <w:pPr>
        <w:pStyle w:val="Style34"/>
        <w:widowControl/>
        <w:tabs>
          <w:tab w:val="left" w:pos="851"/>
        </w:tabs>
        <w:spacing w:before="24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>) Через 4 роки</w:t>
      </w:r>
      <w:r w:rsidR="009937B2" w:rsidRPr="003239D7">
        <w:rPr>
          <w:rFonts w:ascii="Times New Roman" w:hAnsi="Times New Roman"/>
          <w:sz w:val="28"/>
          <w:szCs w:val="28"/>
          <w:lang w:eastAsia="ru-RU"/>
        </w:rPr>
        <w:t xml:space="preserve"> з дати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 xml:space="preserve"> набрання чинності цим Технічним регламентом енергоефективність нагріву води водонагрівачів повинна бути не н</w:t>
      </w:r>
      <w:r w:rsidR="00716AA8">
        <w:rPr>
          <w:rFonts w:ascii="Times New Roman" w:hAnsi="Times New Roman"/>
          <w:sz w:val="28"/>
          <w:szCs w:val="28"/>
          <w:lang w:eastAsia="ru-RU"/>
        </w:rPr>
        <w:t>и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>жче наступних значень:</w:t>
      </w:r>
      <w:r w:rsidR="00763A88" w:rsidRPr="003239D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C1148A" w:rsidRPr="003239D7" w:rsidTr="00C1148A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>Заявлений профіль навантаження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3XS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XXS</w:t>
            </w:r>
          </w:p>
        </w:tc>
        <w:tc>
          <w:tcPr>
            <w:tcW w:w="708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XS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S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M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L</w:t>
            </w:r>
          </w:p>
        </w:tc>
        <w:tc>
          <w:tcPr>
            <w:tcW w:w="708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XL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XXL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3XL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4XL</w:t>
            </w:r>
          </w:p>
        </w:tc>
      </w:tr>
      <w:tr w:rsidR="00C1148A" w:rsidRPr="003239D7" w:rsidTr="00C1148A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 xml:space="preserve">Енергоефективність </w:t>
            </w:r>
            <w:r w:rsidR="002C16CE">
              <w:rPr>
                <w:lang w:val="uk-UA"/>
              </w:rPr>
              <w:t xml:space="preserve">(ККД) </w:t>
            </w:r>
            <w:r w:rsidRPr="003239D7">
              <w:rPr>
                <w:lang w:val="uk-UA"/>
              </w:rPr>
              <w:t>нагріву води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708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32 %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36 %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37 %</w:t>
            </w:r>
          </w:p>
        </w:tc>
        <w:tc>
          <w:tcPr>
            <w:tcW w:w="708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37 %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37 %</w:t>
            </w:r>
          </w:p>
        </w:tc>
        <w:tc>
          <w:tcPr>
            <w:tcW w:w="709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37 %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38 %</w:t>
            </w:r>
          </w:p>
        </w:tc>
      </w:tr>
      <w:tr w:rsidR="00C1148A" w:rsidRPr="003239D7" w:rsidTr="00C1148A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C1148A" w:rsidRPr="003239D7" w:rsidRDefault="00C1148A" w:rsidP="00E04769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 xml:space="preserve">Крім того, для </w:t>
            </w:r>
            <w:r w:rsidRPr="00F94B95">
              <w:rPr>
                <w:lang w:val="uk-UA"/>
              </w:rPr>
              <w:t xml:space="preserve">водонагрівачів з параметром </w:t>
            </w:r>
            <w:proofErr w:type="spellStart"/>
            <w:r w:rsidRPr="00F94B95">
              <w:rPr>
                <w:i/>
                <w:lang w:val="uk-UA"/>
              </w:rPr>
              <w:t>smart</w:t>
            </w:r>
            <w:proofErr w:type="spellEnd"/>
            <w:r w:rsidR="00E04769">
              <w:rPr>
                <w:lang w:val="uk-UA"/>
              </w:rPr>
              <w:t>=</w:t>
            </w:r>
            <w:r w:rsidRPr="00F94B95">
              <w:rPr>
                <w:lang w:val="uk-UA"/>
              </w:rPr>
              <w:t xml:space="preserve"> «1»: </w:t>
            </w:r>
            <w:proofErr w:type="spellStart"/>
            <w:r w:rsidRPr="00F94B95">
              <w:rPr>
                <w:lang w:val="uk-UA"/>
              </w:rPr>
              <w:t>енерго</w:t>
            </w:r>
            <w:proofErr w:type="spellEnd"/>
            <w:r w:rsidRPr="00F94B95">
              <w:rPr>
                <w:lang w:val="uk-UA"/>
              </w:rPr>
              <w:t xml:space="preserve">-ефективність нагріву води розраховується для </w:t>
            </w:r>
            <w:proofErr w:type="spellStart"/>
            <w:r w:rsidRPr="00F94B95">
              <w:rPr>
                <w:i/>
                <w:lang w:val="uk-UA"/>
              </w:rPr>
              <w:t>smart</w:t>
            </w:r>
            <w:proofErr w:type="spellEnd"/>
            <w:r w:rsidRPr="00F94B95">
              <w:rPr>
                <w:lang w:val="uk-UA"/>
              </w:rPr>
              <w:t xml:space="preserve"> = 0 з випробуваннями в умовах заявленого</w:t>
            </w:r>
            <w:r w:rsidRPr="003239D7">
              <w:rPr>
                <w:lang w:val="uk-UA"/>
              </w:rPr>
              <w:t xml:space="preserve"> профілю навантаження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29 %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29 %</w:t>
            </w:r>
          </w:p>
        </w:tc>
        <w:tc>
          <w:tcPr>
            <w:tcW w:w="708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29 %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29 %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33 %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34 %</w:t>
            </w:r>
          </w:p>
        </w:tc>
        <w:tc>
          <w:tcPr>
            <w:tcW w:w="708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35 %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36 %</w:t>
            </w:r>
          </w:p>
        </w:tc>
        <w:tc>
          <w:tcPr>
            <w:tcW w:w="709" w:type="dxa"/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36 %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</w:p>
          <w:p w:rsidR="00C1148A" w:rsidRPr="003239D7" w:rsidRDefault="00C1148A" w:rsidP="00C1148A">
            <w:pPr>
              <w:adjustRightInd w:val="0"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36 %</w:t>
            </w:r>
          </w:p>
        </w:tc>
      </w:tr>
    </w:tbl>
    <w:p w:rsidR="00E92755" w:rsidRPr="003239D7" w:rsidRDefault="00C30832" w:rsidP="00745016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3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 xml:space="preserve">) Через 5 років </w:t>
      </w:r>
      <w:r w:rsidR="009937B2" w:rsidRPr="003239D7">
        <w:rPr>
          <w:rFonts w:ascii="Times New Roman" w:hAnsi="Times New Roman"/>
          <w:sz w:val="28"/>
          <w:szCs w:val="28"/>
          <w:lang w:eastAsia="ru-RU"/>
        </w:rPr>
        <w:t>з дати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 xml:space="preserve"> набрання чинності цим Технічним регламентом енергоефективність нагріву води водонагрівачів повинна бути не н</w:t>
      </w:r>
      <w:r w:rsidR="00681D80">
        <w:rPr>
          <w:rFonts w:ascii="Times New Roman" w:hAnsi="Times New Roman"/>
          <w:sz w:val="28"/>
          <w:szCs w:val="28"/>
          <w:lang w:eastAsia="ru-RU"/>
        </w:rPr>
        <w:t>и</w:t>
      </w:r>
      <w:r w:rsidR="00C1148A" w:rsidRPr="003239D7">
        <w:rPr>
          <w:rFonts w:ascii="Times New Roman" w:hAnsi="Times New Roman"/>
          <w:sz w:val="28"/>
          <w:szCs w:val="28"/>
          <w:lang w:eastAsia="ru-RU"/>
        </w:rPr>
        <w:t>жче наступних значень:</w:t>
      </w: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148A" w:rsidRPr="003239D7" w:rsidTr="00C1148A"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>Заявлений профіль навантаження</w:t>
            </w:r>
          </w:p>
        </w:tc>
        <w:tc>
          <w:tcPr>
            <w:tcW w:w="2393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XXL</w:t>
            </w:r>
          </w:p>
        </w:tc>
        <w:tc>
          <w:tcPr>
            <w:tcW w:w="2393" w:type="dxa"/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3XL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3239D7">
              <w:rPr>
                <w:b/>
                <w:bCs/>
                <w:lang w:val="uk-UA"/>
              </w:rPr>
              <w:t>4XL</w:t>
            </w:r>
          </w:p>
        </w:tc>
      </w:tr>
      <w:tr w:rsidR="00C1148A" w:rsidRPr="003239D7" w:rsidTr="00C1148A"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C1148A" w:rsidRPr="003239D7" w:rsidRDefault="00C1148A" w:rsidP="00C1148A">
            <w:pPr>
              <w:autoSpaceDE/>
              <w:autoSpaceDN/>
              <w:contextualSpacing/>
              <w:rPr>
                <w:lang w:val="uk-UA"/>
              </w:rPr>
            </w:pPr>
            <w:r w:rsidRPr="003239D7">
              <w:rPr>
                <w:lang w:val="uk-UA"/>
              </w:rPr>
              <w:t>Енергоефективність нагріву води</w:t>
            </w:r>
          </w:p>
        </w:tc>
        <w:tc>
          <w:tcPr>
            <w:tcW w:w="2393" w:type="dxa"/>
            <w:vAlign w:val="center"/>
          </w:tcPr>
          <w:p w:rsidR="00C1148A" w:rsidRPr="003239D7" w:rsidRDefault="00C1148A" w:rsidP="00C1148A">
            <w:pPr>
              <w:autoSpaceDE/>
              <w:autoSpaceDN/>
              <w:jc w:val="center"/>
              <w:rPr>
                <w:lang w:val="uk-UA"/>
              </w:rPr>
            </w:pPr>
            <w:r w:rsidRPr="003239D7">
              <w:rPr>
                <w:lang w:val="uk-UA"/>
              </w:rPr>
              <w:t>60 %</w:t>
            </w:r>
          </w:p>
        </w:tc>
        <w:tc>
          <w:tcPr>
            <w:tcW w:w="2393" w:type="dxa"/>
            <w:vAlign w:val="center"/>
          </w:tcPr>
          <w:p w:rsidR="00C1148A" w:rsidRPr="00C30832" w:rsidRDefault="00C1148A" w:rsidP="00C30832">
            <w:pPr>
              <w:pStyle w:val="a5"/>
              <w:numPr>
                <w:ilvl w:val="0"/>
                <w:numId w:val="13"/>
              </w:numPr>
              <w:autoSpaceDE/>
              <w:autoSpaceDN/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C1148A" w:rsidRPr="00C30832" w:rsidRDefault="00C1148A" w:rsidP="00C30832">
            <w:pPr>
              <w:pStyle w:val="a5"/>
              <w:numPr>
                <w:ilvl w:val="0"/>
                <w:numId w:val="12"/>
              </w:numPr>
              <w:autoSpaceDE/>
              <w:autoSpaceDN/>
              <w:jc w:val="center"/>
              <w:rPr>
                <w:lang w:val="uk-UA"/>
              </w:rPr>
            </w:pPr>
          </w:p>
        </w:tc>
      </w:tr>
    </w:tbl>
    <w:p w:rsidR="00E92755" w:rsidRPr="003239D7" w:rsidRDefault="00E92755" w:rsidP="0025154F">
      <w:pPr>
        <w:pStyle w:val="Style34"/>
        <w:widowControl/>
        <w:tabs>
          <w:tab w:val="left" w:pos="851"/>
        </w:tabs>
        <w:spacing w:before="110" w:after="240" w:line="24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</w:p>
    <w:p w:rsidR="00E92755" w:rsidRPr="003239D7" w:rsidRDefault="000355C6" w:rsidP="00C30832">
      <w:pPr>
        <w:pStyle w:val="Style34"/>
        <w:widowControl/>
        <w:numPr>
          <w:ilvl w:val="0"/>
          <w:numId w:val="10"/>
        </w:numPr>
        <w:tabs>
          <w:tab w:val="left" w:pos="0"/>
        </w:tabs>
        <w:spacing w:before="110" w:after="240" w:line="276" w:lineRule="auto"/>
        <w:ind w:left="0" w:right="-1" w:firstLine="567"/>
        <w:rPr>
          <w:rFonts w:ascii="Times New Roman" w:hAnsi="Times New Roman"/>
          <w:sz w:val="28"/>
          <w:szCs w:val="28"/>
          <w:lang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lastRenderedPageBreak/>
        <w:t>Вимоги до об'єму зберігання для</w:t>
      </w:r>
      <w:r w:rsidR="00C30832">
        <w:rPr>
          <w:rFonts w:ascii="Times New Roman" w:hAnsi="Times New Roman"/>
          <w:sz w:val="28"/>
          <w:szCs w:val="28"/>
          <w:lang w:eastAsia="ru-RU"/>
        </w:rPr>
        <w:t xml:space="preserve"> накопичувальних водонагрівачів </w:t>
      </w:r>
      <w:r w:rsidRPr="003239D7">
        <w:rPr>
          <w:rFonts w:ascii="Times New Roman" w:hAnsi="Times New Roman"/>
          <w:sz w:val="28"/>
          <w:szCs w:val="28"/>
          <w:lang w:eastAsia="ru-RU"/>
        </w:rPr>
        <w:t>із заявленими профілями навантаження 3XS, XXS, XS і S</w:t>
      </w:r>
    </w:p>
    <w:p w:rsidR="000355C6" w:rsidRPr="003239D7" w:rsidRDefault="000355C6" w:rsidP="003B2ED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Через 2 роки</w:t>
      </w:r>
      <w:r w:rsidRPr="003239D7">
        <w:t xml:space="preserve"> </w:t>
      </w:r>
      <w:r w:rsidRPr="003239D7">
        <w:rPr>
          <w:rFonts w:ascii="Times New Roman" w:hAnsi="Times New Roman"/>
          <w:sz w:val="28"/>
          <w:szCs w:val="28"/>
          <w:lang w:eastAsia="ru-RU"/>
        </w:rPr>
        <w:t>з дати набрання чинності цим Технічним регламентом:</w:t>
      </w:r>
    </w:p>
    <w:p w:rsidR="000355C6" w:rsidRPr="003239D7" w:rsidRDefault="00C30832" w:rsidP="003B2ED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355C6" w:rsidRPr="003239D7">
        <w:rPr>
          <w:rFonts w:ascii="Times New Roman" w:hAnsi="Times New Roman"/>
          <w:sz w:val="28"/>
          <w:szCs w:val="28"/>
          <w:lang w:eastAsia="ru-RU"/>
        </w:rPr>
        <w:t>) для накопичувальних водонагрівачів із заявленими профілями навантаження 3XS об'єм зберігання не повинен перевищувати 7 літрів;</w:t>
      </w:r>
    </w:p>
    <w:p w:rsidR="000355C6" w:rsidRPr="003239D7" w:rsidRDefault="00C30832" w:rsidP="003B2ED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355C6" w:rsidRPr="003239D7">
        <w:rPr>
          <w:rFonts w:ascii="Times New Roman" w:hAnsi="Times New Roman"/>
          <w:sz w:val="28"/>
          <w:szCs w:val="28"/>
          <w:lang w:eastAsia="ru-RU"/>
        </w:rPr>
        <w:t>) для накопичувальних водонагрівачів із заявленими профілями навантаження XXS і XS об'єм зберігання не повинен перевищувати 15 літрів;</w:t>
      </w:r>
    </w:p>
    <w:p w:rsidR="006302E7" w:rsidRPr="003239D7" w:rsidRDefault="00C30832" w:rsidP="006302E7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355C6" w:rsidRPr="003239D7">
        <w:rPr>
          <w:rFonts w:ascii="Times New Roman" w:hAnsi="Times New Roman"/>
          <w:sz w:val="28"/>
          <w:szCs w:val="28"/>
          <w:lang w:eastAsia="ru-RU"/>
        </w:rPr>
        <w:t>) для накопичувальних водонагрівачів із заявленими профілями навантаження S об'єм зберігання не повинен перевищувати 36 літрів.</w:t>
      </w:r>
    </w:p>
    <w:p w:rsidR="00E92755" w:rsidRPr="003239D7" w:rsidRDefault="006302E7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3</w:t>
      </w:r>
      <w:r w:rsidR="00C30832">
        <w:rPr>
          <w:rFonts w:ascii="Times New Roman" w:hAnsi="Times New Roman"/>
          <w:sz w:val="28"/>
          <w:szCs w:val="28"/>
          <w:lang w:eastAsia="ru-RU"/>
        </w:rPr>
        <w:t>.</w:t>
      </w:r>
      <w:r w:rsidRPr="003239D7">
        <w:rPr>
          <w:rFonts w:ascii="Times New Roman" w:hAnsi="Times New Roman"/>
          <w:sz w:val="28"/>
          <w:szCs w:val="28"/>
          <w:lang w:eastAsia="ru-RU"/>
        </w:rPr>
        <w:t xml:space="preserve"> Вимоги до об'єму змішаної води при температурі 40°C для накопичувальних водонагрівачів із заявленими профілями навантаження M, L, XL, XXL, 3XL та 4XL</w:t>
      </w:r>
    </w:p>
    <w:p w:rsidR="00E92755" w:rsidRDefault="006302E7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Через 2 роки з дати набрання чинності цим Технічним регламентом об'єм змішаної води при температурі 40°C не повинен бути нижче наступних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значень</w:t>
      </w:r>
      <w:proofErr w:type="spellEnd"/>
      <w:r w:rsidRPr="006302E7">
        <w:rPr>
          <w:rFonts w:ascii="Times New Roman" w:hAnsi="Times New Roman"/>
          <w:sz w:val="28"/>
          <w:szCs w:val="28"/>
          <w:lang w:val="ru-RU" w:eastAsia="ru-RU"/>
        </w:rPr>
        <w:t>:</w:t>
      </w:r>
    </w:p>
    <w:tbl>
      <w:tblPr>
        <w:tblStyle w:val="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353"/>
        <w:gridCol w:w="1196"/>
        <w:gridCol w:w="1196"/>
        <w:gridCol w:w="1197"/>
        <w:gridCol w:w="1197"/>
        <w:gridCol w:w="1197"/>
      </w:tblGrid>
      <w:tr w:rsidR="006302E7" w:rsidRPr="006302E7" w:rsidTr="00E1748C"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6302E7" w:rsidRPr="006302E7" w:rsidRDefault="006302E7" w:rsidP="006302E7">
            <w:pPr>
              <w:autoSpaceDE/>
              <w:autoSpaceDN/>
              <w:spacing w:after="200" w:line="276" w:lineRule="auto"/>
              <w:contextualSpacing/>
              <w:rPr>
                <w:lang w:val="uk-UA"/>
              </w:rPr>
            </w:pPr>
            <w:r w:rsidRPr="006302E7">
              <w:rPr>
                <w:lang w:val="uk-UA"/>
              </w:rPr>
              <w:t>Заявлений профіль навантаження</w:t>
            </w:r>
          </w:p>
        </w:tc>
        <w:tc>
          <w:tcPr>
            <w:tcW w:w="1353" w:type="dxa"/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M</w:t>
            </w:r>
          </w:p>
        </w:tc>
        <w:tc>
          <w:tcPr>
            <w:tcW w:w="1196" w:type="dxa"/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L</w:t>
            </w:r>
          </w:p>
        </w:tc>
        <w:tc>
          <w:tcPr>
            <w:tcW w:w="1196" w:type="dxa"/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XL</w:t>
            </w:r>
          </w:p>
        </w:tc>
        <w:tc>
          <w:tcPr>
            <w:tcW w:w="1197" w:type="dxa"/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XXL</w:t>
            </w:r>
          </w:p>
        </w:tc>
        <w:tc>
          <w:tcPr>
            <w:tcW w:w="1197" w:type="dxa"/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3XL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6302E7" w:rsidRPr="00E1748C" w:rsidRDefault="006302E7" w:rsidP="006302E7">
            <w:pPr>
              <w:adjustRightInd w:val="0"/>
              <w:jc w:val="center"/>
              <w:rPr>
                <w:b/>
                <w:bCs/>
                <w:lang w:val="uk-UA"/>
              </w:rPr>
            </w:pPr>
            <w:r w:rsidRPr="00E1748C">
              <w:rPr>
                <w:b/>
                <w:bCs/>
                <w:lang w:val="uk-UA"/>
              </w:rPr>
              <w:t>4XL</w:t>
            </w:r>
          </w:p>
        </w:tc>
      </w:tr>
      <w:tr w:rsidR="006302E7" w:rsidRPr="006302E7" w:rsidTr="00E1748C">
        <w:trPr>
          <w:trHeight w:val="825"/>
        </w:trPr>
        <w:tc>
          <w:tcPr>
            <w:tcW w:w="2235" w:type="dxa"/>
            <w:tcBorders>
              <w:left w:val="single" w:sz="4" w:space="0" w:color="auto"/>
            </w:tcBorders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both"/>
              <w:rPr>
                <w:lang w:val="uk-UA"/>
              </w:rPr>
            </w:pPr>
            <w:r w:rsidRPr="006302E7">
              <w:rPr>
                <w:lang w:val="uk-UA"/>
              </w:rPr>
              <w:t xml:space="preserve">Змішана вода при </w:t>
            </w:r>
            <w:r w:rsidR="00E1748C">
              <w:rPr>
                <w:lang w:val="uk-UA"/>
              </w:rPr>
              <w:t xml:space="preserve">температурі </w:t>
            </w:r>
            <w:r w:rsidRPr="006302E7">
              <w:rPr>
                <w:lang w:val="uk-UA"/>
              </w:rPr>
              <w:t xml:space="preserve">40°С </w:t>
            </w:r>
          </w:p>
        </w:tc>
        <w:tc>
          <w:tcPr>
            <w:tcW w:w="1353" w:type="dxa"/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65 л</w:t>
            </w:r>
          </w:p>
        </w:tc>
        <w:tc>
          <w:tcPr>
            <w:tcW w:w="1196" w:type="dxa"/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130 л</w:t>
            </w:r>
          </w:p>
        </w:tc>
        <w:tc>
          <w:tcPr>
            <w:tcW w:w="1196" w:type="dxa"/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210 л</w:t>
            </w:r>
          </w:p>
        </w:tc>
        <w:tc>
          <w:tcPr>
            <w:tcW w:w="1197" w:type="dxa"/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300 л</w:t>
            </w:r>
          </w:p>
        </w:tc>
        <w:tc>
          <w:tcPr>
            <w:tcW w:w="1197" w:type="dxa"/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520 л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6302E7" w:rsidRPr="006302E7" w:rsidRDefault="006302E7" w:rsidP="00E1748C">
            <w:pPr>
              <w:autoSpaceDE/>
              <w:autoSpaceDN/>
              <w:spacing w:before="240" w:after="200" w:line="276" w:lineRule="auto"/>
              <w:jc w:val="center"/>
              <w:rPr>
                <w:lang w:val="uk-UA"/>
              </w:rPr>
            </w:pPr>
            <w:r w:rsidRPr="006302E7">
              <w:rPr>
                <w:lang w:val="uk-UA"/>
              </w:rPr>
              <w:t>1 040 л</w:t>
            </w:r>
          </w:p>
        </w:tc>
      </w:tr>
    </w:tbl>
    <w:p w:rsidR="00681D80" w:rsidRDefault="00681D80" w:rsidP="00681D8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</w:p>
    <w:p w:rsidR="006302E7" w:rsidRPr="003239D7" w:rsidRDefault="005B1225" w:rsidP="00681D8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4</w:t>
      </w:r>
      <w:r w:rsidR="00C30832">
        <w:rPr>
          <w:rFonts w:ascii="Times New Roman" w:hAnsi="Times New Roman"/>
          <w:sz w:val="28"/>
          <w:szCs w:val="28"/>
          <w:lang w:eastAsia="ru-RU"/>
        </w:rPr>
        <w:t>.</w:t>
      </w:r>
      <w:r w:rsidRPr="003239D7">
        <w:rPr>
          <w:rFonts w:ascii="Times New Roman" w:hAnsi="Times New Roman"/>
          <w:sz w:val="28"/>
          <w:szCs w:val="28"/>
          <w:lang w:eastAsia="ru-RU"/>
        </w:rPr>
        <w:t xml:space="preserve"> Вимоги до рівня звукової потужності</w:t>
      </w:r>
    </w:p>
    <w:p w:rsidR="005B1225" w:rsidRPr="003239D7" w:rsidRDefault="005B1225" w:rsidP="00681D80">
      <w:pPr>
        <w:pStyle w:val="Style34"/>
        <w:widowControl/>
        <w:tabs>
          <w:tab w:val="left" w:pos="851"/>
        </w:tabs>
        <w:spacing w:before="24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Через 2 роки з дати набрання чинності цим Технічним регламентом</w:t>
      </w:r>
      <w:r w:rsidRPr="003239D7">
        <w:t xml:space="preserve"> </w:t>
      </w:r>
      <w:r w:rsidRPr="003239D7">
        <w:rPr>
          <w:rFonts w:ascii="Times New Roman" w:hAnsi="Times New Roman"/>
          <w:sz w:val="28"/>
          <w:szCs w:val="28"/>
          <w:lang w:eastAsia="ru-RU"/>
        </w:rPr>
        <w:t>рівень звукової потужності водонагрівачів з тепловим насосом не повинен перевищувати наступних значень:</w:t>
      </w:r>
    </w:p>
    <w:tbl>
      <w:tblPr>
        <w:tblStyle w:val="4"/>
        <w:tblW w:w="10065" w:type="dxa"/>
        <w:tblInd w:w="-1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276"/>
        <w:gridCol w:w="1276"/>
        <w:gridCol w:w="1275"/>
        <w:gridCol w:w="1276"/>
      </w:tblGrid>
      <w:tr w:rsidR="005B1225" w:rsidRPr="005B1225" w:rsidTr="00796952"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>Номінальна теплова потужність ≤ 6 кВт</w:t>
            </w:r>
          </w:p>
        </w:tc>
        <w:tc>
          <w:tcPr>
            <w:tcW w:w="2410" w:type="dxa"/>
            <w:gridSpan w:val="2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 Номінальна теплова потужність ˃ 6 кВт та</w:t>
            </w:r>
          </w:p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 ≤ 12 кВт</w:t>
            </w:r>
          </w:p>
        </w:tc>
        <w:tc>
          <w:tcPr>
            <w:tcW w:w="2552" w:type="dxa"/>
            <w:gridSpan w:val="2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>Номінальна теплова потужність ˃ 12 кВт та</w:t>
            </w:r>
          </w:p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 ≤ 30 кВт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CF68A9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Номінальна теплова потужність ˃ 30 кВт та </w:t>
            </w:r>
          </w:p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>≤ 70 кВт</w:t>
            </w:r>
          </w:p>
        </w:tc>
      </w:tr>
      <w:tr w:rsidR="00796952" w:rsidRPr="005B1225" w:rsidTr="00796952"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B1225" w:rsidRPr="005B1225" w:rsidRDefault="005B1225" w:rsidP="00796952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 xml:space="preserve">Рівень звукової потужності </w:t>
            </w:r>
            <w:r w:rsidRPr="005B1225">
              <w:rPr>
                <w:rFonts w:ascii="Palatino Linotype" w:hAnsi="Palatino Linotype"/>
                <w:lang w:val="uk-U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у приміщенні</w:t>
            </w:r>
          </w:p>
        </w:tc>
        <w:tc>
          <w:tcPr>
            <w:tcW w:w="1275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>Рівень звукової потужності</w:t>
            </w:r>
            <w:r w:rsidRPr="005B1225">
              <w:rPr>
                <w:rFonts w:ascii="Palatino Linotype" w:hAnsi="Palatino Linotype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на вулиці</w:t>
            </w:r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>Рівень звукової потужності</w:t>
            </w:r>
            <w:r w:rsidRPr="005B1225">
              <w:rPr>
                <w:rFonts w:ascii="Palatino Linotype" w:hAnsi="Palatino Linotype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у приміщенні</w:t>
            </w:r>
          </w:p>
        </w:tc>
        <w:tc>
          <w:tcPr>
            <w:tcW w:w="1134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 xml:space="preserve">Рівень звукової потужності </w:t>
            </w:r>
            <w:r w:rsidRPr="005B1225">
              <w:rPr>
                <w:rFonts w:ascii="Palatino Linotype" w:hAnsi="Palatino Linotype"/>
                <w:lang w:val="uk-U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на вулиці</w:t>
            </w:r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>Рівень звукової потужності</w:t>
            </w:r>
            <w:r w:rsidRPr="005B1225">
              <w:rPr>
                <w:rFonts w:ascii="Palatino Linotype" w:hAnsi="Palatino Linotype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у приміщенні</w:t>
            </w:r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>Рівень звукової потужності</w:t>
            </w:r>
            <w:r w:rsidRPr="005B1225">
              <w:rPr>
                <w:rFonts w:ascii="Palatino Linotype" w:hAnsi="Palatino Linotype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на вулиці</w:t>
            </w:r>
          </w:p>
        </w:tc>
        <w:tc>
          <w:tcPr>
            <w:tcW w:w="1275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 xml:space="preserve">Рівень звукової потужності </w:t>
            </w:r>
            <w:r w:rsidRPr="005B1225">
              <w:rPr>
                <w:rFonts w:ascii="Palatino Linotype" w:hAnsi="Palatino Linotype"/>
                <w:lang w:val="uk-UA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у приміщенні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rFonts w:ascii="Palatino Linotype" w:hAnsi="Palatino Linotype"/>
                <w:lang w:val="uk-UA"/>
              </w:rPr>
            </w:pPr>
            <w:r w:rsidRPr="005B1225">
              <w:rPr>
                <w:lang w:val="uk-UA"/>
              </w:rPr>
              <w:t>Рівень звукової потужності</w:t>
            </w:r>
            <w:r w:rsidRPr="005B1225">
              <w:rPr>
                <w:rFonts w:ascii="Palatino Linotype" w:hAnsi="Palatino Linotype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WA</m:t>
                  </m:r>
                </m:sub>
              </m:sSub>
            </m:oMath>
            <w:r w:rsidRPr="005B1225">
              <w:rPr>
                <w:rFonts w:ascii="Palatino Linotype" w:hAnsi="Palatino Linotype"/>
                <w:lang w:val="uk-UA"/>
              </w:rPr>
              <w:t xml:space="preserve">), </w:t>
            </w:r>
            <w:r w:rsidRPr="005B1225">
              <w:rPr>
                <w:lang w:val="uk-UA"/>
              </w:rPr>
              <w:t>на вулиці</w:t>
            </w:r>
          </w:p>
        </w:tc>
      </w:tr>
      <w:tr w:rsidR="00796952" w:rsidRPr="005B1225" w:rsidTr="00796952"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60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5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65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65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134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70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70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6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78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5" w:type="dxa"/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80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B1225" w:rsidRPr="005B1225" w:rsidRDefault="005B1225" w:rsidP="005B1225">
            <w:pPr>
              <w:autoSpaceDE/>
              <w:autoSpaceDN/>
              <w:jc w:val="center"/>
              <w:rPr>
                <w:lang w:val="uk-UA"/>
              </w:rPr>
            </w:pPr>
            <w:r w:rsidRPr="005B1225">
              <w:rPr>
                <w:lang w:val="uk-UA"/>
              </w:rPr>
              <w:t xml:space="preserve">88 </w:t>
            </w:r>
            <w:proofErr w:type="spellStart"/>
            <w:r w:rsidRPr="005B1225">
              <w:rPr>
                <w:lang w:val="uk-UA"/>
              </w:rPr>
              <w:t>дБ</w:t>
            </w:r>
            <w:proofErr w:type="spellEnd"/>
          </w:p>
        </w:tc>
      </w:tr>
    </w:tbl>
    <w:p w:rsidR="00681D80" w:rsidRDefault="00681D80" w:rsidP="00F94B95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</w:p>
    <w:p w:rsidR="00745016" w:rsidRDefault="001246FC" w:rsidP="00745016">
      <w:pPr>
        <w:pStyle w:val="Style34"/>
        <w:widowControl/>
        <w:tabs>
          <w:tab w:val="left" w:pos="851"/>
        </w:tabs>
        <w:spacing w:after="240" w:line="276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C30832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1246FC">
        <w:t xml:space="preserve"> </w:t>
      </w:r>
      <w:proofErr w:type="spellStart"/>
      <w:r w:rsidRPr="001246FC">
        <w:rPr>
          <w:rFonts w:ascii="Times New Roman" w:hAnsi="Times New Roman"/>
          <w:sz w:val="28"/>
          <w:szCs w:val="28"/>
          <w:lang w:val="ru-RU" w:eastAsia="ru-RU"/>
        </w:rPr>
        <w:t>Вимоги</w:t>
      </w:r>
      <w:proofErr w:type="spellEnd"/>
      <w:r w:rsidRPr="001246FC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1246FC">
        <w:rPr>
          <w:rFonts w:ascii="Times New Roman" w:hAnsi="Times New Roman"/>
          <w:sz w:val="28"/>
          <w:szCs w:val="28"/>
          <w:lang w:val="ru-RU" w:eastAsia="ru-RU"/>
        </w:rPr>
        <w:t>викидів</w:t>
      </w:r>
      <w:proofErr w:type="spellEnd"/>
      <w:r w:rsidRPr="001246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246FC">
        <w:rPr>
          <w:rFonts w:ascii="Times New Roman" w:hAnsi="Times New Roman"/>
          <w:sz w:val="28"/>
          <w:szCs w:val="28"/>
          <w:lang w:val="ru-RU" w:eastAsia="ru-RU"/>
        </w:rPr>
        <w:t>оксиді</w:t>
      </w:r>
      <w:proofErr w:type="gramStart"/>
      <w:r w:rsidRPr="001246FC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1246FC">
        <w:rPr>
          <w:rFonts w:ascii="Times New Roman" w:hAnsi="Times New Roman"/>
          <w:sz w:val="28"/>
          <w:szCs w:val="28"/>
          <w:lang w:val="ru-RU" w:eastAsia="ru-RU"/>
        </w:rPr>
        <w:t xml:space="preserve"> азоту</w:t>
      </w:r>
    </w:p>
    <w:p w:rsidR="001246FC" w:rsidRPr="00745016" w:rsidRDefault="00517FAF" w:rsidP="00745016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3239D7">
        <w:rPr>
          <w:rFonts w:ascii="Times New Roman" w:hAnsi="Times New Roman"/>
          <w:sz w:val="28"/>
          <w:szCs w:val="28"/>
          <w:lang w:eastAsia="ru-RU"/>
        </w:rPr>
        <w:t>Через 5 років з дати набрання чинності цим Технічним регламентом викиди оксидів азоту (в перерахунку на діоксид азоту) водонагрівачів не повинні перевищувати наступних значень:</w:t>
      </w:r>
    </w:p>
    <w:p w:rsidR="003239D7" w:rsidRDefault="00681D80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конвекційні</w:t>
      </w:r>
      <w:r w:rsidR="007054DF" w:rsidRPr="00F94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9D7" w:rsidRPr="00F94B95">
        <w:rPr>
          <w:rFonts w:ascii="Times New Roman" w:hAnsi="Times New Roman"/>
          <w:sz w:val="28"/>
          <w:szCs w:val="28"/>
          <w:lang w:eastAsia="ru-RU"/>
        </w:rPr>
        <w:t>водонагрівачі</w:t>
      </w:r>
      <w:r w:rsidR="009A7649">
        <w:rPr>
          <w:rFonts w:ascii="Times New Roman" w:hAnsi="Times New Roman"/>
          <w:sz w:val="28"/>
          <w:szCs w:val="28"/>
          <w:lang w:eastAsia="ru-RU"/>
        </w:rPr>
        <w:t>,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9D7">
        <w:rPr>
          <w:rFonts w:ascii="Times New Roman" w:hAnsi="Times New Roman"/>
          <w:sz w:val="28"/>
          <w:szCs w:val="28"/>
          <w:lang w:eastAsia="ru-RU"/>
        </w:rPr>
        <w:t>що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використ</w:t>
      </w:r>
      <w:r w:rsidR="003239D7">
        <w:rPr>
          <w:rFonts w:ascii="Times New Roman" w:hAnsi="Times New Roman"/>
          <w:sz w:val="28"/>
          <w:szCs w:val="28"/>
          <w:lang w:eastAsia="ru-RU"/>
        </w:rPr>
        <w:t>овують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газоподіб</w:t>
      </w:r>
      <w:r w:rsidR="003239D7">
        <w:rPr>
          <w:rFonts w:ascii="Times New Roman" w:hAnsi="Times New Roman"/>
          <w:sz w:val="28"/>
          <w:szCs w:val="28"/>
          <w:lang w:eastAsia="ru-RU"/>
        </w:rPr>
        <w:t>не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палив</w:t>
      </w:r>
      <w:r w:rsidR="003239D7">
        <w:rPr>
          <w:rFonts w:ascii="Times New Roman" w:hAnsi="Times New Roman"/>
          <w:sz w:val="28"/>
          <w:szCs w:val="28"/>
          <w:lang w:eastAsia="ru-RU"/>
        </w:rPr>
        <w:t>о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>: 56 мг/</w:t>
      </w:r>
      <w:proofErr w:type="spellStart"/>
      <w:r w:rsidR="003239D7" w:rsidRPr="003239D7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>
        <w:rPr>
          <w:rFonts w:ascii="Times New Roman" w:hAnsi="Times New Roman"/>
          <w:sz w:val="28"/>
          <w:szCs w:val="28"/>
          <w:lang w:eastAsia="ru-RU"/>
        </w:rPr>
        <w:t>витрати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 xml:space="preserve"> палива </w:t>
      </w:r>
      <w:r w:rsidR="007054DF" w:rsidRPr="00F94B95">
        <w:rPr>
          <w:rFonts w:ascii="Times New Roman" w:hAnsi="Times New Roman"/>
          <w:sz w:val="28"/>
          <w:szCs w:val="28"/>
          <w:lang w:eastAsia="ru-RU"/>
        </w:rPr>
        <w:t>у відношенні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239D7" w:rsidRPr="003239D7">
        <w:rPr>
          <w:rFonts w:ascii="Times New Roman" w:hAnsi="Times New Roman"/>
          <w:i/>
          <w:sz w:val="28"/>
          <w:szCs w:val="28"/>
          <w:lang w:eastAsia="ru-RU"/>
        </w:rPr>
        <w:t>GCV</w:t>
      </w:r>
      <w:r w:rsidR="003239D7" w:rsidRPr="003239D7">
        <w:rPr>
          <w:rFonts w:ascii="Times New Roman" w:hAnsi="Times New Roman"/>
          <w:sz w:val="28"/>
          <w:szCs w:val="28"/>
          <w:lang w:eastAsia="ru-RU"/>
        </w:rPr>
        <w:t>;</w:t>
      </w:r>
    </w:p>
    <w:p w:rsidR="003239D7" w:rsidRDefault="00681D80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681D80">
        <w:rPr>
          <w:rFonts w:ascii="Times New Roman" w:hAnsi="Times New Roman"/>
          <w:sz w:val="28"/>
          <w:szCs w:val="28"/>
          <w:lang w:eastAsia="ru-RU"/>
        </w:rPr>
        <w:t>конвекційні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водонагрівачі</w:t>
      </w:r>
      <w:r w:rsidR="007054DF">
        <w:rPr>
          <w:rFonts w:ascii="Times New Roman" w:hAnsi="Times New Roman"/>
          <w:sz w:val="28"/>
          <w:szCs w:val="28"/>
          <w:lang w:eastAsia="ru-RU"/>
        </w:rPr>
        <w:t>,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>використ</w:t>
      </w:r>
      <w:r w:rsidR="007054DF">
        <w:rPr>
          <w:rFonts w:ascii="Times New Roman" w:hAnsi="Times New Roman"/>
          <w:sz w:val="28"/>
          <w:szCs w:val="28"/>
          <w:lang w:eastAsia="ru-RU"/>
        </w:rPr>
        <w:t>овують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рідк</w:t>
      </w:r>
      <w:r w:rsidR="007054DF">
        <w:rPr>
          <w:rFonts w:ascii="Times New Roman" w:hAnsi="Times New Roman"/>
          <w:sz w:val="28"/>
          <w:szCs w:val="28"/>
          <w:lang w:eastAsia="ru-RU"/>
        </w:rPr>
        <w:t>е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палив</w:t>
      </w:r>
      <w:r w:rsidR="007054DF">
        <w:rPr>
          <w:rFonts w:ascii="Times New Roman" w:hAnsi="Times New Roman"/>
          <w:sz w:val="28"/>
          <w:szCs w:val="28"/>
          <w:lang w:eastAsia="ru-RU"/>
        </w:rPr>
        <w:t>о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>: 120 мг/</w:t>
      </w:r>
      <w:proofErr w:type="spellStart"/>
      <w:r w:rsidR="007054DF" w:rsidRPr="007054DF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>
        <w:rPr>
          <w:rFonts w:ascii="Times New Roman" w:hAnsi="Times New Roman"/>
          <w:sz w:val="28"/>
          <w:szCs w:val="28"/>
          <w:lang w:eastAsia="ru-RU"/>
        </w:rPr>
        <w:t>витрати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 w:rsidRPr="00F94B95">
        <w:rPr>
          <w:rFonts w:ascii="Times New Roman" w:hAnsi="Times New Roman"/>
          <w:sz w:val="28"/>
          <w:szCs w:val="28"/>
          <w:lang w:eastAsia="ru-RU"/>
        </w:rPr>
        <w:t>палива у відношенні</w:t>
      </w:r>
      <w:r w:rsidR="007054DF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4DF" w:rsidRPr="007054DF">
        <w:rPr>
          <w:rFonts w:ascii="Times New Roman" w:hAnsi="Times New Roman"/>
          <w:i/>
          <w:sz w:val="28"/>
          <w:szCs w:val="28"/>
          <w:lang w:eastAsia="ru-RU"/>
        </w:rPr>
        <w:t>GCV</w:t>
      </w:r>
      <w:r w:rsidR="007054DF" w:rsidRPr="007054DF">
        <w:rPr>
          <w:rFonts w:ascii="Times New Roman" w:hAnsi="Times New Roman"/>
          <w:sz w:val="28"/>
          <w:szCs w:val="28"/>
          <w:lang w:eastAsia="ru-RU"/>
        </w:rPr>
        <w:t>;</w:t>
      </w:r>
    </w:p>
    <w:p w:rsidR="003239D7" w:rsidRDefault="007054DF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7054DF">
        <w:rPr>
          <w:rFonts w:ascii="Times New Roman" w:hAnsi="Times New Roman"/>
          <w:sz w:val="28"/>
          <w:szCs w:val="28"/>
          <w:lang w:eastAsia="ru-RU"/>
        </w:rPr>
        <w:t xml:space="preserve">водонагрівачі з тепловим насосом, </w:t>
      </w:r>
      <w:r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Pr="007054DF">
        <w:rPr>
          <w:rFonts w:ascii="Times New Roman" w:hAnsi="Times New Roman"/>
          <w:sz w:val="28"/>
          <w:szCs w:val="28"/>
          <w:lang w:eastAsia="ru-RU"/>
        </w:rPr>
        <w:t>оснащен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7054DF">
        <w:rPr>
          <w:rFonts w:ascii="Times New Roman" w:hAnsi="Times New Roman"/>
          <w:sz w:val="28"/>
          <w:szCs w:val="28"/>
          <w:lang w:eastAsia="ru-RU"/>
        </w:rPr>
        <w:t xml:space="preserve"> системою зовнішнього згоряння та використовують газоподібне паливо, та сонячні водонагрівачі, </w:t>
      </w:r>
      <w:r w:rsidRPr="00F94B95">
        <w:rPr>
          <w:rFonts w:ascii="Times New Roman" w:hAnsi="Times New Roman"/>
          <w:sz w:val="28"/>
          <w:szCs w:val="28"/>
          <w:lang w:eastAsia="ru-RU"/>
        </w:rPr>
        <w:t>що використовують газоподібне паливо:</w:t>
      </w:r>
      <w:r w:rsidRPr="00F94B95">
        <w:t xml:space="preserve"> </w:t>
      </w:r>
      <w:r w:rsidRPr="00F94B95">
        <w:rPr>
          <w:rFonts w:ascii="Times New Roman" w:hAnsi="Times New Roman"/>
          <w:sz w:val="28"/>
          <w:szCs w:val="28"/>
          <w:lang w:eastAsia="ru-RU"/>
        </w:rPr>
        <w:t>70 мг/</w:t>
      </w:r>
      <w:proofErr w:type="spellStart"/>
      <w:r w:rsidRPr="00F94B95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Pr="00F94B95">
        <w:rPr>
          <w:rFonts w:ascii="Times New Roman" w:hAnsi="Times New Roman"/>
          <w:sz w:val="28"/>
          <w:szCs w:val="28"/>
          <w:lang w:eastAsia="ru-RU"/>
        </w:rPr>
        <w:t xml:space="preserve"> витрати палива у відношенні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7054DF">
        <w:rPr>
          <w:rFonts w:ascii="Times New Roman" w:hAnsi="Times New Roman"/>
          <w:i/>
          <w:sz w:val="28"/>
          <w:szCs w:val="28"/>
          <w:lang w:eastAsia="ru-RU"/>
        </w:rPr>
        <w:t>GCV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A828BF" w:rsidRPr="00F94B95" w:rsidRDefault="00A828BF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A828BF">
        <w:rPr>
          <w:rFonts w:ascii="Times New Roman" w:hAnsi="Times New Roman"/>
          <w:sz w:val="28"/>
          <w:szCs w:val="28"/>
          <w:lang w:eastAsia="ru-RU"/>
        </w:rPr>
        <w:t xml:space="preserve">водонагрівачі з тепловим насосом, </w:t>
      </w:r>
      <w:r>
        <w:rPr>
          <w:rFonts w:ascii="Times New Roman" w:hAnsi="Times New Roman"/>
          <w:sz w:val="28"/>
          <w:szCs w:val="28"/>
          <w:lang w:eastAsia="ru-RU"/>
        </w:rPr>
        <w:t>що</w:t>
      </w:r>
      <w:r w:rsidRPr="00A828BF">
        <w:rPr>
          <w:rFonts w:ascii="Times New Roman" w:hAnsi="Times New Roman"/>
          <w:sz w:val="28"/>
          <w:szCs w:val="28"/>
          <w:lang w:eastAsia="ru-RU"/>
        </w:rPr>
        <w:t xml:space="preserve"> оснащен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A828BF">
        <w:rPr>
          <w:rFonts w:ascii="Times New Roman" w:hAnsi="Times New Roman"/>
          <w:sz w:val="28"/>
          <w:szCs w:val="28"/>
          <w:lang w:eastAsia="ru-RU"/>
        </w:rPr>
        <w:t xml:space="preserve"> системою зовнішнього згоряння та використовують рідке паливо, та сонячні водонагрівачі, що використовують рідке паливо:</w:t>
      </w:r>
      <w:r w:rsidRPr="00A828BF">
        <w:t xml:space="preserve"> </w:t>
      </w:r>
      <w:r w:rsidRPr="00A828BF">
        <w:rPr>
          <w:rFonts w:ascii="Times New Roman" w:hAnsi="Times New Roman"/>
          <w:sz w:val="28"/>
          <w:szCs w:val="28"/>
          <w:lang w:eastAsia="ru-RU"/>
        </w:rPr>
        <w:t>120 мг/</w:t>
      </w:r>
      <w:proofErr w:type="spellStart"/>
      <w:r w:rsidRPr="00A828BF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Pr="00A828BF">
        <w:rPr>
          <w:rFonts w:ascii="Times New Roman" w:hAnsi="Times New Roman"/>
          <w:sz w:val="28"/>
          <w:szCs w:val="28"/>
          <w:lang w:eastAsia="ru-RU"/>
        </w:rPr>
        <w:t xml:space="preserve"> витрати палива </w:t>
      </w:r>
      <w:r w:rsidRPr="00F94B95">
        <w:rPr>
          <w:rFonts w:ascii="Times New Roman" w:hAnsi="Times New Roman"/>
          <w:sz w:val="28"/>
          <w:szCs w:val="28"/>
          <w:lang w:eastAsia="ru-RU"/>
        </w:rPr>
        <w:t xml:space="preserve">у відношенні до </w:t>
      </w:r>
      <w:r w:rsidRPr="00F94B95">
        <w:rPr>
          <w:rFonts w:ascii="Times New Roman" w:hAnsi="Times New Roman"/>
          <w:i/>
          <w:sz w:val="28"/>
          <w:szCs w:val="28"/>
          <w:lang w:eastAsia="ru-RU"/>
        </w:rPr>
        <w:t>GCV</w:t>
      </w:r>
      <w:r w:rsidRPr="00F94B95">
        <w:rPr>
          <w:rFonts w:ascii="Times New Roman" w:hAnsi="Times New Roman"/>
          <w:sz w:val="28"/>
          <w:szCs w:val="28"/>
          <w:lang w:eastAsia="ru-RU"/>
        </w:rPr>
        <w:t>;</w:t>
      </w:r>
    </w:p>
    <w:p w:rsidR="00A828BF" w:rsidRPr="00F94B95" w:rsidRDefault="00A828BF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F94B95">
        <w:rPr>
          <w:rFonts w:ascii="Times New Roman" w:hAnsi="Times New Roman"/>
          <w:sz w:val="28"/>
          <w:szCs w:val="28"/>
          <w:lang w:eastAsia="ru-RU"/>
        </w:rPr>
        <w:t>водонагрівачі з тепловим насосом, що оснащені двигуном внутрішнього згоряння та використовують газоподібне паливо:</w:t>
      </w:r>
      <w:r w:rsidR="00976F04" w:rsidRPr="00F94B95">
        <w:t xml:space="preserve"> </w:t>
      </w:r>
      <w:r w:rsidR="00976F04" w:rsidRPr="00F94B95">
        <w:rPr>
          <w:rFonts w:ascii="Times New Roman" w:hAnsi="Times New Roman"/>
          <w:sz w:val="28"/>
          <w:szCs w:val="28"/>
          <w:lang w:eastAsia="ru-RU"/>
        </w:rPr>
        <w:t>240 мг/</w:t>
      </w:r>
      <w:proofErr w:type="spellStart"/>
      <w:r w:rsidR="00976F04" w:rsidRPr="00F94B95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="00976F04" w:rsidRPr="00F94B95">
        <w:rPr>
          <w:rFonts w:ascii="Times New Roman" w:hAnsi="Times New Roman"/>
          <w:sz w:val="28"/>
          <w:szCs w:val="28"/>
          <w:lang w:eastAsia="ru-RU"/>
        </w:rPr>
        <w:t xml:space="preserve"> витрати палива у відношенні до </w:t>
      </w:r>
      <w:r w:rsidR="00976F04" w:rsidRPr="00F94B95">
        <w:rPr>
          <w:rFonts w:ascii="Times New Roman" w:hAnsi="Times New Roman"/>
          <w:i/>
          <w:sz w:val="28"/>
          <w:szCs w:val="28"/>
          <w:lang w:eastAsia="ru-RU"/>
        </w:rPr>
        <w:t>GCV</w:t>
      </w:r>
      <w:r w:rsidR="00527CEE" w:rsidRPr="00F94B95">
        <w:rPr>
          <w:rFonts w:ascii="Times New Roman" w:hAnsi="Times New Roman"/>
          <w:sz w:val="28"/>
          <w:szCs w:val="28"/>
          <w:lang w:eastAsia="ru-RU"/>
        </w:rPr>
        <w:t>;</w:t>
      </w:r>
    </w:p>
    <w:p w:rsidR="00527CEE" w:rsidRDefault="00527CEE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F94B95">
        <w:rPr>
          <w:rFonts w:ascii="Times New Roman" w:hAnsi="Times New Roman"/>
          <w:sz w:val="28"/>
          <w:szCs w:val="28"/>
          <w:lang w:eastAsia="ru-RU"/>
        </w:rPr>
        <w:t>водонагрівачі з тепловим насосом, що оснащені двигуном внутрішнього згоряння та використовують рідке паливо:</w:t>
      </w:r>
      <w:r w:rsidRPr="00F94B95">
        <w:t xml:space="preserve"> </w:t>
      </w:r>
      <w:r w:rsidRPr="00F94B95">
        <w:rPr>
          <w:rFonts w:ascii="Times New Roman" w:hAnsi="Times New Roman"/>
          <w:sz w:val="28"/>
          <w:szCs w:val="28"/>
          <w:lang w:eastAsia="ru-RU"/>
        </w:rPr>
        <w:t>420 мг/</w:t>
      </w:r>
      <w:proofErr w:type="spellStart"/>
      <w:r w:rsidRPr="00F94B95">
        <w:rPr>
          <w:rFonts w:ascii="Times New Roman" w:hAnsi="Times New Roman"/>
          <w:sz w:val="28"/>
          <w:szCs w:val="28"/>
          <w:lang w:eastAsia="ru-RU"/>
        </w:rPr>
        <w:t>кВт·год</w:t>
      </w:r>
      <w:proofErr w:type="spellEnd"/>
      <w:r w:rsidRPr="00F94B95">
        <w:rPr>
          <w:rFonts w:ascii="Times New Roman" w:hAnsi="Times New Roman"/>
          <w:sz w:val="28"/>
          <w:szCs w:val="28"/>
          <w:lang w:eastAsia="ru-RU"/>
        </w:rPr>
        <w:t xml:space="preserve"> витрати палива у відношенні до </w:t>
      </w:r>
      <w:r w:rsidRPr="00F94B95">
        <w:rPr>
          <w:rFonts w:ascii="Times New Roman" w:hAnsi="Times New Roman"/>
          <w:i/>
          <w:sz w:val="28"/>
          <w:szCs w:val="28"/>
          <w:lang w:eastAsia="ru-RU"/>
        </w:rPr>
        <w:t>GCV</w:t>
      </w:r>
      <w:r w:rsidRPr="00F94B95">
        <w:rPr>
          <w:rFonts w:ascii="Times New Roman" w:hAnsi="Times New Roman"/>
          <w:sz w:val="28"/>
          <w:szCs w:val="28"/>
          <w:lang w:eastAsia="ru-RU"/>
        </w:rPr>
        <w:t>.</w:t>
      </w:r>
    </w:p>
    <w:p w:rsidR="00527CEE" w:rsidRDefault="00527CEE" w:rsidP="006302E7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3083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7CEE">
        <w:rPr>
          <w:rFonts w:ascii="Times New Roman" w:hAnsi="Times New Roman"/>
          <w:sz w:val="28"/>
          <w:szCs w:val="28"/>
          <w:lang w:eastAsia="ru-RU"/>
        </w:rPr>
        <w:t>Ви</w:t>
      </w:r>
      <w:r>
        <w:rPr>
          <w:rFonts w:ascii="Times New Roman" w:hAnsi="Times New Roman"/>
          <w:sz w:val="28"/>
          <w:szCs w:val="28"/>
          <w:lang w:eastAsia="ru-RU"/>
        </w:rPr>
        <w:t>моги до інформації про продукт стосовно водонагрівачів</w:t>
      </w:r>
    </w:p>
    <w:p w:rsidR="00A828BF" w:rsidRDefault="00527CEE" w:rsidP="009128EC">
      <w:pPr>
        <w:pStyle w:val="Style34"/>
        <w:widowControl/>
        <w:tabs>
          <w:tab w:val="left" w:pos="567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527CEE">
        <w:rPr>
          <w:rFonts w:ascii="Times New Roman" w:hAnsi="Times New Roman"/>
          <w:sz w:val="28"/>
          <w:szCs w:val="28"/>
          <w:lang w:eastAsia="ru-RU"/>
        </w:rPr>
        <w:t>Через 2 роки з дати набрання чинності цим Технічним регламентом</w:t>
      </w:r>
      <w:r w:rsidR="00912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8EC">
        <w:rPr>
          <w:rFonts w:ascii="Times New Roman" w:hAnsi="Times New Roman"/>
          <w:sz w:val="28"/>
          <w:szCs w:val="28"/>
          <w:lang w:eastAsia="ru-RU"/>
        </w:rPr>
        <w:t>інструкції для монтажників та кінцевих користувачів, веб-сайти виробників, їхніх уповноважених представників та імпортерів з вільним доступом, а також технічна документація для оцін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>ки</w:t>
      </w:r>
      <w:r w:rsidRPr="009128EC">
        <w:rPr>
          <w:rFonts w:ascii="Times New Roman" w:hAnsi="Times New Roman"/>
          <w:sz w:val="28"/>
          <w:szCs w:val="28"/>
          <w:lang w:eastAsia="ru-RU"/>
        </w:rPr>
        <w:t xml:space="preserve"> відповідності 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912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>пункту 5 цього Технічного регламенту</w:t>
      </w:r>
      <w:r w:rsidRPr="009128EC">
        <w:rPr>
          <w:rFonts w:ascii="Times New Roman" w:hAnsi="Times New Roman"/>
          <w:sz w:val="28"/>
          <w:szCs w:val="28"/>
          <w:lang w:eastAsia="ru-RU"/>
        </w:rPr>
        <w:t xml:space="preserve"> повинні містити </w:t>
      </w:r>
      <w:r w:rsidR="009128EC">
        <w:rPr>
          <w:rFonts w:ascii="Times New Roman" w:hAnsi="Times New Roman"/>
          <w:sz w:val="28"/>
          <w:szCs w:val="28"/>
          <w:lang w:eastAsia="ru-RU"/>
        </w:rPr>
        <w:t>наступні</w:t>
      </w:r>
      <w:r w:rsidRPr="009128EC">
        <w:rPr>
          <w:rFonts w:ascii="Times New Roman" w:hAnsi="Times New Roman"/>
          <w:sz w:val="28"/>
          <w:szCs w:val="28"/>
          <w:lang w:eastAsia="ru-RU"/>
        </w:rPr>
        <w:t xml:space="preserve"> дані</w:t>
      </w:r>
      <w:r w:rsidR="009128EC">
        <w:rPr>
          <w:rFonts w:ascii="Times New Roman" w:hAnsi="Times New Roman"/>
          <w:sz w:val="28"/>
          <w:szCs w:val="28"/>
          <w:lang w:eastAsia="ru-RU"/>
        </w:rPr>
        <w:t>:</w:t>
      </w:r>
    </w:p>
    <w:p w:rsidR="009128EC" w:rsidRPr="003239D7" w:rsidRDefault="00C30832" w:rsidP="00681D80">
      <w:pPr>
        <w:pStyle w:val="Style34"/>
        <w:widowControl/>
        <w:tabs>
          <w:tab w:val="left" w:pos="567"/>
        </w:tabs>
        <w:spacing w:before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128E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 xml:space="preserve">інформацію про модель (моделі), </w:t>
      </w:r>
      <w:r w:rsidR="009128EC">
        <w:rPr>
          <w:rFonts w:ascii="Times New Roman" w:hAnsi="Times New Roman"/>
          <w:sz w:val="28"/>
          <w:szCs w:val="28"/>
          <w:lang w:eastAsia="ru-RU"/>
        </w:rPr>
        <w:t>у тому числі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 xml:space="preserve"> еквівалентні, </w:t>
      </w:r>
      <w:r w:rsidR="009128EC">
        <w:rPr>
          <w:rFonts w:ascii="Times New Roman" w:hAnsi="Times New Roman"/>
          <w:sz w:val="28"/>
          <w:szCs w:val="28"/>
          <w:lang w:eastAsia="ru-RU"/>
        </w:rPr>
        <w:t>на які розповсюджується ця</w:t>
      </w:r>
      <w:r w:rsidR="009128EC" w:rsidRPr="009128EC">
        <w:rPr>
          <w:rFonts w:ascii="Times New Roman" w:hAnsi="Times New Roman"/>
          <w:sz w:val="28"/>
          <w:szCs w:val="28"/>
          <w:lang w:eastAsia="ru-RU"/>
        </w:rPr>
        <w:t xml:space="preserve"> інформація;</w:t>
      </w:r>
    </w:p>
    <w:p w:rsidR="00E92755" w:rsidRPr="009B6EBE" w:rsidRDefault="00C30832" w:rsidP="009128EC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128EC" w:rsidRPr="009B6EBE">
        <w:rPr>
          <w:rFonts w:ascii="Times New Roman" w:hAnsi="Times New Roman"/>
          <w:sz w:val="28"/>
          <w:szCs w:val="28"/>
          <w:lang w:eastAsia="ru-RU"/>
        </w:rPr>
        <w:t>)</w:t>
      </w:r>
      <w:r w:rsidR="009128EC" w:rsidRPr="009B6EBE">
        <w:t xml:space="preserve"> </w:t>
      </w:r>
      <w:r w:rsidR="009128EC" w:rsidRPr="009B6EBE">
        <w:rPr>
          <w:rFonts w:ascii="Times New Roman" w:hAnsi="Times New Roman"/>
          <w:sz w:val="28"/>
          <w:szCs w:val="28"/>
          <w:lang w:eastAsia="ru-RU"/>
        </w:rPr>
        <w:t xml:space="preserve">результати вимірювання технічних параметрів, зазначених у </w:t>
      </w:r>
      <w:r w:rsidR="009128EC" w:rsidRPr="00782F3F">
        <w:rPr>
          <w:rFonts w:ascii="Times New Roman" w:hAnsi="Times New Roman"/>
          <w:sz w:val="28"/>
          <w:szCs w:val="28"/>
          <w:lang w:eastAsia="ru-RU"/>
        </w:rPr>
        <w:t>пункті 6 додатку 3 до цього Технічного регламенту;</w:t>
      </w:r>
    </w:p>
    <w:p w:rsidR="009128EC" w:rsidRPr="009B6EBE" w:rsidRDefault="00C30832" w:rsidP="009128EC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 xml:space="preserve">) результати розрахунків технічних параметрів, зазначених </w:t>
      </w:r>
      <w:r w:rsidR="009B6EBE" w:rsidRPr="00782F3F">
        <w:rPr>
          <w:rFonts w:ascii="Times New Roman" w:hAnsi="Times New Roman"/>
          <w:sz w:val="28"/>
          <w:szCs w:val="28"/>
          <w:lang w:eastAsia="ru-RU"/>
        </w:rPr>
        <w:t>у пункті 2 додатку 4 до цього Технічного регламенту;</w:t>
      </w:r>
    </w:p>
    <w:p w:rsidR="009B6EBE" w:rsidRPr="009B6EBE" w:rsidRDefault="00C30832" w:rsidP="009128EC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>) усі спеціальні заходи безпеки, які необхідно вживати під час збирання, монтажу або обслуговування водонагрівача;</w:t>
      </w:r>
    </w:p>
    <w:p w:rsidR="009128EC" w:rsidRDefault="00C30832" w:rsidP="009B6EBE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 xml:space="preserve">) для теплових генераторів, призначених для водонагрівачів і корпусів водонагрівачів, які підлягають оснащенню такими тепловими генераторами: їх характеристики, вимоги до збирання для забезпечення відповідності вимогам до </w:t>
      </w:r>
      <w:proofErr w:type="spellStart"/>
      <w:r w:rsidR="009B6EBE" w:rsidRPr="009B6EBE">
        <w:rPr>
          <w:rFonts w:ascii="Times New Roman" w:hAnsi="Times New Roman"/>
          <w:sz w:val="28"/>
          <w:szCs w:val="28"/>
          <w:lang w:eastAsia="ru-RU"/>
        </w:rPr>
        <w:t>екодизайну</w:t>
      </w:r>
      <w:proofErr w:type="spellEnd"/>
      <w:r w:rsidR="009B6EBE" w:rsidRPr="009B6EBE">
        <w:rPr>
          <w:rFonts w:ascii="Times New Roman" w:hAnsi="Times New Roman"/>
          <w:sz w:val="28"/>
          <w:szCs w:val="28"/>
          <w:lang w:eastAsia="ru-RU"/>
        </w:rPr>
        <w:t xml:space="preserve"> водонагрівачів та, </w:t>
      </w:r>
      <w:r w:rsidR="00B33816">
        <w:rPr>
          <w:rFonts w:ascii="Times New Roman" w:hAnsi="Times New Roman"/>
          <w:sz w:val="28"/>
          <w:szCs w:val="28"/>
          <w:lang w:eastAsia="ru-RU"/>
        </w:rPr>
        <w:t>за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 xml:space="preserve"> необхідності, список поєднуваного обладнання, рекомендованого виробником;</w:t>
      </w:r>
    </w:p>
    <w:p w:rsidR="009B6EBE" w:rsidRPr="009B6EBE" w:rsidRDefault="00C30832" w:rsidP="009B6EBE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B6EB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>інформаці</w:t>
      </w:r>
      <w:r w:rsidR="009B6EBE">
        <w:rPr>
          <w:rFonts w:ascii="Times New Roman" w:hAnsi="Times New Roman"/>
          <w:sz w:val="28"/>
          <w:szCs w:val="28"/>
          <w:lang w:eastAsia="ru-RU"/>
        </w:rPr>
        <w:t>ю</w:t>
      </w:r>
      <w:r w:rsidR="009B6EBE" w:rsidRPr="009B6EBE">
        <w:rPr>
          <w:rFonts w:ascii="Times New Roman" w:hAnsi="Times New Roman"/>
          <w:sz w:val="28"/>
          <w:szCs w:val="28"/>
          <w:lang w:eastAsia="ru-RU"/>
        </w:rPr>
        <w:t xml:space="preserve"> щодо демонтажу, переробки та/або утилізації після закінчення строку експлуатації.</w:t>
      </w:r>
    </w:p>
    <w:p w:rsidR="00E92755" w:rsidRDefault="00C30832" w:rsidP="0025154F">
      <w:pPr>
        <w:pStyle w:val="Style34"/>
        <w:widowControl/>
        <w:tabs>
          <w:tab w:val="left" w:pos="851"/>
        </w:tabs>
        <w:spacing w:before="110" w:after="240" w:line="240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227A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A227A7" w:rsidRPr="00A227A7">
        <w:rPr>
          <w:rFonts w:ascii="Times New Roman" w:hAnsi="Times New Roman"/>
          <w:sz w:val="28"/>
          <w:szCs w:val="28"/>
          <w:lang w:val="ru-RU" w:eastAsia="ru-RU"/>
        </w:rPr>
        <w:t xml:space="preserve">ВИМОГИ ДО ЕКОДИЗАЙНУ ДЛЯ </w:t>
      </w:r>
      <w:r w:rsidR="00A227A7">
        <w:rPr>
          <w:rFonts w:ascii="Times New Roman" w:hAnsi="Times New Roman"/>
          <w:sz w:val="28"/>
          <w:szCs w:val="28"/>
          <w:lang w:val="ru-RU" w:eastAsia="ru-RU"/>
        </w:rPr>
        <w:t>БАКІВ - АКУМУЛЯТОРІВ</w:t>
      </w:r>
    </w:p>
    <w:p w:rsidR="00E92755" w:rsidRPr="00745016" w:rsidRDefault="00A227A7" w:rsidP="0025154F">
      <w:pPr>
        <w:pStyle w:val="Style34"/>
        <w:widowControl/>
        <w:tabs>
          <w:tab w:val="left" w:pos="851"/>
        </w:tabs>
        <w:spacing w:before="110" w:after="240" w:line="240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745016">
        <w:rPr>
          <w:rFonts w:ascii="Times New Roman" w:hAnsi="Times New Roman"/>
          <w:sz w:val="28"/>
          <w:szCs w:val="28"/>
          <w:lang w:val="ru-RU" w:eastAsia="ru-RU"/>
        </w:rPr>
        <w:t>1</w:t>
      </w:r>
      <w:r w:rsidR="00C30832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7450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57227">
        <w:rPr>
          <w:rFonts w:ascii="Times New Roman" w:hAnsi="Times New Roman"/>
          <w:sz w:val="28"/>
          <w:szCs w:val="28"/>
          <w:lang w:eastAsia="ru-RU"/>
        </w:rPr>
        <w:t xml:space="preserve">Вимоги до </w:t>
      </w:r>
      <w:r w:rsidR="00F94B95" w:rsidRPr="00957227">
        <w:rPr>
          <w:rFonts w:ascii="Times New Roman" w:hAnsi="Times New Roman"/>
          <w:sz w:val="28"/>
          <w:szCs w:val="28"/>
          <w:lang w:eastAsia="ru-RU"/>
        </w:rPr>
        <w:t>постійних теплових втрат</w:t>
      </w:r>
    </w:p>
    <w:p w:rsidR="00E92755" w:rsidRPr="00AE7942" w:rsidRDefault="00A227A7" w:rsidP="00681D80">
      <w:pPr>
        <w:pStyle w:val="Style34"/>
        <w:widowControl/>
        <w:tabs>
          <w:tab w:val="left" w:pos="85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745016">
        <w:rPr>
          <w:rFonts w:ascii="Times New Roman" w:hAnsi="Times New Roman"/>
          <w:sz w:val="28"/>
          <w:szCs w:val="28"/>
          <w:lang w:eastAsia="ru-RU"/>
        </w:rPr>
        <w:t xml:space="preserve">Через 4 роки з дати набрання чинності цим Технічним регламентом </w:t>
      </w:r>
      <w:r w:rsidR="00F94B95" w:rsidRPr="00745016">
        <w:rPr>
          <w:rFonts w:ascii="Times New Roman" w:hAnsi="Times New Roman"/>
          <w:sz w:val="28"/>
          <w:szCs w:val="28"/>
          <w:lang w:eastAsia="ru-RU"/>
        </w:rPr>
        <w:t>постійні теплові втрати</w:t>
      </w:r>
      <w:r w:rsidRPr="00AE7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942">
        <w:rPr>
          <w:rFonts w:ascii="Times New Roman" w:hAnsi="Times New Roman"/>
          <w:i/>
          <w:sz w:val="28"/>
          <w:szCs w:val="28"/>
          <w:lang w:eastAsia="ru-RU"/>
        </w:rPr>
        <w:t>S</w:t>
      </w:r>
      <w:r w:rsidRPr="00AE7942">
        <w:rPr>
          <w:rFonts w:ascii="Times New Roman" w:hAnsi="Times New Roman"/>
          <w:sz w:val="28"/>
          <w:szCs w:val="28"/>
          <w:lang w:eastAsia="ru-RU"/>
        </w:rPr>
        <w:t xml:space="preserve"> для баків-акумуляторів з об'ємом зберігання </w:t>
      </w:r>
      <w:r w:rsidRPr="00AE7942">
        <w:rPr>
          <w:rFonts w:ascii="Times New Roman" w:hAnsi="Times New Roman"/>
          <w:i/>
          <w:sz w:val="28"/>
          <w:szCs w:val="28"/>
          <w:lang w:eastAsia="ru-RU"/>
        </w:rPr>
        <w:t>V</w:t>
      </w:r>
      <w:r w:rsidRPr="00AE7942">
        <w:rPr>
          <w:rFonts w:ascii="Times New Roman" w:hAnsi="Times New Roman"/>
          <w:sz w:val="28"/>
          <w:szCs w:val="28"/>
          <w:lang w:eastAsia="ru-RU"/>
        </w:rPr>
        <w:t>, вираженим у літрах, не повинн</w:t>
      </w:r>
      <w:r w:rsidR="00F94B95">
        <w:rPr>
          <w:rFonts w:ascii="Times New Roman" w:hAnsi="Times New Roman"/>
          <w:sz w:val="28"/>
          <w:szCs w:val="28"/>
          <w:lang w:eastAsia="ru-RU"/>
        </w:rPr>
        <w:t>і</w:t>
      </w:r>
      <w:r w:rsidRPr="00AE7942">
        <w:rPr>
          <w:rFonts w:ascii="Times New Roman" w:hAnsi="Times New Roman"/>
          <w:sz w:val="28"/>
          <w:szCs w:val="28"/>
          <w:lang w:eastAsia="ru-RU"/>
        </w:rPr>
        <w:t xml:space="preserve"> перевищувати </w:t>
      </w:r>
      <w:r w:rsidR="00AE7942" w:rsidRPr="00AE7942">
        <w:rPr>
          <w:rFonts w:ascii="Times New Roman" w:hAnsi="Times New Roman"/>
          <w:sz w:val="28"/>
          <w:szCs w:val="28"/>
          <w:lang w:eastAsia="ru-RU"/>
        </w:rPr>
        <w:t>наступного граничного значення</w:t>
      </w:r>
      <w:r w:rsidRPr="00AE7942">
        <w:rPr>
          <w:rFonts w:ascii="Times New Roman" w:hAnsi="Times New Roman"/>
          <w:sz w:val="28"/>
          <w:szCs w:val="28"/>
          <w:lang w:eastAsia="ru-RU"/>
        </w:rPr>
        <w:t>:</w:t>
      </w:r>
    </w:p>
    <w:p w:rsidR="00AE7942" w:rsidRPr="00AE7942" w:rsidRDefault="00AE7942" w:rsidP="00AE7942">
      <w:pPr>
        <w:autoSpaceDE/>
        <w:autoSpaceDN/>
        <w:spacing w:after="200" w:line="276" w:lineRule="auto"/>
        <w:jc w:val="center"/>
        <w:rPr>
          <w:sz w:val="28"/>
          <w:szCs w:val="28"/>
          <w:lang w:val="uk-UA" w:eastAsia="ru-RU"/>
        </w:rPr>
      </w:pPr>
      <w:r w:rsidRPr="00AE7942">
        <w:rPr>
          <w:sz w:val="28"/>
          <w:szCs w:val="28"/>
          <w:lang w:val="uk-UA" w:eastAsia="ru-RU"/>
        </w:rPr>
        <w:t xml:space="preserve">16,66 + 8,33 · </w:t>
      </w:r>
      <w:r w:rsidRPr="00AE7942">
        <w:rPr>
          <w:i/>
          <w:sz w:val="28"/>
          <w:szCs w:val="28"/>
          <w:lang w:val="uk-UA" w:eastAsia="ru-RU"/>
        </w:rPr>
        <w:t>V</w:t>
      </w:r>
      <w:r w:rsidRPr="00AE7942">
        <w:rPr>
          <w:sz w:val="28"/>
          <w:szCs w:val="28"/>
          <w:vertAlign w:val="superscript"/>
          <w:lang w:val="uk-UA" w:eastAsia="ru-RU"/>
        </w:rPr>
        <w:t>0,4</w:t>
      </w:r>
      <w:r w:rsidRPr="00AE7942">
        <w:rPr>
          <w:sz w:val="28"/>
          <w:szCs w:val="28"/>
          <w:lang w:val="uk-UA" w:eastAsia="ru-RU"/>
        </w:rPr>
        <w:t xml:space="preserve"> Вт</w:t>
      </w:r>
    </w:p>
    <w:p w:rsidR="00E92755" w:rsidRDefault="00AE7942" w:rsidP="0025154F">
      <w:pPr>
        <w:pStyle w:val="Style34"/>
        <w:widowControl/>
        <w:tabs>
          <w:tab w:val="left" w:pos="851"/>
        </w:tabs>
        <w:spacing w:before="110" w:after="240" w:line="240" w:lineRule="auto"/>
        <w:ind w:right="-1" w:firstLine="5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AE7942">
        <w:rPr>
          <w:rFonts w:ascii="Times New Roman" w:hAnsi="Times New Roman"/>
          <w:sz w:val="28"/>
          <w:szCs w:val="28"/>
          <w:lang w:eastAsia="ru-RU"/>
        </w:rPr>
        <w:t>Вимоги до інформації про продукт стосовно баків-акумуляторі</w:t>
      </w:r>
      <w:proofErr w:type="gramStart"/>
      <w:r w:rsidRPr="00AE794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E92755" w:rsidRPr="00AE7942" w:rsidRDefault="00AE7942" w:rsidP="00AE7942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AE7942">
        <w:rPr>
          <w:rFonts w:ascii="Times New Roman" w:hAnsi="Times New Roman"/>
          <w:sz w:val="28"/>
          <w:szCs w:val="28"/>
          <w:lang w:eastAsia="ru-RU"/>
        </w:rPr>
        <w:t>Через 2 роки з дати набрання чинності цим Технічним регламентом інструкції для монтажників та кінцевих користувачів, веб-сайти виробників, їхніх уповноважених представників та імпортерів з вільним доступом, а також технічна документація для оцінки відповідності відповідно до пункту 5 цього Технічного регламенту повинні містити наступні дані:</w:t>
      </w:r>
    </w:p>
    <w:p w:rsidR="00E92755" w:rsidRPr="00AE7942" w:rsidRDefault="00C30832" w:rsidP="00AE7942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1</w:t>
      </w:r>
      <w:r w:rsidR="00AE7942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AE7942" w:rsidRPr="00AE7942">
        <w:rPr>
          <w:rFonts w:ascii="Times New Roman" w:hAnsi="Times New Roman"/>
          <w:sz w:val="28"/>
          <w:szCs w:val="28"/>
          <w:lang w:eastAsia="ru-RU"/>
        </w:rPr>
        <w:t>інформацію</w:t>
      </w:r>
      <w:proofErr w:type="gramEnd"/>
      <w:r w:rsidR="00AE7942" w:rsidRPr="00AE7942">
        <w:rPr>
          <w:rFonts w:ascii="Times New Roman" w:hAnsi="Times New Roman"/>
          <w:sz w:val="28"/>
          <w:szCs w:val="28"/>
          <w:lang w:eastAsia="ru-RU"/>
        </w:rPr>
        <w:t xml:space="preserve"> про модель (моделі), </w:t>
      </w:r>
      <w:r w:rsidR="00AE7942">
        <w:rPr>
          <w:rFonts w:ascii="Times New Roman" w:hAnsi="Times New Roman"/>
          <w:sz w:val="28"/>
          <w:szCs w:val="28"/>
          <w:lang w:eastAsia="ru-RU"/>
        </w:rPr>
        <w:t>у тому числі</w:t>
      </w:r>
      <w:r w:rsidR="00AE7942" w:rsidRPr="00AE7942">
        <w:rPr>
          <w:rFonts w:ascii="Times New Roman" w:hAnsi="Times New Roman"/>
          <w:sz w:val="28"/>
          <w:szCs w:val="28"/>
          <w:lang w:eastAsia="ru-RU"/>
        </w:rPr>
        <w:t xml:space="preserve"> еквівалентні моделі, </w:t>
      </w:r>
      <w:r w:rsidR="00AE7942">
        <w:rPr>
          <w:rFonts w:ascii="Times New Roman" w:hAnsi="Times New Roman"/>
          <w:sz w:val="28"/>
          <w:szCs w:val="28"/>
          <w:lang w:eastAsia="ru-RU"/>
        </w:rPr>
        <w:t>на які розповсюджується ця</w:t>
      </w:r>
      <w:r w:rsidR="00AE7942" w:rsidRPr="00AE7942">
        <w:rPr>
          <w:rFonts w:ascii="Times New Roman" w:hAnsi="Times New Roman"/>
          <w:sz w:val="28"/>
          <w:szCs w:val="28"/>
          <w:lang w:eastAsia="ru-RU"/>
        </w:rPr>
        <w:t xml:space="preserve"> інформація;</w:t>
      </w:r>
    </w:p>
    <w:p w:rsidR="00E92755" w:rsidRDefault="00C30832" w:rsidP="00AE7942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</w:t>
      </w:r>
      <w:r w:rsidR="00AE7942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AE7942" w:rsidRPr="00AE7942"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gramEnd"/>
      <w:r w:rsidR="00AE7942" w:rsidRPr="00AE7942">
        <w:rPr>
          <w:rFonts w:ascii="Times New Roman" w:hAnsi="Times New Roman"/>
          <w:sz w:val="28"/>
          <w:szCs w:val="28"/>
          <w:lang w:eastAsia="ru-RU"/>
        </w:rPr>
        <w:t xml:space="preserve"> вимірювання технічних параметрів, зазначених у </w:t>
      </w:r>
      <w:r w:rsidR="00AE7942" w:rsidRPr="00782F3F">
        <w:rPr>
          <w:rFonts w:ascii="Times New Roman" w:hAnsi="Times New Roman"/>
          <w:sz w:val="28"/>
          <w:szCs w:val="28"/>
          <w:lang w:eastAsia="ru-RU"/>
        </w:rPr>
        <w:t>пункті 7 додатку 3 до цього Технічного регламенту;</w:t>
      </w:r>
    </w:p>
    <w:p w:rsidR="00AE7942" w:rsidRDefault="00C30832" w:rsidP="00AE7942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3</w:t>
      </w:r>
      <w:r w:rsidR="00AE7942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AE7942">
        <w:rPr>
          <w:rFonts w:ascii="Times New Roman" w:hAnsi="Times New Roman"/>
          <w:sz w:val="28"/>
          <w:szCs w:val="28"/>
          <w:lang w:eastAsia="ru-RU"/>
        </w:rPr>
        <w:t>усі</w:t>
      </w:r>
      <w:proofErr w:type="gramEnd"/>
      <w:r w:rsidR="00AE7942" w:rsidRPr="00AE7942">
        <w:rPr>
          <w:rFonts w:ascii="Times New Roman" w:hAnsi="Times New Roman"/>
          <w:sz w:val="28"/>
          <w:szCs w:val="28"/>
          <w:lang w:eastAsia="ru-RU"/>
        </w:rPr>
        <w:t xml:space="preserve"> спеціальні заходи безпеки, які необхідно вживати під час збирання, монтажу або обслуговування </w:t>
      </w:r>
      <w:r w:rsidR="00AE7942">
        <w:rPr>
          <w:rFonts w:ascii="Times New Roman" w:hAnsi="Times New Roman"/>
          <w:sz w:val="28"/>
          <w:szCs w:val="28"/>
          <w:lang w:eastAsia="ru-RU"/>
        </w:rPr>
        <w:t>бака-акумулятора</w:t>
      </w:r>
      <w:r w:rsidR="00AE7942" w:rsidRPr="00AE7942">
        <w:rPr>
          <w:rFonts w:ascii="Times New Roman" w:hAnsi="Times New Roman"/>
          <w:sz w:val="28"/>
          <w:szCs w:val="28"/>
          <w:lang w:eastAsia="ru-RU"/>
        </w:rPr>
        <w:t>;</w:t>
      </w:r>
    </w:p>
    <w:p w:rsidR="00E92755" w:rsidRPr="00AE7942" w:rsidRDefault="00C30832" w:rsidP="00AE7942">
      <w:pPr>
        <w:pStyle w:val="Style34"/>
        <w:widowControl/>
        <w:tabs>
          <w:tab w:val="left" w:pos="851"/>
        </w:tabs>
        <w:spacing w:before="110" w:after="240" w:line="276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4</w:t>
      </w:r>
      <w:bookmarkStart w:id="0" w:name="_GoBack"/>
      <w:bookmarkEnd w:id="0"/>
      <w:r w:rsidR="00AE794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E7942" w:rsidRPr="00AE7942">
        <w:rPr>
          <w:rFonts w:ascii="Times New Roman" w:hAnsi="Times New Roman"/>
          <w:sz w:val="28"/>
          <w:szCs w:val="28"/>
          <w:lang w:eastAsia="ru-RU"/>
        </w:rPr>
        <w:t>інформацію щодо демонтажу, переробки та/або утилізації після закінчення строку експлуатації</w:t>
      </w:r>
      <w:r w:rsidR="00AE7942">
        <w:rPr>
          <w:rFonts w:ascii="Times New Roman" w:hAnsi="Times New Roman"/>
          <w:sz w:val="28"/>
          <w:szCs w:val="28"/>
          <w:lang w:eastAsia="ru-RU"/>
        </w:rPr>
        <w:t>.</w:t>
      </w:r>
    </w:p>
    <w:p w:rsidR="0025154F" w:rsidRPr="00AE7942" w:rsidRDefault="00AE7942" w:rsidP="00AE7942">
      <w:pPr>
        <w:pStyle w:val="Style34"/>
        <w:widowControl/>
        <w:tabs>
          <w:tab w:val="left" w:pos="851"/>
        </w:tabs>
        <w:spacing w:before="110" w:after="240" w:line="24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763A88" w:rsidRPr="00AE79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sectPr w:rsidR="0025154F" w:rsidRPr="00AE7942" w:rsidSect="00745016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7F" w:rsidRDefault="00A5437F" w:rsidP="00273107">
      <w:r>
        <w:separator/>
      </w:r>
    </w:p>
  </w:endnote>
  <w:endnote w:type="continuationSeparator" w:id="0">
    <w:p w:rsidR="00A5437F" w:rsidRDefault="00A5437F" w:rsidP="0027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7F" w:rsidRDefault="00A5437F" w:rsidP="00273107">
      <w:r>
        <w:separator/>
      </w:r>
    </w:p>
  </w:footnote>
  <w:footnote w:type="continuationSeparator" w:id="0">
    <w:p w:rsidR="00A5437F" w:rsidRDefault="00A5437F" w:rsidP="0027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32754"/>
      <w:docPartObj>
        <w:docPartGallery w:val="Page Numbers (Top of Page)"/>
        <w:docPartUnique/>
      </w:docPartObj>
    </w:sdtPr>
    <w:sdtEndPr/>
    <w:sdtContent>
      <w:p w:rsidR="00AF02D3" w:rsidRDefault="00AF02D3" w:rsidP="002731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32">
          <w:rPr>
            <w:noProof/>
          </w:rPr>
          <w:t>4</w:t>
        </w:r>
        <w:r>
          <w:fldChar w:fldCharType="end"/>
        </w:r>
        <w:r>
          <w:rPr>
            <w:lang w:val="uk-UA"/>
          </w:rPr>
          <w:t xml:space="preserve">                                                     Продовження додатку 2</w:t>
        </w:r>
      </w:p>
    </w:sdtContent>
  </w:sdt>
  <w:p w:rsidR="00AF02D3" w:rsidRDefault="00AF02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301"/>
    <w:multiLevelType w:val="hybridMultilevel"/>
    <w:tmpl w:val="20CED5D2"/>
    <w:lvl w:ilvl="0" w:tplc="36944A5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1D617E"/>
    <w:multiLevelType w:val="hybridMultilevel"/>
    <w:tmpl w:val="35BE3920"/>
    <w:lvl w:ilvl="0" w:tplc="04220017">
      <w:start w:val="1"/>
      <w:numFmt w:val="lowerLetter"/>
      <w:lvlText w:val="%1)"/>
      <w:lvlJc w:val="left"/>
      <w:pPr>
        <w:ind w:left="1512" w:hanging="360"/>
      </w:pPr>
    </w:lvl>
    <w:lvl w:ilvl="1" w:tplc="FF34364C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0D9A0DED"/>
    <w:multiLevelType w:val="hybridMultilevel"/>
    <w:tmpl w:val="11D222FA"/>
    <w:lvl w:ilvl="0" w:tplc="21401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E6177"/>
    <w:multiLevelType w:val="hybridMultilevel"/>
    <w:tmpl w:val="40546A98"/>
    <w:lvl w:ilvl="0" w:tplc="F95865EA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F61A9"/>
    <w:multiLevelType w:val="hybridMultilevel"/>
    <w:tmpl w:val="2878F798"/>
    <w:lvl w:ilvl="0" w:tplc="9F46E0F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2E165E4"/>
    <w:multiLevelType w:val="hybridMultilevel"/>
    <w:tmpl w:val="C4BCD4F2"/>
    <w:lvl w:ilvl="0" w:tplc="35D2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F32EA9"/>
    <w:multiLevelType w:val="hybridMultilevel"/>
    <w:tmpl w:val="70028344"/>
    <w:lvl w:ilvl="0" w:tplc="6226D7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7A66D40"/>
    <w:multiLevelType w:val="hybridMultilevel"/>
    <w:tmpl w:val="358EF982"/>
    <w:lvl w:ilvl="0" w:tplc="FF365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0BA6"/>
    <w:multiLevelType w:val="hybridMultilevel"/>
    <w:tmpl w:val="42788370"/>
    <w:lvl w:ilvl="0" w:tplc="125CCCF4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>
    <w:nsid w:val="4BCF1400"/>
    <w:multiLevelType w:val="multilevel"/>
    <w:tmpl w:val="EF82FA2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0D9412A"/>
    <w:multiLevelType w:val="hybridMultilevel"/>
    <w:tmpl w:val="02AAA5F0"/>
    <w:lvl w:ilvl="0" w:tplc="2F6A8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DB1A14"/>
    <w:multiLevelType w:val="multilevel"/>
    <w:tmpl w:val="46C8B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F5569A"/>
    <w:multiLevelType w:val="hybridMultilevel"/>
    <w:tmpl w:val="E07ECDAC"/>
    <w:lvl w:ilvl="0" w:tplc="2CDEBC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E4"/>
    <w:rsid w:val="00010FA3"/>
    <w:rsid w:val="000355C6"/>
    <w:rsid w:val="00054866"/>
    <w:rsid w:val="00057C4C"/>
    <w:rsid w:val="0006205B"/>
    <w:rsid w:val="00065001"/>
    <w:rsid w:val="000665C1"/>
    <w:rsid w:val="00096A8D"/>
    <w:rsid w:val="00097CC1"/>
    <w:rsid w:val="000B1812"/>
    <w:rsid w:val="000D4769"/>
    <w:rsid w:val="000F6845"/>
    <w:rsid w:val="001008B8"/>
    <w:rsid w:val="00102E56"/>
    <w:rsid w:val="00112589"/>
    <w:rsid w:val="001246FC"/>
    <w:rsid w:val="0015448F"/>
    <w:rsid w:val="00156F85"/>
    <w:rsid w:val="001661E3"/>
    <w:rsid w:val="00167879"/>
    <w:rsid w:val="001D5C63"/>
    <w:rsid w:val="001E1B29"/>
    <w:rsid w:val="00210C79"/>
    <w:rsid w:val="00213254"/>
    <w:rsid w:val="0025154F"/>
    <w:rsid w:val="00273107"/>
    <w:rsid w:val="00285CCC"/>
    <w:rsid w:val="002926A4"/>
    <w:rsid w:val="00293A64"/>
    <w:rsid w:val="002C16CE"/>
    <w:rsid w:val="002F533B"/>
    <w:rsid w:val="00307D13"/>
    <w:rsid w:val="003239D7"/>
    <w:rsid w:val="003445F9"/>
    <w:rsid w:val="00373062"/>
    <w:rsid w:val="003938DB"/>
    <w:rsid w:val="003A7014"/>
    <w:rsid w:val="003B2ED0"/>
    <w:rsid w:val="0042506C"/>
    <w:rsid w:val="00454653"/>
    <w:rsid w:val="004B0D24"/>
    <w:rsid w:val="00517FAF"/>
    <w:rsid w:val="00527CEE"/>
    <w:rsid w:val="00534469"/>
    <w:rsid w:val="00577104"/>
    <w:rsid w:val="00580E0C"/>
    <w:rsid w:val="00581803"/>
    <w:rsid w:val="005A5EE4"/>
    <w:rsid w:val="005B1225"/>
    <w:rsid w:val="005F5033"/>
    <w:rsid w:val="00620F17"/>
    <w:rsid w:val="006302E7"/>
    <w:rsid w:val="0063554C"/>
    <w:rsid w:val="006369BB"/>
    <w:rsid w:val="00643C73"/>
    <w:rsid w:val="00673361"/>
    <w:rsid w:val="00676276"/>
    <w:rsid w:val="00681D80"/>
    <w:rsid w:val="00682A51"/>
    <w:rsid w:val="006872FC"/>
    <w:rsid w:val="006C4A99"/>
    <w:rsid w:val="007054DF"/>
    <w:rsid w:val="00716AA8"/>
    <w:rsid w:val="00725FF9"/>
    <w:rsid w:val="00745016"/>
    <w:rsid w:val="0076289A"/>
    <w:rsid w:val="00763A88"/>
    <w:rsid w:val="007643BD"/>
    <w:rsid w:val="00782F3F"/>
    <w:rsid w:val="00796952"/>
    <w:rsid w:val="007A3173"/>
    <w:rsid w:val="007C40B1"/>
    <w:rsid w:val="007F4664"/>
    <w:rsid w:val="007F6BBB"/>
    <w:rsid w:val="007F7AD4"/>
    <w:rsid w:val="00816E8A"/>
    <w:rsid w:val="00823439"/>
    <w:rsid w:val="0084015E"/>
    <w:rsid w:val="008478B6"/>
    <w:rsid w:val="00855E95"/>
    <w:rsid w:val="008560CB"/>
    <w:rsid w:val="00892EB0"/>
    <w:rsid w:val="008A5162"/>
    <w:rsid w:val="008E01DA"/>
    <w:rsid w:val="008F3ED0"/>
    <w:rsid w:val="00904FF9"/>
    <w:rsid w:val="009128EC"/>
    <w:rsid w:val="00913ADA"/>
    <w:rsid w:val="00944DE6"/>
    <w:rsid w:val="00957227"/>
    <w:rsid w:val="00976F04"/>
    <w:rsid w:val="009937B2"/>
    <w:rsid w:val="009A732B"/>
    <w:rsid w:val="009A7649"/>
    <w:rsid w:val="009B6EBE"/>
    <w:rsid w:val="009B776F"/>
    <w:rsid w:val="009E23C5"/>
    <w:rsid w:val="00A227A7"/>
    <w:rsid w:val="00A5437F"/>
    <w:rsid w:val="00A70A73"/>
    <w:rsid w:val="00A828BF"/>
    <w:rsid w:val="00AB1E43"/>
    <w:rsid w:val="00AC63C7"/>
    <w:rsid w:val="00AD1569"/>
    <w:rsid w:val="00AE2128"/>
    <w:rsid w:val="00AE4372"/>
    <w:rsid w:val="00AE658E"/>
    <w:rsid w:val="00AE7942"/>
    <w:rsid w:val="00AF02D3"/>
    <w:rsid w:val="00B3109F"/>
    <w:rsid w:val="00B33816"/>
    <w:rsid w:val="00B46FAA"/>
    <w:rsid w:val="00B5043A"/>
    <w:rsid w:val="00B7507B"/>
    <w:rsid w:val="00BC49CC"/>
    <w:rsid w:val="00BE505C"/>
    <w:rsid w:val="00C061F6"/>
    <w:rsid w:val="00C1148A"/>
    <w:rsid w:val="00C13ECF"/>
    <w:rsid w:val="00C30832"/>
    <w:rsid w:val="00C313CF"/>
    <w:rsid w:val="00C42BFA"/>
    <w:rsid w:val="00C4661D"/>
    <w:rsid w:val="00C544C3"/>
    <w:rsid w:val="00C63769"/>
    <w:rsid w:val="00C67B2D"/>
    <w:rsid w:val="00C919FE"/>
    <w:rsid w:val="00CF68A9"/>
    <w:rsid w:val="00D14914"/>
    <w:rsid w:val="00DD5B16"/>
    <w:rsid w:val="00E04769"/>
    <w:rsid w:val="00E1748C"/>
    <w:rsid w:val="00E32CAA"/>
    <w:rsid w:val="00E3756B"/>
    <w:rsid w:val="00E57360"/>
    <w:rsid w:val="00E57616"/>
    <w:rsid w:val="00E80D81"/>
    <w:rsid w:val="00E86399"/>
    <w:rsid w:val="00E92755"/>
    <w:rsid w:val="00EC2E3D"/>
    <w:rsid w:val="00EF2659"/>
    <w:rsid w:val="00EF592A"/>
    <w:rsid w:val="00F03690"/>
    <w:rsid w:val="00F241E3"/>
    <w:rsid w:val="00F311F8"/>
    <w:rsid w:val="00F33617"/>
    <w:rsid w:val="00F361C9"/>
    <w:rsid w:val="00F4793E"/>
    <w:rsid w:val="00F87109"/>
    <w:rsid w:val="00F94B95"/>
    <w:rsid w:val="00FC6B3E"/>
    <w:rsid w:val="00FF259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B0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FontStyle63">
    <w:name w:val="Font Style63"/>
    <w:basedOn w:val="a0"/>
    <w:rsid w:val="004B0D24"/>
    <w:rPr>
      <w:rFonts w:ascii="Palatino Linotype" w:hAnsi="Palatino Linotype" w:cs="Palatino Linotype"/>
      <w:sz w:val="14"/>
      <w:szCs w:val="14"/>
    </w:rPr>
  </w:style>
  <w:style w:type="paragraph" w:customStyle="1" w:styleId="Style34">
    <w:name w:val="Style34"/>
    <w:basedOn w:val="a"/>
    <w:rsid w:val="004B0D24"/>
    <w:pPr>
      <w:widowControl w:val="0"/>
      <w:adjustRightInd w:val="0"/>
      <w:spacing w:line="192" w:lineRule="exact"/>
      <w:jc w:val="both"/>
    </w:pPr>
    <w:rPr>
      <w:rFonts w:ascii="Palatino Linotype" w:hAnsi="Palatino Linotype"/>
      <w:sz w:val="24"/>
      <w:szCs w:val="24"/>
      <w:lang w:val="uk-UA" w:eastAsia="uk-UA"/>
    </w:rPr>
  </w:style>
  <w:style w:type="paragraph" w:customStyle="1" w:styleId="a4">
    <w:name w:val="Нормальний текст"/>
    <w:basedOn w:val="a"/>
    <w:uiPriority w:val="99"/>
    <w:rsid w:val="00285CCC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 w:eastAsia="en-GB"/>
    </w:rPr>
  </w:style>
  <w:style w:type="paragraph" w:styleId="HTML">
    <w:name w:val="HTML Preformatted"/>
    <w:basedOn w:val="a"/>
    <w:link w:val="HTML0"/>
    <w:uiPriority w:val="99"/>
    <w:unhideWhenUsed/>
    <w:rsid w:val="0006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6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41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1E3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04FF9"/>
    <w:pPr>
      <w:widowControl w:val="0"/>
      <w:autoSpaceDE/>
      <w:autoSpaceDN/>
      <w:ind w:left="1345"/>
    </w:pPr>
    <w:rPr>
      <w:rFonts w:ascii="PMingLiU" w:eastAsia="PMingLiU" w:hAnsi="PMingLiU" w:cstheme="minorBidi"/>
      <w:sz w:val="17"/>
      <w:szCs w:val="17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04FF9"/>
    <w:rPr>
      <w:rFonts w:ascii="PMingLiU" w:eastAsia="PMingLiU" w:hAnsi="PMingLiU"/>
      <w:sz w:val="17"/>
      <w:szCs w:val="17"/>
      <w:lang w:val="en-US"/>
    </w:rPr>
  </w:style>
  <w:style w:type="paragraph" w:styleId="aa">
    <w:name w:val="header"/>
    <w:basedOn w:val="a"/>
    <w:link w:val="ab"/>
    <w:uiPriority w:val="99"/>
    <w:unhideWhenUsed/>
    <w:rsid w:val="002731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310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731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310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156F85"/>
    <w:rPr>
      <w:color w:val="808080"/>
    </w:rPr>
  </w:style>
  <w:style w:type="table" w:styleId="af">
    <w:name w:val="Table Grid"/>
    <w:basedOn w:val="a1"/>
    <w:uiPriority w:val="59"/>
    <w:rsid w:val="00E927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C11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C11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6302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B12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B0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FontStyle63">
    <w:name w:val="Font Style63"/>
    <w:basedOn w:val="a0"/>
    <w:rsid w:val="004B0D24"/>
    <w:rPr>
      <w:rFonts w:ascii="Palatino Linotype" w:hAnsi="Palatino Linotype" w:cs="Palatino Linotype"/>
      <w:sz w:val="14"/>
      <w:szCs w:val="14"/>
    </w:rPr>
  </w:style>
  <w:style w:type="paragraph" w:customStyle="1" w:styleId="Style34">
    <w:name w:val="Style34"/>
    <w:basedOn w:val="a"/>
    <w:rsid w:val="004B0D24"/>
    <w:pPr>
      <w:widowControl w:val="0"/>
      <w:adjustRightInd w:val="0"/>
      <w:spacing w:line="192" w:lineRule="exact"/>
      <w:jc w:val="both"/>
    </w:pPr>
    <w:rPr>
      <w:rFonts w:ascii="Palatino Linotype" w:hAnsi="Palatino Linotype"/>
      <w:sz w:val="24"/>
      <w:szCs w:val="24"/>
      <w:lang w:val="uk-UA" w:eastAsia="uk-UA"/>
    </w:rPr>
  </w:style>
  <w:style w:type="paragraph" w:customStyle="1" w:styleId="a4">
    <w:name w:val="Нормальний текст"/>
    <w:basedOn w:val="a"/>
    <w:uiPriority w:val="99"/>
    <w:rsid w:val="00285CCC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 w:eastAsia="en-GB"/>
    </w:rPr>
  </w:style>
  <w:style w:type="paragraph" w:styleId="HTML">
    <w:name w:val="HTML Preformatted"/>
    <w:basedOn w:val="a"/>
    <w:link w:val="HTML0"/>
    <w:uiPriority w:val="99"/>
    <w:unhideWhenUsed/>
    <w:rsid w:val="0006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6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41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1E3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04FF9"/>
    <w:pPr>
      <w:widowControl w:val="0"/>
      <w:autoSpaceDE/>
      <w:autoSpaceDN/>
      <w:ind w:left="1345"/>
    </w:pPr>
    <w:rPr>
      <w:rFonts w:ascii="PMingLiU" w:eastAsia="PMingLiU" w:hAnsi="PMingLiU" w:cstheme="minorBidi"/>
      <w:sz w:val="17"/>
      <w:szCs w:val="17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04FF9"/>
    <w:rPr>
      <w:rFonts w:ascii="PMingLiU" w:eastAsia="PMingLiU" w:hAnsi="PMingLiU"/>
      <w:sz w:val="17"/>
      <w:szCs w:val="17"/>
      <w:lang w:val="en-US"/>
    </w:rPr>
  </w:style>
  <w:style w:type="paragraph" w:styleId="aa">
    <w:name w:val="header"/>
    <w:basedOn w:val="a"/>
    <w:link w:val="ab"/>
    <w:uiPriority w:val="99"/>
    <w:unhideWhenUsed/>
    <w:rsid w:val="002731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310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731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310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156F85"/>
    <w:rPr>
      <w:color w:val="808080"/>
    </w:rPr>
  </w:style>
  <w:style w:type="table" w:styleId="af">
    <w:name w:val="Table Grid"/>
    <w:basedOn w:val="a1"/>
    <w:uiPriority w:val="59"/>
    <w:rsid w:val="00E927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C11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C114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6302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B12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9086-2143-4315-991F-FD03B35F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2</cp:revision>
  <cp:lastPrinted>2018-05-07T08:58:00Z</cp:lastPrinted>
  <dcterms:created xsi:type="dcterms:W3CDTF">2018-10-10T13:02:00Z</dcterms:created>
  <dcterms:modified xsi:type="dcterms:W3CDTF">2018-10-10T13:02:00Z</dcterms:modified>
</cp:coreProperties>
</file>