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06" w:rsidRPr="009A3568" w:rsidRDefault="005F6306" w:rsidP="005F6306">
      <w:pPr>
        <w:pStyle w:val="a3"/>
        <w:tabs>
          <w:tab w:val="left" w:pos="851"/>
        </w:tabs>
        <w:spacing w:before="0"/>
        <w:ind w:left="6521" w:hanging="851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A3568">
        <w:rPr>
          <w:rFonts w:ascii="Times New Roman" w:hAnsi="Times New Roman"/>
          <w:sz w:val="28"/>
          <w:szCs w:val="28"/>
          <w:lang w:eastAsia="ru-RU"/>
        </w:rPr>
        <w:t>Додаток 3</w:t>
      </w:r>
    </w:p>
    <w:p w:rsidR="005F6306" w:rsidRPr="009A3568" w:rsidRDefault="005F6306" w:rsidP="005F6306">
      <w:pPr>
        <w:pStyle w:val="a3"/>
        <w:tabs>
          <w:tab w:val="left" w:pos="851"/>
        </w:tabs>
        <w:spacing w:before="0"/>
        <w:ind w:left="6521" w:hanging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3568">
        <w:rPr>
          <w:rFonts w:ascii="Times New Roman" w:hAnsi="Times New Roman"/>
          <w:sz w:val="28"/>
          <w:szCs w:val="28"/>
          <w:lang w:eastAsia="ru-RU"/>
        </w:rPr>
        <w:t>до Технічного регламенту</w:t>
      </w:r>
    </w:p>
    <w:p w:rsidR="005F6306" w:rsidRDefault="005F6306" w:rsidP="005F6306">
      <w:pPr>
        <w:pStyle w:val="a3"/>
        <w:tabs>
          <w:tab w:val="left" w:pos="851"/>
        </w:tabs>
        <w:spacing w:befor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7C38" w:rsidRPr="009A3568" w:rsidRDefault="008E7C38" w:rsidP="005F6306">
      <w:pPr>
        <w:pStyle w:val="a3"/>
        <w:tabs>
          <w:tab w:val="left" w:pos="851"/>
        </w:tabs>
        <w:spacing w:befor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7C38" w:rsidRDefault="009A3568" w:rsidP="008E7C38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3568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AA63CE">
        <w:rPr>
          <w:rFonts w:ascii="Times New Roman" w:hAnsi="Times New Roman" w:cs="Times New Roman"/>
          <w:b/>
          <w:sz w:val="28"/>
          <w:szCs w:val="28"/>
          <w:lang w:val="uk-UA"/>
        </w:rPr>
        <w:t>имірювання</w:t>
      </w:r>
      <w:r w:rsidR="00E137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розрахунки</w:t>
      </w:r>
    </w:p>
    <w:p w:rsidR="00A97490" w:rsidRDefault="008E7C38" w:rsidP="00A9749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49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97490" w:rsidRPr="00A97490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відповідності та перевірки відповідності обігрівачів приміщень та комбінованих обігрівачів вимогам Технічного регламенту щодо вимог до </w:t>
      </w:r>
      <w:proofErr w:type="spellStart"/>
      <w:r w:rsidR="00A97490" w:rsidRPr="00A97490">
        <w:rPr>
          <w:rFonts w:ascii="Times New Roman" w:hAnsi="Times New Roman" w:cs="Times New Roman"/>
          <w:sz w:val="28"/>
          <w:szCs w:val="28"/>
          <w:lang w:val="uk-UA"/>
        </w:rPr>
        <w:t>екодизайну</w:t>
      </w:r>
      <w:proofErr w:type="spellEnd"/>
      <w:r w:rsidR="00A97490" w:rsidRPr="00A97490">
        <w:rPr>
          <w:rFonts w:ascii="Times New Roman" w:hAnsi="Times New Roman" w:cs="Times New Roman"/>
          <w:sz w:val="28"/>
          <w:szCs w:val="28"/>
          <w:lang w:val="uk-UA"/>
        </w:rPr>
        <w:t xml:space="preserve"> для обігрівачів приміщень та комбінованих обігрівачів, вимірювання проводяться із застосуванням надійної, точної та відтворюваної процедури вимірювань, яка враховує загальновизнані сучасні методики вимірювань, у тому числі методики, встановлені у стандартах з переліку національних стандартів, відповідність яким надає презумпцію відповідності обігрівачів приміщень та комбінованих обігрівачів вимогам Технічного регламенту щодо вимог до </w:t>
      </w:r>
      <w:proofErr w:type="spellStart"/>
      <w:r w:rsidR="00A97490" w:rsidRPr="00A97490">
        <w:rPr>
          <w:rFonts w:ascii="Times New Roman" w:hAnsi="Times New Roman" w:cs="Times New Roman"/>
          <w:sz w:val="28"/>
          <w:szCs w:val="28"/>
          <w:lang w:val="uk-UA"/>
        </w:rPr>
        <w:t>екодизайну</w:t>
      </w:r>
      <w:proofErr w:type="spellEnd"/>
      <w:r w:rsidR="00A97490" w:rsidRPr="00A97490">
        <w:rPr>
          <w:rFonts w:ascii="Times New Roman" w:hAnsi="Times New Roman" w:cs="Times New Roman"/>
          <w:sz w:val="28"/>
          <w:szCs w:val="28"/>
          <w:lang w:val="uk-UA"/>
        </w:rPr>
        <w:t xml:space="preserve"> для обігрівачів приміщень та комбінованих обігрівачів.</w:t>
      </w:r>
    </w:p>
    <w:p w:rsidR="0044480E" w:rsidRPr="00A97490" w:rsidRDefault="0044480E" w:rsidP="00A9749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A6B" w:rsidRPr="00A97490" w:rsidRDefault="008E7C38" w:rsidP="00A97490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49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12FF3" w:rsidRPr="00A97490">
        <w:rPr>
          <w:rFonts w:ascii="Times New Roman" w:hAnsi="Times New Roman" w:cs="Times New Roman"/>
          <w:sz w:val="28"/>
          <w:szCs w:val="28"/>
          <w:lang w:val="uk-UA"/>
        </w:rPr>
        <w:t xml:space="preserve">Загальні умови для </w:t>
      </w:r>
      <w:r w:rsidR="00E1376A" w:rsidRPr="00A97490">
        <w:rPr>
          <w:rFonts w:ascii="Times New Roman" w:hAnsi="Times New Roman" w:cs="Times New Roman"/>
          <w:sz w:val="28"/>
          <w:szCs w:val="28"/>
          <w:lang w:val="uk-UA"/>
        </w:rPr>
        <w:t>вимірювань та розрахунків</w:t>
      </w:r>
    </w:p>
    <w:p w:rsidR="00E1376A" w:rsidRDefault="00212FF3" w:rsidP="008E7C38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D84F9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1376A" w:rsidRPr="00E1376A">
        <w:rPr>
          <w:rFonts w:ascii="Times New Roman" w:hAnsi="Times New Roman" w:cs="Times New Roman"/>
          <w:sz w:val="28"/>
          <w:szCs w:val="28"/>
          <w:lang w:val="uk-UA"/>
        </w:rPr>
        <w:t>ля вимі</w:t>
      </w:r>
      <w:r w:rsidR="00E1376A">
        <w:rPr>
          <w:rFonts w:ascii="Times New Roman" w:hAnsi="Times New Roman" w:cs="Times New Roman"/>
          <w:sz w:val="28"/>
          <w:szCs w:val="28"/>
          <w:lang w:val="uk-UA"/>
        </w:rPr>
        <w:t>рювань, викладених у пунктах 2</w:t>
      </w:r>
      <w:r w:rsidR="00E1376A" w:rsidRPr="00E1376A">
        <w:rPr>
          <w:rFonts w:ascii="Times New Roman" w:hAnsi="Times New Roman" w:cs="Times New Roman"/>
          <w:sz w:val="28"/>
          <w:szCs w:val="28"/>
          <w:lang w:val="uk-UA"/>
        </w:rPr>
        <w:t>-5</w:t>
      </w:r>
      <w:r w:rsidR="00E1376A">
        <w:rPr>
          <w:rFonts w:ascii="Times New Roman" w:hAnsi="Times New Roman" w:cs="Times New Roman"/>
          <w:sz w:val="28"/>
          <w:szCs w:val="28"/>
          <w:lang w:val="uk-UA"/>
        </w:rPr>
        <w:t xml:space="preserve"> цього додатку</w:t>
      </w:r>
      <w:r w:rsidR="00E1376A" w:rsidRPr="00E1376A">
        <w:rPr>
          <w:rFonts w:ascii="Times New Roman" w:hAnsi="Times New Roman" w:cs="Times New Roman"/>
          <w:sz w:val="28"/>
          <w:szCs w:val="28"/>
          <w:lang w:val="uk-UA"/>
        </w:rPr>
        <w:t>, температура в</w:t>
      </w:r>
      <w:r w:rsidR="00D84F9E">
        <w:rPr>
          <w:rFonts w:ascii="Times New Roman" w:hAnsi="Times New Roman" w:cs="Times New Roman"/>
          <w:sz w:val="28"/>
          <w:szCs w:val="28"/>
          <w:lang w:val="uk-UA"/>
        </w:rPr>
        <w:t xml:space="preserve">середині приміщення </w:t>
      </w:r>
      <w:r w:rsidR="00A97490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="00D84F9E">
        <w:rPr>
          <w:rFonts w:ascii="Times New Roman" w:hAnsi="Times New Roman" w:cs="Times New Roman"/>
          <w:sz w:val="28"/>
          <w:szCs w:val="28"/>
          <w:lang w:val="uk-UA"/>
        </w:rPr>
        <w:t>дорівнювати</w:t>
      </w:r>
      <w:r w:rsidR="00E1376A" w:rsidRPr="00E1376A">
        <w:rPr>
          <w:rFonts w:ascii="Times New Roman" w:hAnsi="Times New Roman" w:cs="Times New Roman"/>
          <w:sz w:val="28"/>
          <w:szCs w:val="28"/>
          <w:lang w:val="uk-UA"/>
        </w:rPr>
        <w:t xml:space="preserve"> 20°С ± 1°С</w:t>
      </w:r>
      <w:r w:rsidR="00D84F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1376A" w:rsidRDefault="00212FF3" w:rsidP="00E1376A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D84F9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1376A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r w:rsidR="00E1376A" w:rsidRPr="00E1376A">
        <w:rPr>
          <w:rFonts w:ascii="Times New Roman" w:hAnsi="Times New Roman" w:cs="Times New Roman"/>
          <w:sz w:val="28"/>
          <w:szCs w:val="28"/>
          <w:lang w:val="uk-UA"/>
        </w:rPr>
        <w:t xml:space="preserve">розрахунків, викладених у </w:t>
      </w:r>
      <w:r w:rsidR="00E1376A">
        <w:rPr>
          <w:rFonts w:ascii="Times New Roman" w:hAnsi="Times New Roman" w:cs="Times New Roman"/>
          <w:sz w:val="28"/>
          <w:szCs w:val="28"/>
          <w:lang w:val="uk-UA"/>
        </w:rPr>
        <w:t>пунктах</w:t>
      </w:r>
      <w:r w:rsidR="00E1376A" w:rsidRPr="00E1376A">
        <w:rPr>
          <w:rFonts w:ascii="Times New Roman" w:hAnsi="Times New Roman" w:cs="Times New Roman"/>
          <w:sz w:val="28"/>
          <w:szCs w:val="28"/>
          <w:lang w:val="uk-UA"/>
        </w:rPr>
        <w:t xml:space="preserve"> 3-5</w:t>
      </w:r>
      <w:r w:rsidR="00E1376A">
        <w:rPr>
          <w:rFonts w:ascii="Times New Roman" w:hAnsi="Times New Roman" w:cs="Times New Roman"/>
          <w:sz w:val="28"/>
          <w:szCs w:val="28"/>
          <w:lang w:val="uk-UA"/>
        </w:rPr>
        <w:t xml:space="preserve"> цього додатку</w:t>
      </w:r>
      <w:r w:rsidR="00E1376A" w:rsidRPr="00E1376A">
        <w:rPr>
          <w:rFonts w:ascii="Times New Roman" w:hAnsi="Times New Roman" w:cs="Times New Roman"/>
          <w:sz w:val="28"/>
          <w:szCs w:val="28"/>
          <w:lang w:val="uk-UA"/>
        </w:rPr>
        <w:t xml:space="preserve">, споживання електроенергії множиться на коефіцієнт перетворення </w:t>
      </w:r>
      <w:r w:rsidR="00E1376A" w:rsidRPr="00E1376A">
        <w:rPr>
          <w:rFonts w:ascii="Times New Roman" w:hAnsi="Times New Roman" w:cs="Times New Roman"/>
          <w:i/>
          <w:sz w:val="28"/>
          <w:szCs w:val="28"/>
          <w:lang w:val="uk-UA"/>
        </w:rPr>
        <w:t>CC</w:t>
      </w:r>
      <w:r w:rsidR="00D84F9E">
        <w:rPr>
          <w:rFonts w:ascii="Times New Roman" w:hAnsi="Times New Roman" w:cs="Times New Roman"/>
          <w:sz w:val="28"/>
          <w:szCs w:val="28"/>
          <w:lang w:val="uk-UA"/>
        </w:rPr>
        <w:t xml:space="preserve"> = 2,5;</w:t>
      </w:r>
    </w:p>
    <w:p w:rsidR="00E1376A" w:rsidRDefault="008A334D" w:rsidP="00E1376A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D84F9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1376A" w:rsidRPr="00E1376A">
        <w:rPr>
          <w:rFonts w:ascii="Times New Roman" w:hAnsi="Times New Roman" w:cs="Times New Roman"/>
          <w:sz w:val="28"/>
          <w:szCs w:val="28"/>
          <w:lang w:val="uk-UA"/>
        </w:rPr>
        <w:t xml:space="preserve">икиди оксидів азоту вимірюються як сума </w:t>
      </w:r>
      <w:proofErr w:type="spellStart"/>
      <w:r w:rsidR="00E1376A" w:rsidRPr="00E1376A">
        <w:rPr>
          <w:rFonts w:ascii="Times New Roman" w:hAnsi="Times New Roman" w:cs="Times New Roman"/>
          <w:sz w:val="28"/>
          <w:szCs w:val="28"/>
          <w:lang w:val="uk-UA"/>
        </w:rPr>
        <w:t>монооксиду</w:t>
      </w:r>
      <w:proofErr w:type="spellEnd"/>
      <w:r w:rsidR="00E1376A" w:rsidRPr="00E1376A">
        <w:rPr>
          <w:rFonts w:ascii="Times New Roman" w:hAnsi="Times New Roman" w:cs="Times New Roman"/>
          <w:sz w:val="28"/>
          <w:szCs w:val="28"/>
          <w:lang w:val="uk-UA"/>
        </w:rPr>
        <w:t xml:space="preserve"> азоту і діоксиду азоту</w:t>
      </w:r>
      <w:r w:rsidR="00D84F9E">
        <w:rPr>
          <w:rFonts w:ascii="Times New Roman" w:hAnsi="Times New Roman" w:cs="Times New Roman"/>
          <w:sz w:val="28"/>
          <w:szCs w:val="28"/>
          <w:lang w:val="uk-UA"/>
        </w:rPr>
        <w:t xml:space="preserve"> в перерахунку на діоксид азоту;</w:t>
      </w:r>
    </w:p>
    <w:p w:rsidR="00E1376A" w:rsidRDefault="00BD2FD2" w:rsidP="00E1376A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D2FD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D84F9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E21E6" w:rsidRPr="001E21E6">
        <w:rPr>
          <w:rFonts w:ascii="Times New Roman" w:hAnsi="Times New Roman" w:cs="Times New Roman"/>
          <w:sz w:val="28"/>
          <w:szCs w:val="28"/>
          <w:lang w:val="uk-UA"/>
        </w:rPr>
        <w:t xml:space="preserve">ля обігрівачів, оснащених додатковими обігрівачами, при вимірюванні і розрахунках номінальної теплової потужності, сезонної енергоефективності </w:t>
      </w:r>
      <w:r w:rsidR="009067B9">
        <w:rPr>
          <w:rFonts w:ascii="Times New Roman" w:hAnsi="Times New Roman" w:cs="Times New Roman"/>
          <w:sz w:val="28"/>
          <w:szCs w:val="28"/>
          <w:lang w:val="uk-UA"/>
        </w:rPr>
        <w:t xml:space="preserve">(ККД) </w:t>
      </w:r>
      <w:r w:rsidR="001E21E6" w:rsidRPr="001E21E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E21E6">
        <w:rPr>
          <w:rFonts w:ascii="Times New Roman" w:hAnsi="Times New Roman" w:cs="Times New Roman"/>
          <w:sz w:val="28"/>
          <w:szCs w:val="28"/>
          <w:lang w:val="uk-UA"/>
        </w:rPr>
        <w:t>бігріву</w:t>
      </w:r>
      <w:r w:rsidR="001E21E6" w:rsidRPr="001E21E6">
        <w:rPr>
          <w:rFonts w:ascii="Times New Roman" w:hAnsi="Times New Roman" w:cs="Times New Roman"/>
          <w:sz w:val="28"/>
          <w:szCs w:val="28"/>
          <w:lang w:val="uk-UA"/>
        </w:rPr>
        <w:t xml:space="preserve"> приміщень, енергоефективності</w:t>
      </w:r>
      <w:r w:rsidR="001E21E6">
        <w:rPr>
          <w:rFonts w:ascii="Times New Roman" w:hAnsi="Times New Roman" w:cs="Times New Roman"/>
          <w:sz w:val="28"/>
          <w:szCs w:val="28"/>
          <w:lang w:val="uk-UA"/>
        </w:rPr>
        <w:t xml:space="preserve"> (ККД) нагріву води, рівня</w:t>
      </w:r>
      <w:r w:rsidR="001E21E6" w:rsidRPr="001E21E6">
        <w:rPr>
          <w:rFonts w:ascii="Times New Roman" w:hAnsi="Times New Roman" w:cs="Times New Roman"/>
          <w:sz w:val="28"/>
          <w:szCs w:val="28"/>
          <w:lang w:val="uk-UA"/>
        </w:rPr>
        <w:t xml:space="preserve"> звукової потужності і викидів оксидів азоту потрібно </w:t>
      </w:r>
      <w:r w:rsidR="001E21E6">
        <w:rPr>
          <w:rFonts w:ascii="Times New Roman" w:hAnsi="Times New Roman" w:cs="Times New Roman"/>
          <w:sz w:val="28"/>
          <w:szCs w:val="28"/>
          <w:lang w:val="uk-UA"/>
        </w:rPr>
        <w:t xml:space="preserve">враховувати </w:t>
      </w:r>
      <w:r w:rsidR="00D84F9E">
        <w:rPr>
          <w:rFonts w:ascii="Times New Roman" w:hAnsi="Times New Roman" w:cs="Times New Roman"/>
          <w:sz w:val="28"/>
          <w:szCs w:val="28"/>
          <w:lang w:val="uk-UA"/>
        </w:rPr>
        <w:t>додатковий обігрівач;</w:t>
      </w:r>
    </w:p>
    <w:p w:rsidR="002B7EDD" w:rsidRDefault="00BD2FD2" w:rsidP="00E1376A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="001E21E6" w:rsidRPr="00D733AA">
        <w:rPr>
          <w:lang w:val="uk-UA"/>
        </w:rPr>
        <w:t xml:space="preserve"> </w:t>
      </w:r>
      <w:r w:rsidR="00D84F9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E21E6" w:rsidRPr="001E21E6">
        <w:rPr>
          <w:rFonts w:ascii="Times New Roman" w:hAnsi="Times New Roman" w:cs="Times New Roman"/>
          <w:sz w:val="28"/>
          <w:szCs w:val="28"/>
          <w:lang w:val="uk-UA"/>
        </w:rPr>
        <w:t>аявлені значення номінальної теплової потужності, сезонної енергоефективності</w:t>
      </w:r>
      <w:r w:rsidR="009067B9">
        <w:rPr>
          <w:rFonts w:ascii="Times New Roman" w:hAnsi="Times New Roman" w:cs="Times New Roman"/>
          <w:sz w:val="28"/>
          <w:szCs w:val="28"/>
          <w:lang w:val="uk-UA"/>
        </w:rPr>
        <w:t xml:space="preserve"> (ККД)</w:t>
      </w:r>
      <w:r w:rsidR="001E21E6" w:rsidRPr="001E21E6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1E21E6">
        <w:rPr>
          <w:rFonts w:ascii="Times New Roman" w:hAnsi="Times New Roman" w:cs="Times New Roman"/>
          <w:sz w:val="28"/>
          <w:szCs w:val="28"/>
          <w:lang w:val="uk-UA"/>
        </w:rPr>
        <w:t>бігріву</w:t>
      </w:r>
      <w:r w:rsidR="001E21E6" w:rsidRPr="001E21E6">
        <w:rPr>
          <w:rFonts w:ascii="Times New Roman" w:hAnsi="Times New Roman" w:cs="Times New Roman"/>
          <w:sz w:val="28"/>
          <w:szCs w:val="28"/>
          <w:lang w:val="uk-UA"/>
        </w:rPr>
        <w:t xml:space="preserve"> приміщень, енергоефективності</w:t>
      </w:r>
      <w:r w:rsidR="001E21E6">
        <w:rPr>
          <w:rFonts w:ascii="Times New Roman" w:hAnsi="Times New Roman" w:cs="Times New Roman"/>
          <w:sz w:val="28"/>
          <w:szCs w:val="28"/>
          <w:lang w:val="uk-UA"/>
        </w:rPr>
        <w:t xml:space="preserve"> (ККД) нагріву води, рівня</w:t>
      </w:r>
      <w:r w:rsidR="001E21E6" w:rsidRPr="001E21E6">
        <w:rPr>
          <w:rFonts w:ascii="Times New Roman" w:hAnsi="Times New Roman" w:cs="Times New Roman"/>
          <w:sz w:val="28"/>
          <w:szCs w:val="28"/>
          <w:lang w:val="uk-UA"/>
        </w:rPr>
        <w:t xml:space="preserve"> звукової потужності і викидів оксидів повинні бути округлені до найближчого цілого</w:t>
      </w:r>
      <w:r w:rsidR="00D84F9E">
        <w:rPr>
          <w:rFonts w:ascii="Times New Roman" w:hAnsi="Times New Roman" w:cs="Times New Roman"/>
          <w:sz w:val="28"/>
          <w:szCs w:val="28"/>
          <w:lang w:val="uk-UA"/>
        </w:rPr>
        <w:t xml:space="preserve"> числа;</w:t>
      </w:r>
    </w:p>
    <w:p w:rsidR="008E7C38" w:rsidRDefault="001E21E6" w:rsidP="00F46483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е) </w:t>
      </w:r>
      <w:r w:rsidR="00D84F9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E21E6">
        <w:rPr>
          <w:rFonts w:ascii="Times New Roman" w:hAnsi="Times New Roman" w:cs="Times New Roman"/>
          <w:sz w:val="28"/>
          <w:szCs w:val="28"/>
          <w:lang w:val="uk-UA"/>
        </w:rPr>
        <w:t>ожен теплогенератор, призначений для обігрівача, і кожен корпус обігрівача, оснащений таким теплогенератором, має пройти випробування з придатними корпусом обігрівач</w:t>
      </w:r>
      <w:r w:rsidR="00D84F9E">
        <w:rPr>
          <w:rFonts w:ascii="Times New Roman" w:hAnsi="Times New Roman" w:cs="Times New Roman"/>
          <w:sz w:val="28"/>
          <w:szCs w:val="28"/>
          <w:lang w:val="uk-UA"/>
        </w:rPr>
        <w:t>а і теплогенератором відповідно.</w:t>
      </w:r>
    </w:p>
    <w:p w:rsidR="001E21E6" w:rsidRDefault="00F46483" w:rsidP="00F46483">
      <w:pPr>
        <w:tabs>
          <w:tab w:val="left" w:pos="5430"/>
        </w:tabs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483">
        <w:rPr>
          <w:rFonts w:ascii="Times New Roman" w:hAnsi="Times New Roman" w:cs="Times New Roman"/>
          <w:sz w:val="28"/>
          <w:szCs w:val="28"/>
          <w:lang w:val="uk-UA"/>
        </w:rPr>
        <w:t>3. Сезонна енергоефективність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(ККД)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бігріву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 приміщень для котельних обігрівачів приміщень, комбінованих котельних обігрівачів та </w:t>
      </w:r>
      <w:proofErr w:type="spellStart"/>
      <w:r w:rsidRPr="00F46483">
        <w:rPr>
          <w:rFonts w:ascii="Times New Roman" w:hAnsi="Times New Roman" w:cs="Times New Roman"/>
          <w:sz w:val="28"/>
          <w:szCs w:val="28"/>
          <w:lang w:val="uk-UA"/>
        </w:rPr>
        <w:t>коген</w:t>
      </w:r>
      <w:r w:rsidR="00F71AA5">
        <w:rPr>
          <w:rFonts w:ascii="Times New Roman" w:hAnsi="Times New Roman" w:cs="Times New Roman"/>
          <w:sz w:val="28"/>
          <w:szCs w:val="28"/>
          <w:lang w:val="uk-UA"/>
        </w:rPr>
        <w:t>ераційних</w:t>
      </w:r>
      <w:proofErr w:type="spellEnd"/>
      <w:r w:rsidR="00F71AA5">
        <w:rPr>
          <w:rFonts w:ascii="Times New Roman" w:hAnsi="Times New Roman" w:cs="Times New Roman"/>
          <w:sz w:val="28"/>
          <w:szCs w:val="28"/>
          <w:lang w:val="uk-UA"/>
        </w:rPr>
        <w:t xml:space="preserve"> обігрівачів приміщень</w:t>
      </w:r>
    </w:p>
    <w:p w:rsidR="001E21E6" w:rsidRDefault="00F46483" w:rsidP="00F46483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Сезонна енергоефективність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(ККД) 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бігріву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 приміщень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</m:t>
            </m:r>
          </m:sub>
        </m:sSub>
      </m:oMath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 розраховується як сезонна енергоефективність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(ККД) 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бігріву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 приміщень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ѕon</m:t>
            </m:r>
          </m:sub>
        </m:sSub>
      </m:oMath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 з поправками на терморегулятори, допоміжне енергоспоживання, втрати 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тепла в режимі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>очікування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, споживану потужність запальника (якщо він є). Для </w:t>
      </w:r>
      <w:proofErr w:type="spellStart"/>
      <w:r w:rsidRPr="00F46483">
        <w:rPr>
          <w:rFonts w:ascii="Times New Roman" w:hAnsi="Times New Roman" w:cs="Times New Roman"/>
          <w:sz w:val="28"/>
          <w:szCs w:val="28"/>
          <w:lang w:val="uk-UA"/>
        </w:rPr>
        <w:t>когенераційних</w:t>
      </w:r>
      <w:proofErr w:type="spellEnd"/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 обігрівачів приміщень потрібно також додавати електричний ККД, помножений на коефіцієнт перетворення </w:t>
      </w:r>
      <w:r w:rsidRPr="00F46483">
        <w:rPr>
          <w:rFonts w:ascii="Times New Roman" w:hAnsi="Times New Roman" w:cs="Times New Roman"/>
          <w:i/>
          <w:sz w:val="28"/>
          <w:szCs w:val="28"/>
          <w:lang w:val="uk-UA"/>
        </w:rPr>
        <w:t>CC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 = 2,5.</w:t>
      </w:r>
    </w:p>
    <w:p w:rsidR="00F46483" w:rsidRDefault="00F46483" w:rsidP="00F46483">
      <w:pPr>
        <w:tabs>
          <w:tab w:val="left" w:pos="5430"/>
        </w:tabs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>Сезонна енергоефективність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(ККД)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бігріву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 приміщень для обігрівачів приміщень на основі теплових насосів та комбінованих обігрів</w:t>
      </w:r>
      <w:r w:rsidR="00F71AA5">
        <w:rPr>
          <w:rFonts w:ascii="Times New Roman" w:hAnsi="Times New Roman" w:cs="Times New Roman"/>
          <w:sz w:val="28"/>
          <w:szCs w:val="28"/>
          <w:lang w:val="uk-UA"/>
        </w:rPr>
        <w:t>ачів на основі теплових насосів</w:t>
      </w:r>
      <w:r w:rsidR="00D84F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483" w:rsidRDefault="00F46483" w:rsidP="00F46483">
      <w:pPr>
        <w:tabs>
          <w:tab w:val="left" w:pos="5430"/>
        </w:tabs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Д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ля встановлення номінального коефіцієнта </w:t>
      </w:r>
      <w:r w:rsidR="009067B9">
        <w:rPr>
          <w:rFonts w:ascii="Times New Roman" w:hAnsi="Times New Roman" w:cs="Times New Roman"/>
          <w:sz w:val="28"/>
          <w:szCs w:val="28"/>
          <w:lang w:val="uk-UA"/>
        </w:rPr>
        <w:t>корисної дії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COP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ra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ted</m:t>
            </m:r>
          </m:sub>
        </m:sSub>
      </m:oMath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 або номінального коефіцієнта первинної енергії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PER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rated</m:t>
            </m:r>
          </m:sub>
        </m:sSub>
      </m:oMath>
      <w:r w:rsidRPr="00F46483">
        <w:rPr>
          <w:rFonts w:ascii="Times New Roman" w:hAnsi="Times New Roman" w:cs="Times New Roman"/>
          <w:sz w:val="28"/>
          <w:szCs w:val="28"/>
          <w:lang w:val="uk-UA"/>
        </w:rPr>
        <w:t>, рівень звукової потужності або викидів оксидів азоту, умови експлуатації повинні бути стандартними номін</w:t>
      </w:r>
      <w:r>
        <w:rPr>
          <w:rFonts w:ascii="Times New Roman" w:hAnsi="Times New Roman" w:cs="Times New Roman"/>
          <w:sz w:val="28"/>
          <w:szCs w:val="28"/>
          <w:lang w:val="uk-UA"/>
        </w:rPr>
        <w:t>альними умовами, зазначеними в т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>аблиці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додатку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такі ж умови застосовуються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>заявленої теплової потужності.</w:t>
      </w:r>
    </w:p>
    <w:p w:rsidR="001E21E6" w:rsidRDefault="00F46483" w:rsidP="00F46483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8D2C5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>езонний коефіцієнт корисної дії в режимі о</w:t>
      </w:r>
      <w:r w:rsidR="008D2C56">
        <w:rPr>
          <w:rFonts w:ascii="Times New Roman" w:hAnsi="Times New Roman" w:cs="Times New Roman"/>
          <w:sz w:val="28"/>
          <w:szCs w:val="28"/>
          <w:lang w:val="uk-UA"/>
        </w:rPr>
        <w:t>бігріву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SCOP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on </m:t>
            </m:r>
          </m:sub>
        </m:sSub>
      </m:oMath>
      <w:r w:rsidR="009B3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або коефіцієнт первинної енергії в </w:t>
      </w:r>
      <w:r w:rsidR="009067B9">
        <w:rPr>
          <w:rFonts w:ascii="Times New Roman" w:hAnsi="Times New Roman" w:cs="Times New Roman"/>
          <w:sz w:val="28"/>
          <w:szCs w:val="28"/>
          <w:lang w:val="uk-UA"/>
        </w:rPr>
        <w:t>режимі обігріву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SPER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on</m:t>
            </m:r>
          </m:sub>
        </m:sSub>
      </m:oMath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 розраховується на основі часткового навантаження </w:t>
      </w:r>
      <w:r w:rsidR="008D2C56">
        <w:rPr>
          <w:rFonts w:ascii="Times New Roman" w:hAnsi="Times New Roman" w:cs="Times New Roman"/>
          <w:sz w:val="28"/>
          <w:szCs w:val="28"/>
          <w:lang w:val="uk-UA"/>
        </w:rPr>
        <w:t>обігріву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2C56">
        <w:rPr>
          <w:rFonts w:ascii="Times New Roman" w:hAnsi="Times New Roman" w:cs="Times New Roman"/>
          <w:i/>
          <w:sz w:val="28"/>
          <w:szCs w:val="28"/>
          <w:lang w:val="uk-UA"/>
        </w:rPr>
        <w:t>Ph</w:t>
      </w:r>
      <w:proofErr w:type="spellEnd"/>
      <w:r w:rsidRPr="00F46483">
        <w:rPr>
          <w:rFonts w:ascii="Times New Roman" w:hAnsi="Times New Roman" w:cs="Times New Roman"/>
          <w:sz w:val="28"/>
          <w:szCs w:val="28"/>
          <w:lang w:val="uk-UA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), допоміжної теплової потужності </w:t>
      </w:r>
      <w:r w:rsidRPr="008D2C56">
        <w:rPr>
          <w:rFonts w:ascii="Times New Roman" w:hAnsi="Times New Roman" w:cs="Times New Roman"/>
          <w:i/>
          <w:sz w:val="28"/>
          <w:szCs w:val="28"/>
          <w:lang w:val="uk-UA"/>
        </w:rPr>
        <w:t>sup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) (у відповідних випадках) і питомого коефіцієнта корисної дії біна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COP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bin</m:t>
            </m:r>
          </m:sub>
        </m:sSub>
      </m:oMath>
      <w:r w:rsidRPr="00F46483">
        <w:rPr>
          <w:rFonts w:ascii="Times New Roman" w:hAnsi="Times New Roman" w:cs="Times New Roman"/>
          <w:sz w:val="28"/>
          <w:szCs w:val="28"/>
          <w:lang w:val="uk-UA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) або коефіцієнта первинної енергії біна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PER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bin</m:t>
            </m:r>
          </m:sub>
        </m:sSub>
      </m:oMath>
      <w:r w:rsidRPr="00F46483">
        <w:rPr>
          <w:rFonts w:ascii="Times New Roman" w:hAnsi="Times New Roman" w:cs="Times New Roman"/>
          <w:sz w:val="28"/>
          <w:szCs w:val="28"/>
          <w:lang w:val="uk-UA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8D2C56">
        <w:rPr>
          <w:rFonts w:ascii="Times New Roman" w:hAnsi="Times New Roman" w:cs="Times New Roman"/>
          <w:sz w:val="28"/>
          <w:szCs w:val="28"/>
          <w:lang w:val="uk-UA"/>
        </w:rPr>
        <w:t>розрахованих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C5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46483">
        <w:rPr>
          <w:rFonts w:ascii="Times New Roman" w:hAnsi="Times New Roman" w:cs="Times New Roman"/>
          <w:sz w:val="28"/>
          <w:szCs w:val="28"/>
          <w:lang w:val="uk-UA"/>
        </w:rPr>
        <w:t xml:space="preserve"> бін-годинах, на які розповсюджуються умови </w:t>
      </w:r>
      <w:proofErr w:type="spellStart"/>
      <w:r w:rsidRPr="00F46483">
        <w:rPr>
          <w:rFonts w:ascii="Times New Roman" w:hAnsi="Times New Roman" w:cs="Times New Roman"/>
          <w:sz w:val="28"/>
          <w:szCs w:val="28"/>
          <w:lang w:val="uk-UA"/>
        </w:rPr>
        <w:t>біну</w:t>
      </w:r>
      <w:proofErr w:type="spellEnd"/>
      <w:r w:rsidRPr="00F46483">
        <w:rPr>
          <w:rFonts w:ascii="Times New Roman" w:hAnsi="Times New Roman" w:cs="Times New Roman"/>
          <w:sz w:val="28"/>
          <w:szCs w:val="28"/>
          <w:lang w:val="uk-UA"/>
        </w:rPr>
        <w:t>, із застосуванням наступних параметрів:</w:t>
      </w:r>
    </w:p>
    <w:p w:rsidR="008D2C56" w:rsidRDefault="008D2C56" w:rsidP="00F46483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еталонних розрахункових умов, зазначених у таблиці 4 цього додатку;</w:t>
      </w:r>
    </w:p>
    <w:p w:rsidR="008D2C56" w:rsidRDefault="008D2C56" w:rsidP="00F46483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еталонного сезону обігріву при типових кліматичних умовах, зазначених у таблиці 5 цього додатку;</w:t>
      </w:r>
    </w:p>
    <w:p w:rsidR="008D2C56" w:rsidRDefault="008D2C56" w:rsidP="00F46483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C56">
        <w:rPr>
          <w:rFonts w:ascii="Times New Roman" w:hAnsi="Times New Roman" w:cs="Times New Roman"/>
          <w:sz w:val="28"/>
          <w:szCs w:val="28"/>
          <w:lang w:val="uk-UA"/>
        </w:rPr>
        <w:t>вплив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D2C56">
        <w:rPr>
          <w:rFonts w:ascii="Times New Roman" w:hAnsi="Times New Roman" w:cs="Times New Roman"/>
          <w:sz w:val="28"/>
          <w:szCs w:val="28"/>
          <w:lang w:val="uk-UA"/>
        </w:rPr>
        <w:t xml:space="preserve"> будь-якого погіршення ефективності використання</w:t>
      </w:r>
      <w:r w:rsidR="00D84F9E">
        <w:rPr>
          <w:rFonts w:ascii="Times New Roman" w:hAnsi="Times New Roman" w:cs="Times New Roman"/>
          <w:sz w:val="28"/>
          <w:szCs w:val="28"/>
          <w:lang w:val="uk-UA"/>
        </w:rPr>
        <w:t xml:space="preserve"> енергії, викликаного включанням та виключанням</w:t>
      </w:r>
      <w:r w:rsidRPr="008D2C56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обладнання, в залежності від типу регулювання тепловіддачі</w:t>
      </w:r>
      <w:r w:rsidRPr="00D733AA">
        <w:rPr>
          <w:lang w:val="uk-UA"/>
        </w:rPr>
        <w:t xml:space="preserve"> </w:t>
      </w:r>
      <w:r>
        <w:rPr>
          <w:lang w:val="uk-UA"/>
        </w:rPr>
        <w:t>(</w:t>
      </w:r>
      <w:r w:rsidRPr="008D2C56">
        <w:rPr>
          <w:rFonts w:ascii="Times New Roman" w:hAnsi="Times New Roman" w:cs="Times New Roman"/>
          <w:sz w:val="28"/>
          <w:szCs w:val="28"/>
          <w:lang w:val="uk-UA"/>
        </w:rPr>
        <w:t>у відповідних випадках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D2C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3E1D" w:rsidRDefault="009B3E1D" w:rsidP="009B3E1D">
      <w:pPr>
        <w:tabs>
          <w:tab w:val="left" w:pos="5430"/>
        </w:tabs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9067B9">
        <w:rPr>
          <w:rFonts w:ascii="Times New Roman" w:hAnsi="Times New Roman" w:cs="Times New Roman"/>
          <w:sz w:val="28"/>
          <w:szCs w:val="28"/>
          <w:lang w:val="uk-UA"/>
        </w:rPr>
        <w:t>еталонна річна потреба обігріву</w:t>
      </w:r>
      <w:r w:rsidRPr="009B3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sub>
        </m:sSub>
      </m:oMath>
      <w:r w:rsidRPr="009B3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розраховується</w:t>
      </w:r>
      <w:r w:rsidRPr="009B3E1D">
        <w:rPr>
          <w:rFonts w:ascii="Times New Roman" w:hAnsi="Times New Roman" w:cs="Times New Roman"/>
          <w:sz w:val="28"/>
          <w:szCs w:val="28"/>
          <w:lang w:val="uk-UA"/>
        </w:rPr>
        <w:t xml:space="preserve"> як добуток проектного навантаження о</w:t>
      </w:r>
      <w:r>
        <w:rPr>
          <w:rFonts w:ascii="Times New Roman" w:hAnsi="Times New Roman" w:cs="Times New Roman"/>
          <w:sz w:val="28"/>
          <w:szCs w:val="28"/>
          <w:lang w:val="uk-UA"/>
        </w:rPr>
        <w:t>бігріву</w:t>
      </w:r>
      <w:r w:rsidRPr="009B3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designh</m:t>
            </m:r>
          </m:sub>
        </m:sSub>
      </m:oMath>
      <w:r w:rsidRPr="009B3E1D">
        <w:rPr>
          <w:rFonts w:ascii="Times New Roman" w:hAnsi="Times New Roman" w:cs="Times New Roman"/>
          <w:sz w:val="28"/>
          <w:szCs w:val="28"/>
          <w:lang w:val="uk-UA"/>
        </w:rPr>
        <w:t xml:space="preserve"> та річного еталонного часу </w:t>
      </w:r>
      <w:r>
        <w:rPr>
          <w:rFonts w:ascii="Times New Roman" w:hAnsi="Times New Roman" w:cs="Times New Roman"/>
          <w:sz w:val="28"/>
          <w:szCs w:val="28"/>
          <w:lang w:val="uk-UA"/>
        </w:rPr>
        <w:t>обігріву</w:t>
      </w:r>
      <w:r w:rsidRPr="009B3E1D">
        <w:rPr>
          <w:rFonts w:ascii="Times New Roman" w:hAnsi="Times New Roman" w:cs="Times New Roman"/>
          <w:sz w:val="28"/>
          <w:szCs w:val="28"/>
          <w:lang w:val="uk-UA"/>
        </w:rPr>
        <w:t xml:space="preserve"> в режимі о</w:t>
      </w:r>
      <w:r>
        <w:rPr>
          <w:rFonts w:ascii="Times New Roman" w:hAnsi="Times New Roman" w:cs="Times New Roman"/>
          <w:sz w:val="28"/>
          <w:szCs w:val="28"/>
          <w:lang w:val="uk-UA"/>
        </w:rPr>
        <w:t>бігріву</w:t>
      </w:r>
      <w:r w:rsidRPr="009B3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HE</m:t>
            </m:r>
          </m:sub>
        </m:sSub>
      </m:oMath>
      <w:r w:rsidRPr="009B3E1D">
        <w:rPr>
          <w:rFonts w:ascii="Times New Roman" w:hAnsi="Times New Roman" w:cs="Times New Roman"/>
          <w:sz w:val="28"/>
          <w:szCs w:val="28"/>
          <w:lang w:val="uk-UA"/>
        </w:rPr>
        <w:t xml:space="preserve"> = 2 066 год.</w:t>
      </w:r>
    </w:p>
    <w:p w:rsidR="003E0AA4" w:rsidRDefault="009B3E1D" w:rsidP="005C0CB1">
      <w:pPr>
        <w:tabs>
          <w:tab w:val="left" w:pos="5430"/>
        </w:tabs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9067B9">
        <w:rPr>
          <w:rFonts w:ascii="Times New Roman" w:hAnsi="Times New Roman" w:cs="Times New Roman"/>
          <w:sz w:val="28"/>
          <w:szCs w:val="28"/>
          <w:lang w:val="uk-UA"/>
        </w:rPr>
        <w:t>річний обсяг енергоспоживання</w:t>
      </w:r>
      <w:r w:rsidRPr="009B3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HE</m:t>
            </m:r>
          </m:sub>
        </m:sSub>
      </m:oMath>
      <w:r w:rsidR="005C0CB1">
        <w:rPr>
          <w:rFonts w:ascii="Times New Roman" w:hAnsi="Times New Roman" w:cs="Times New Roman"/>
          <w:sz w:val="28"/>
          <w:szCs w:val="28"/>
          <w:lang w:val="uk-UA"/>
        </w:rPr>
        <w:t xml:space="preserve"> розраховується як сума співвідношення</w:t>
      </w:r>
      <w:r w:rsidR="003E0AA4" w:rsidRPr="003E0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108C">
        <w:rPr>
          <w:rFonts w:ascii="Times New Roman" w:hAnsi="Times New Roman" w:cs="Times New Roman"/>
          <w:sz w:val="28"/>
          <w:szCs w:val="28"/>
          <w:lang w:val="uk-UA"/>
        </w:rPr>
        <w:t>еталонної річної потреби обігріву</w:t>
      </w:r>
      <w:r w:rsidR="003E0AA4" w:rsidRPr="003E0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sub>
        </m:sSub>
      </m:oMath>
      <w:r w:rsidR="003E0AA4" w:rsidRPr="003E0AA4">
        <w:rPr>
          <w:rFonts w:ascii="Times New Roman" w:hAnsi="Times New Roman" w:cs="Times New Roman"/>
          <w:sz w:val="28"/>
          <w:szCs w:val="28"/>
          <w:lang w:val="uk-UA"/>
        </w:rPr>
        <w:t xml:space="preserve"> до сезонного </w:t>
      </w:r>
      <w:r w:rsidR="003E0AA4" w:rsidRPr="0094108C">
        <w:rPr>
          <w:rFonts w:ascii="Times New Roman" w:hAnsi="Times New Roman" w:cs="Times New Roman"/>
          <w:sz w:val="28"/>
          <w:szCs w:val="28"/>
          <w:lang w:val="uk-UA"/>
        </w:rPr>
        <w:t xml:space="preserve">коефіцієнта корисної дії в режимі </w:t>
      </w:r>
      <w:r w:rsidR="0094108C">
        <w:rPr>
          <w:rFonts w:ascii="Times New Roman" w:hAnsi="Times New Roman" w:cs="Times New Roman"/>
          <w:sz w:val="28"/>
          <w:szCs w:val="28"/>
          <w:lang w:val="uk-UA"/>
        </w:rPr>
        <w:t>обігріву</w:t>
      </w:r>
      <w:r w:rsidR="003E0AA4" w:rsidRPr="003E0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SCOP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on</m:t>
            </m:r>
          </m:sub>
        </m:sSub>
      </m:oMath>
      <w:r w:rsidR="003E0AA4" w:rsidRPr="003E0AA4">
        <w:rPr>
          <w:rFonts w:ascii="Times New Roman" w:hAnsi="Times New Roman" w:cs="Times New Roman"/>
          <w:sz w:val="28"/>
          <w:szCs w:val="28"/>
          <w:lang w:val="uk-UA"/>
        </w:rPr>
        <w:t xml:space="preserve"> або коефіцієнта первинної енергії в режимі </w:t>
      </w:r>
      <w:r w:rsidR="003E0AA4">
        <w:rPr>
          <w:rFonts w:ascii="Times New Roman" w:hAnsi="Times New Roman" w:cs="Times New Roman"/>
          <w:sz w:val="28"/>
          <w:szCs w:val="28"/>
          <w:lang w:val="uk-UA"/>
        </w:rPr>
        <w:t>обігріву</w:t>
      </w:r>
      <w:r w:rsidR="003E0AA4" w:rsidRPr="003E0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SPER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on</m:t>
            </m:r>
          </m:sub>
        </m:sSub>
      </m:oMath>
      <w:r w:rsidR="003E0AA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E0AA4" w:rsidRPr="003E0AA4">
        <w:rPr>
          <w:rFonts w:ascii="Times New Roman" w:hAnsi="Times New Roman" w:cs="Times New Roman"/>
          <w:sz w:val="28"/>
          <w:szCs w:val="28"/>
          <w:lang w:val="uk-UA"/>
        </w:rPr>
        <w:t xml:space="preserve">споживання енергії в </w:t>
      </w:r>
      <w:r w:rsidR="003E0AA4">
        <w:rPr>
          <w:rFonts w:ascii="Times New Roman" w:hAnsi="Times New Roman" w:cs="Times New Roman"/>
          <w:sz w:val="28"/>
          <w:szCs w:val="28"/>
          <w:lang w:val="uk-UA"/>
        </w:rPr>
        <w:t>режимі «</w:t>
      </w:r>
      <w:r w:rsidR="003E0AA4" w:rsidRPr="003E0AA4">
        <w:rPr>
          <w:rFonts w:ascii="Times New Roman" w:hAnsi="Times New Roman" w:cs="Times New Roman"/>
          <w:sz w:val="28"/>
          <w:szCs w:val="28"/>
          <w:lang w:val="uk-UA"/>
        </w:rPr>
        <w:t>вимкнено</w:t>
      </w:r>
      <w:r w:rsidR="003E0AA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0AA4" w:rsidRPr="003E0AA4">
        <w:rPr>
          <w:rFonts w:ascii="Times New Roman" w:hAnsi="Times New Roman" w:cs="Times New Roman"/>
          <w:sz w:val="28"/>
          <w:szCs w:val="28"/>
          <w:lang w:val="uk-UA"/>
        </w:rPr>
        <w:t xml:space="preserve">, режимі вимкненого термостата, режимі </w:t>
      </w:r>
      <w:r w:rsidR="003E0A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E0AA4" w:rsidRPr="003E0AA4">
        <w:rPr>
          <w:rFonts w:ascii="Times New Roman" w:hAnsi="Times New Roman" w:cs="Times New Roman"/>
          <w:sz w:val="28"/>
          <w:szCs w:val="28"/>
          <w:lang w:val="uk-UA"/>
        </w:rPr>
        <w:t>очікування</w:t>
      </w:r>
      <w:r w:rsidR="003E0AA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0AA4" w:rsidRPr="003E0AA4">
        <w:rPr>
          <w:rFonts w:ascii="Times New Roman" w:hAnsi="Times New Roman" w:cs="Times New Roman"/>
          <w:sz w:val="28"/>
          <w:szCs w:val="28"/>
          <w:lang w:val="uk-UA"/>
        </w:rPr>
        <w:t xml:space="preserve"> та режимі роботи </w:t>
      </w:r>
      <w:r w:rsidR="003E0AA4">
        <w:rPr>
          <w:rFonts w:ascii="Times New Roman" w:hAnsi="Times New Roman" w:cs="Times New Roman"/>
          <w:sz w:val="28"/>
          <w:szCs w:val="28"/>
          <w:lang w:val="uk-UA"/>
        </w:rPr>
        <w:t xml:space="preserve">картерного </w:t>
      </w:r>
      <w:r w:rsidR="003E0AA4" w:rsidRPr="003E0AA4">
        <w:rPr>
          <w:rFonts w:ascii="Times New Roman" w:hAnsi="Times New Roman" w:cs="Times New Roman"/>
          <w:sz w:val="28"/>
          <w:szCs w:val="28"/>
          <w:lang w:val="uk-UA"/>
        </w:rPr>
        <w:t>нагрівача;</w:t>
      </w:r>
    </w:p>
    <w:p w:rsidR="005C0CB1" w:rsidRDefault="00D84F9E" w:rsidP="005C0CB1">
      <w:pPr>
        <w:tabs>
          <w:tab w:val="left" w:pos="5430"/>
        </w:tabs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д) С</w:t>
      </w:r>
      <w:r w:rsidR="005C0CB1" w:rsidRPr="005C0CB1">
        <w:rPr>
          <w:rFonts w:ascii="Times New Roman" w:hAnsi="Times New Roman" w:cs="Times New Roman"/>
          <w:sz w:val="28"/>
          <w:szCs w:val="28"/>
          <w:lang w:val="uk-UA"/>
        </w:rPr>
        <w:t xml:space="preserve">езонний коефіцієнт корисної дії </w:t>
      </w:r>
      <w:r w:rsidR="005C0CB1" w:rsidRPr="005C0CB1">
        <w:rPr>
          <w:rFonts w:ascii="Times New Roman" w:hAnsi="Times New Roman" w:cs="Times New Roman"/>
          <w:i/>
          <w:sz w:val="28"/>
          <w:szCs w:val="28"/>
          <w:lang w:val="uk-UA"/>
        </w:rPr>
        <w:t>SCOP</w:t>
      </w:r>
      <w:r w:rsidR="005C0CB1" w:rsidRPr="005C0CB1">
        <w:rPr>
          <w:rFonts w:ascii="Times New Roman" w:hAnsi="Times New Roman" w:cs="Times New Roman"/>
          <w:sz w:val="28"/>
          <w:szCs w:val="28"/>
          <w:lang w:val="uk-UA"/>
        </w:rPr>
        <w:t xml:space="preserve"> або сезонний коефіцієнт первинної енергії </w:t>
      </w:r>
      <w:r w:rsidR="005C0CB1" w:rsidRPr="005C0CB1">
        <w:rPr>
          <w:rFonts w:ascii="Times New Roman" w:hAnsi="Times New Roman" w:cs="Times New Roman"/>
          <w:i/>
          <w:sz w:val="28"/>
          <w:szCs w:val="28"/>
          <w:lang w:val="uk-UA"/>
        </w:rPr>
        <w:t>SPER</w:t>
      </w:r>
      <w:r w:rsidR="005C0CB1" w:rsidRPr="005C0CB1">
        <w:rPr>
          <w:rFonts w:ascii="Times New Roman" w:hAnsi="Times New Roman" w:cs="Times New Roman"/>
          <w:sz w:val="28"/>
          <w:szCs w:val="28"/>
          <w:lang w:val="uk-UA"/>
        </w:rPr>
        <w:t xml:space="preserve"> розраховується як відношення </w:t>
      </w:r>
      <w:r w:rsidR="009067B9">
        <w:rPr>
          <w:rFonts w:ascii="Times New Roman" w:hAnsi="Times New Roman" w:cs="Times New Roman"/>
          <w:sz w:val="28"/>
          <w:szCs w:val="28"/>
          <w:lang w:val="uk-UA"/>
        </w:rPr>
        <w:t>еталонної річної потреби обігріву</w:t>
      </w:r>
      <w:r w:rsidR="005C0CB1" w:rsidRPr="005C0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sub>
        </m:sSub>
      </m:oMath>
      <w:r w:rsidR="005C0CB1" w:rsidRPr="005C0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0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0CB1" w:rsidRPr="005C0CB1">
        <w:rPr>
          <w:rFonts w:ascii="Times New Roman" w:hAnsi="Times New Roman" w:cs="Times New Roman"/>
          <w:sz w:val="28"/>
          <w:szCs w:val="28"/>
          <w:lang w:val="uk-UA"/>
        </w:rPr>
        <w:t xml:space="preserve">до річного </w:t>
      </w:r>
      <w:r w:rsidR="009067B9">
        <w:rPr>
          <w:rFonts w:ascii="Times New Roman" w:hAnsi="Times New Roman" w:cs="Times New Roman"/>
          <w:sz w:val="28"/>
          <w:szCs w:val="28"/>
          <w:lang w:val="uk-UA"/>
        </w:rPr>
        <w:t>обсягу енергоспоживання</w:t>
      </w:r>
      <w:r w:rsidR="005C0CB1" w:rsidRPr="005C0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HE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0CB1" w:rsidRDefault="00D84F9E" w:rsidP="005C0CB1">
      <w:pPr>
        <w:tabs>
          <w:tab w:val="left" w:pos="5430"/>
        </w:tabs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є) С</w:t>
      </w:r>
      <w:r w:rsidR="005C0CB1" w:rsidRPr="005C0CB1">
        <w:rPr>
          <w:rFonts w:ascii="Times New Roman" w:hAnsi="Times New Roman" w:cs="Times New Roman"/>
          <w:sz w:val="28"/>
          <w:szCs w:val="28"/>
          <w:lang w:val="uk-UA"/>
        </w:rPr>
        <w:t>езонна енергоефективність о</w:t>
      </w:r>
      <w:r w:rsidR="005C0CB1">
        <w:rPr>
          <w:rFonts w:ascii="Times New Roman" w:hAnsi="Times New Roman" w:cs="Times New Roman"/>
          <w:sz w:val="28"/>
          <w:szCs w:val="28"/>
          <w:lang w:val="uk-UA"/>
        </w:rPr>
        <w:t>бігріву</w:t>
      </w:r>
      <w:r w:rsidR="005C0CB1" w:rsidRPr="005C0CB1">
        <w:rPr>
          <w:rFonts w:ascii="Times New Roman" w:hAnsi="Times New Roman" w:cs="Times New Roman"/>
          <w:sz w:val="28"/>
          <w:szCs w:val="28"/>
          <w:lang w:val="uk-UA"/>
        </w:rPr>
        <w:t xml:space="preserve"> приміщень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</m:t>
            </m:r>
          </m:sub>
        </m:sSub>
      </m:oMath>
      <w:r w:rsidR="005C0CB1" w:rsidRPr="005C0CB1">
        <w:rPr>
          <w:rFonts w:ascii="Times New Roman" w:hAnsi="Times New Roman" w:cs="Times New Roman"/>
          <w:sz w:val="28"/>
          <w:szCs w:val="28"/>
          <w:lang w:val="uk-UA"/>
        </w:rPr>
        <w:t xml:space="preserve"> розраховується як відношення сезонного коефіцієнта корисної дії </w:t>
      </w:r>
      <w:r w:rsidR="005C0CB1" w:rsidRPr="005C0CB1">
        <w:rPr>
          <w:rFonts w:ascii="Times New Roman" w:hAnsi="Times New Roman" w:cs="Times New Roman"/>
          <w:i/>
          <w:sz w:val="28"/>
          <w:szCs w:val="28"/>
          <w:lang w:val="uk-UA"/>
        </w:rPr>
        <w:t>SCOP</w:t>
      </w:r>
      <w:r w:rsidR="005C0CB1" w:rsidRPr="005C0CB1">
        <w:rPr>
          <w:rFonts w:ascii="Times New Roman" w:hAnsi="Times New Roman" w:cs="Times New Roman"/>
          <w:sz w:val="28"/>
          <w:szCs w:val="28"/>
          <w:lang w:val="uk-UA"/>
        </w:rPr>
        <w:t xml:space="preserve"> до коефіцієнта перетворення </w:t>
      </w:r>
      <w:r w:rsidR="005C0CB1" w:rsidRPr="005C0CB1">
        <w:rPr>
          <w:rFonts w:ascii="Times New Roman" w:hAnsi="Times New Roman" w:cs="Times New Roman"/>
          <w:i/>
          <w:sz w:val="28"/>
          <w:szCs w:val="28"/>
          <w:lang w:val="uk-UA"/>
        </w:rPr>
        <w:t>СС</w:t>
      </w:r>
      <w:r w:rsidR="005C0CB1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5C0CB1" w:rsidRPr="005C0CB1">
        <w:rPr>
          <w:rFonts w:ascii="Times New Roman" w:hAnsi="Times New Roman" w:cs="Times New Roman"/>
          <w:sz w:val="28"/>
          <w:szCs w:val="28"/>
          <w:lang w:val="uk-UA"/>
        </w:rPr>
        <w:t xml:space="preserve"> або як сезонний коефіцієнт первинної енергії </w:t>
      </w:r>
      <w:r w:rsidR="005C0CB1" w:rsidRPr="005C0CB1">
        <w:rPr>
          <w:rFonts w:ascii="Times New Roman" w:hAnsi="Times New Roman" w:cs="Times New Roman"/>
          <w:i/>
          <w:sz w:val="28"/>
          <w:szCs w:val="28"/>
          <w:lang w:val="uk-UA"/>
        </w:rPr>
        <w:t>SPER</w:t>
      </w:r>
      <w:r w:rsidR="005C0CB1" w:rsidRPr="005C0CB1">
        <w:rPr>
          <w:rFonts w:ascii="Times New Roman" w:hAnsi="Times New Roman" w:cs="Times New Roman"/>
          <w:sz w:val="28"/>
          <w:szCs w:val="28"/>
          <w:lang w:val="uk-UA"/>
        </w:rPr>
        <w:t xml:space="preserve"> з поправками на терморегулятори та на споживання електроенергії з одного або декількох насосів для ґрунтових вод</w:t>
      </w:r>
      <w:r w:rsidR="005C0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0CB1" w:rsidRPr="005C0CB1">
        <w:rPr>
          <w:rFonts w:ascii="Times New Roman" w:hAnsi="Times New Roman" w:cs="Times New Roman"/>
          <w:sz w:val="28"/>
          <w:szCs w:val="28"/>
          <w:lang w:val="uk-UA"/>
        </w:rPr>
        <w:t>(для обігрівачів приміщень на основі теплових насосів з передачею тепла від води або сольового розчину та комбінованих обігрівачів на основі теплових насосів).</w:t>
      </w:r>
    </w:p>
    <w:p w:rsidR="001E21E6" w:rsidRDefault="005C0CB1" w:rsidP="005C0CB1">
      <w:pPr>
        <w:tabs>
          <w:tab w:val="left" w:pos="543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5C0CB1">
        <w:rPr>
          <w:rFonts w:ascii="Times New Roman" w:hAnsi="Times New Roman" w:cs="Times New Roman"/>
          <w:sz w:val="28"/>
          <w:szCs w:val="28"/>
          <w:lang w:val="uk-UA"/>
        </w:rPr>
        <w:t>Енергоефективність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(ККД)</w:t>
      </w:r>
      <w:r w:rsidRPr="005C0CB1">
        <w:rPr>
          <w:rFonts w:ascii="Times New Roman" w:hAnsi="Times New Roman" w:cs="Times New Roman"/>
          <w:sz w:val="28"/>
          <w:szCs w:val="28"/>
          <w:lang w:val="uk-UA"/>
        </w:rPr>
        <w:t xml:space="preserve"> нагріву води комбінованими обігрівачами</w:t>
      </w:r>
    </w:p>
    <w:p w:rsidR="005C0CB1" w:rsidRDefault="005C0CB1" w:rsidP="005C0CB1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CB1">
        <w:rPr>
          <w:rFonts w:ascii="Times New Roman" w:hAnsi="Times New Roman" w:cs="Times New Roman"/>
          <w:sz w:val="28"/>
          <w:szCs w:val="28"/>
          <w:lang w:val="uk-UA"/>
        </w:rPr>
        <w:t>Енергоефективність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(ККД)</w:t>
      </w:r>
      <w:r w:rsidRPr="005C0CB1">
        <w:rPr>
          <w:rFonts w:ascii="Times New Roman" w:hAnsi="Times New Roman" w:cs="Times New Roman"/>
          <w:sz w:val="28"/>
          <w:szCs w:val="28"/>
          <w:lang w:val="uk-UA"/>
        </w:rPr>
        <w:t xml:space="preserve"> нагріву води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wh</m:t>
            </m:r>
          </m:sub>
        </m:sSub>
      </m:oMath>
      <w:r w:rsidRPr="005C0CB1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комбінованими обігрівачами розраховується як відношення базової енергії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ref</m:t>
            </m:r>
          </m:sub>
        </m:sSub>
      </m:oMath>
      <w:r w:rsidRPr="005C0CB1">
        <w:rPr>
          <w:rFonts w:ascii="Times New Roman" w:hAnsi="Times New Roman" w:cs="Times New Roman"/>
          <w:sz w:val="28"/>
          <w:szCs w:val="28"/>
          <w:lang w:val="uk-UA"/>
        </w:rPr>
        <w:t xml:space="preserve"> заявленого профілю навантаження до енергії, необхідної для її генерації за наступних умов:</w:t>
      </w:r>
    </w:p>
    <w:p w:rsidR="005C0CB1" w:rsidRDefault="005C0CB1" w:rsidP="0094108C">
      <w:pPr>
        <w:tabs>
          <w:tab w:val="left" w:pos="543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в</w:t>
      </w:r>
      <w:r w:rsidRPr="005C0CB1">
        <w:rPr>
          <w:rFonts w:ascii="Times New Roman" w:hAnsi="Times New Roman" w:cs="Times New Roman"/>
          <w:sz w:val="28"/>
          <w:szCs w:val="28"/>
          <w:lang w:val="uk-UA"/>
        </w:rPr>
        <w:t>имірювання проводяться з використанням профі</w:t>
      </w:r>
      <w:r>
        <w:rPr>
          <w:rFonts w:ascii="Times New Roman" w:hAnsi="Times New Roman" w:cs="Times New Roman"/>
          <w:sz w:val="28"/>
          <w:szCs w:val="28"/>
          <w:lang w:val="uk-UA"/>
        </w:rPr>
        <w:t>лів навантаження, визначених у т</w:t>
      </w:r>
      <w:r w:rsidRPr="005C0CB1">
        <w:rPr>
          <w:rFonts w:ascii="Times New Roman" w:hAnsi="Times New Roman" w:cs="Times New Roman"/>
          <w:sz w:val="28"/>
          <w:szCs w:val="28"/>
          <w:lang w:val="uk-UA"/>
        </w:rPr>
        <w:t>аблиці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додатку</w:t>
      </w:r>
      <w:r w:rsidRPr="005C0C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C0CB1" w:rsidRDefault="005C0CB1" w:rsidP="005C0CB1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5C0CB1">
        <w:t xml:space="preserve"> </w:t>
      </w:r>
      <w:r w:rsidRPr="005C0CB1">
        <w:rPr>
          <w:rFonts w:ascii="Times New Roman" w:hAnsi="Times New Roman" w:cs="Times New Roman"/>
          <w:sz w:val="28"/>
          <w:szCs w:val="28"/>
          <w:lang w:val="uk-UA"/>
        </w:rPr>
        <w:t>вимірювання проводяться з використанн</w:t>
      </w:r>
      <w:r>
        <w:rPr>
          <w:rFonts w:ascii="Times New Roman" w:hAnsi="Times New Roman" w:cs="Times New Roman"/>
          <w:sz w:val="28"/>
          <w:szCs w:val="28"/>
          <w:lang w:val="uk-UA"/>
        </w:rPr>
        <w:t>ям 24-годинного циклу вимірювань</w:t>
      </w:r>
      <w:r w:rsidRPr="005C0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1AA1">
        <w:rPr>
          <w:rFonts w:ascii="Times New Roman" w:hAnsi="Times New Roman" w:cs="Times New Roman"/>
          <w:sz w:val="28"/>
          <w:szCs w:val="28"/>
          <w:lang w:val="uk-UA"/>
        </w:rPr>
        <w:t>за наступною схемою</w:t>
      </w:r>
      <w:r w:rsidRPr="005C0CB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81AA1" w:rsidRPr="00381AA1" w:rsidRDefault="00381AA1" w:rsidP="00381AA1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81AA1">
        <w:rPr>
          <w:rFonts w:ascii="Times New Roman" w:hAnsi="Times New Roman" w:cs="Times New Roman"/>
          <w:sz w:val="28"/>
          <w:szCs w:val="28"/>
          <w:lang w:val="uk-UA"/>
        </w:rPr>
        <w:t xml:space="preserve"> 00:00 до 6:59 - водозабір не проводиться;</w:t>
      </w:r>
    </w:p>
    <w:p w:rsidR="00381AA1" w:rsidRPr="00381AA1" w:rsidRDefault="00381AA1" w:rsidP="00381AA1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381AA1">
        <w:rPr>
          <w:rFonts w:ascii="Times New Roman" w:hAnsi="Times New Roman" w:cs="Times New Roman"/>
          <w:sz w:val="28"/>
          <w:szCs w:val="28"/>
          <w:lang w:val="uk-UA"/>
        </w:rPr>
        <w:t xml:space="preserve">7:00 ‒ водозабір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</w:t>
      </w:r>
      <w:r w:rsidRPr="00381AA1">
        <w:rPr>
          <w:rFonts w:ascii="Times New Roman" w:hAnsi="Times New Roman" w:cs="Times New Roman"/>
          <w:sz w:val="28"/>
          <w:szCs w:val="28"/>
          <w:lang w:val="uk-UA"/>
        </w:rPr>
        <w:t>відповідно до заявленого профілю навантаження;</w:t>
      </w:r>
    </w:p>
    <w:p w:rsidR="00381AA1" w:rsidRDefault="00381AA1" w:rsidP="0094108C">
      <w:pPr>
        <w:tabs>
          <w:tab w:val="left" w:pos="543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моменту</w:t>
      </w:r>
      <w:r w:rsidRPr="00381AA1">
        <w:rPr>
          <w:rFonts w:ascii="Times New Roman" w:hAnsi="Times New Roman" w:cs="Times New Roman"/>
          <w:sz w:val="28"/>
          <w:szCs w:val="28"/>
          <w:lang w:val="uk-UA"/>
        </w:rPr>
        <w:t xml:space="preserve"> кінця попереднього водозабору до 24:00 ‒ водозабір не проводиться;</w:t>
      </w:r>
    </w:p>
    <w:p w:rsidR="00381AA1" w:rsidRDefault="00381AA1" w:rsidP="0094108C">
      <w:pPr>
        <w:tabs>
          <w:tab w:val="left" w:pos="543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381AA1">
        <w:rPr>
          <w:rFonts w:ascii="Times New Roman" w:hAnsi="Times New Roman" w:cs="Times New Roman"/>
          <w:sz w:val="28"/>
          <w:szCs w:val="28"/>
          <w:lang w:val="uk-UA"/>
        </w:rPr>
        <w:t xml:space="preserve">заявлений профіль навантаження є максимальним профілем навантаження або другим </w:t>
      </w:r>
      <w:r>
        <w:rPr>
          <w:rFonts w:ascii="Times New Roman" w:hAnsi="Times New Roman" w:cs="Times New Roman"/>
          <w:sz w:val="28"/>
          <w:szCs w:val="28"/>
          <w:lang w:val="uk-UA"/>
        </w:rPr>
        <w:t>за величиною</w:t>
      </w:r>
      <w:r w:rsidRPr="00381AA1">
        <w:rPr>
          <w:rFonts w:ascii="Times New Roman" w:hAnsi="Times New Roman" w:cs="Times New Roman"/>
          <w:sz w:val="28"/>
          <w:szCs w:val="28"/>
          <w:lang w:val="uk-UA"/>
        </w:rPr>
        <w:t xml:space="preserve"> профілем навантаження;</w:t>
      </w:r>
    </w:p>
    <w:p w:rsidR="001E21E6" w:rsidRDefault="00381AA1" w:rsidP="00381AA1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381AA1">
        <w:rPr>
          <w:rFonts w:ascii="Times New Roman" w:hAnsi="Times New Roman" w:cs="Times New Roman"/>
          <w:sz w:val="28"/>
          <w:szCs w:val="28"/>
          <w:lang w:val="uk-UA"/>
        </w:rPr>
        <w:t>для комбінованих обігрівачів на основі теплових насосів застосовуються наступні додаткові умови:</w:t>
      </w:r>
    </w:p>
    <w:p w:rsidR="00381AA1" w:rsidRDefault="00381AA1" w:rsidP="00381AA1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AA1">
        <w:rPr>
          <w:rFonts w:ascii="Times New Roman" w:hAnsi="Times New Roman" w:cs="Times New Roman"/>
          <w:sz w:val="28"/>
          <w:szCs w:val="28"/>
          <w:lang w:val="uk-UA"/>
        </w:rPr>
        <w:t>комбіновані обігрівачі на основі теплових насосів проходять випро</w:t>
      </w:r>
      <w:r>
        <w:rPr>
          <w:rFonts w:ascii="Times New Roman" w:hAnsi="Times New Roman" w:cs="Times New Roman"/>
          <w:sz w:val="28"/>
          <w:szCs w:val="28"/>
          <w:lang w:val="uk-UA"/>
        </w:rPr>
        <w:t>бування в умовах, зазначених у т</w:t>
      </w:r>
      <w:r w:rsidRPr="00381AA1">
        <w:rPr>
          <w:rFonts w:ascii="Times New Roman" w:hAnsi="Times New Roman" w:cs="Times New Roman"/>
          <w:sz w:val="28"/>
          <w:szCs w:val="28"/>
          <w:lang w:val="uk-UA"/>
        </w:rPr>
        <w:t>аблиці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додатку;</w:t>
      </w:r>
    </w:p>
    <w:p w:rsidR="00381AA1" w:rsidRDefault="00381AA1" w:rsidP="00381AA1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AA1">
        <w:rPr>
          <w:rFonts w:ascii="Times New Roman" w:hAnsi="Times New Roman" w:cs="Times New Roman"/>
          <w:sz w:val="28"/>
          <w:szCs w:val="28"/>
          <w:lang w:val="uk-UA"/>
        </w:rPr>
        <w:t>комбіновані обігрівачі на основі теплових насосів з використанням відпрацьованого повітря з системи вентиляції в якості джерела тепла мають проходити випробування ві</w:t>
      </w:r>
      <w:r w:rsidR="00AC1622">
        <w:rPr>
          <w:rFonts w:ascii="Times New Roman" w:hAnsi="Times New Roman" w:cs="Times New Roman"/>
          <w:sz w:val="28"/>
          <w:szCs w:val="28"/>
          <w:lang w:val="uk-UA"/>
        </w:rPr>
        <w:t>дповідно до умов, зазначених в т</w:t>
      </w:r>
      <w:r w:rsidRPr="00381AA1">
        <w:rPr>
          <w:rFonts w:ascii="Times New Roman" w:hAnsi="Times New Roman" w:cs="Times New Roman"/>
          <w:sz w:val="28"/>
          <w:szCs w:val="28"/>
          <w:lang w:val="uk-UA"/>
        </w:rPr>
        <w:t>аблиці 6</w:t>
      </w:r>
      <w:r w:rsidR="00AC1622">
        <w:rPr>
          <w:rFonts w:ascii="Times New Roman" w:hAnsi="Times New Roman" w:cs="Times New Roman"/>
          <w:sz w:val="28"/>
          <w:szCs w:val="28"/>
          <w:lang w:val="uk-UA"/>
        </w:rPr>
        <w:t xml:space="preserve"> цього додатку</w:t>
      </w:r>
      <w:r w:rsidRPr="00381A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7DAC" w:rsidRDefault="001A7DAC" w:rsidP="001A7DAC">
      <w:pPr>
        <w:tabs>
          <w:tab w:val="left" w:pos="54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7DAC" w:rsidRDefault="001A7DAC" w:rsidP="001A7DAC">
      <w:pPr>
        <w:tabs>
          <w:tab w:val="left" w:pos="54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21E6" w:rsidRDefault="00AC1622" w:rsidP="00AC1622">
      <w:pPr>
        <w:tabs>
          <w:tab w:val="left" w:pos="543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1622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 3</w:t>
      </w:r>
    </w:p>
    <w:p w:rsidR="00F46483" w:rsidRDefault="00AC1622" w:rsidP="00AC1622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622">
        <w:rPr>
          <w:rFonts w:ascii="Times New Roman" w:hAnsi="Times New Roman" w:cs="Times New Roman"/>
          <w:sz w:val="28"/>
          <w:szCs w:val="28"/>
          <w:lang w:val="uk-UA"/>
        </w:rPr>
        <w:t>Стандартні умови випробувань обігрівачів приміщень на основі теплових насосів та комбінованих обігрівачів на основі теплових насосів</w:t>
      </w:r>
    </w:p>
    <w:p w:rsidR="00F46483" w:rsidRDefault="00F46483" w:rsidP="007D169E">
      <w:pPr>
        <w:tabs>
          <w:tab w:val="left" w:pos="543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C1622" w:rsidRPr="00AC1622" w:rsidTr="00AC1622">
        <w:tc>
          <w:tcPr>
            <w:tcW w:w="1595" w:type="dxa"/>
            <w:vMerge w:val="restart"/>
            <w:tcBorders>
              <w:left w:val="single" w:sz="4" w:space="0" w:color="auto"/>
            </w:tcBorders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Джерело тепла</w:t>
            </w:r>
          </w:p>
        </w:tc>
        <w:tc>
          <w:tcPr>
            <w:tcW w:w="1595" w:type="dxa"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Зовнішній теплообмінник</w:t>
            </w:r>
          </w:p>
        </w:tc>
        <w:tc>
          <w:tcPr>
            <w:tcW w:w="6381" w:type="dxa"/>
            <w:gridSpan w:val="4"/>
            <w:tcBorders>
              <w:right w:val="single" w:sz="4" w:space="0" w:color="auto"/>
            </w:tcBorders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Внутрішній теплообмінник</w:t>
            </w:r>
          </w:p>
        </w:tc>
      </w:tr>
      <w:tr w:rsidR="00AC1622" w:rsidRPr="00AC1622" w:rsidTr="00AC1622"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Температура на вході по сухому (вологому) термометру</w:t>
            </w:r>
          </w:p>
        </w:tc>
        <w:tc>
          <w:tcPr>
            <w:tcW w:w="3190" w:type="dxa"/>
            <w:gridSpan w:val="2"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Обігрівачі приміщень на основі теплових насосів та комбіновані обігрівачі на основі теплових насосів, крім низькотемпературних насосів</w:t>
            </w:r>
          </w:p>
        </w:tc>
        <w:tc>
          <w:tcPr>
            <w:tcW w:w="3191" w:type="dxa"/>
            <w:gridSpan w:val="2"/>
            <w:tcBorders>
              <w:right w:val="single" w:sz="4" w:space="0" w:color="auto"/>
            </w:tcBorders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Низькотемпературні насоси</w:t>
            </w:r>
          </w:p>
        </w:tc>
      </w:tr>
      <w:tr w:rsidR="00AC1622" w:rsidRPr="00AC1622" w:rsidTr="00AC1622"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5" w:type="dxa"/>
            <w:vMerge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Температура на вході</w:t>
            </w:r>
          </w:p>
        </w:tc>
        <w:tc>
          <w:tcPr>
            <w:tcW w:w="1595" w:type="dxa"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Температура на виході</w:t>
            </w:r>
          </w:p>
        </w:tc>
        <w:tc>
          <w:tcPr>
            <w:tcW w:w="1595" w:type="dxa"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Температура на вході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Температура на виході</w:t>
            </w:r>
          </w:p>
        </w:tc>
      </w:tr>
      <w:tr w:rsidR="00AC1622" w:rsidRPr="00AC1622" w:rsidTr="00AC1622"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AC1622" w:rsidRPr="00AC1622" w:rsidRDefault="00AC1622" w:rsidP="00AC162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Зовнішнє повітря</w:t>
            </w:r>
          </w:p>
        </w:tc>
        <w:tc>
          <w:tcPr>
            <w:tcW w:w="1595" w:type="dxa"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+ 7°C (+ 6°C)</w:t>
            </w:r>
          </w:p>
        </w:tc>
        <w:tc>
          <w:tcPr>
            <w:tcW w:w="1595" w:type="dxa"/>
            <w:vMerge w:val="restart"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+ 47°C</w:t>
            </w:r>
          </w:p>
        </w:tc>
        <w:tc>
          <w:tcPr>
            <w:tcW w:w="1595" w:type="dxa"/>
            <w:vMerge w:val="restart"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+ 55°C</w:t>
            </w:r>
          </w:p>
        </w:tc>
        <w:tc>
          <w:tcPr>
            <w:tcW w:w="1595" w:type="dxa"/>
            <w:vMerge w:val="restart"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+ 30°C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+ 35°C</w:t>
            </w:r>
          </w:p>
        </w:tc>
      </w:tr>
      <w:tr w:rsidR="00AC1622" w:rsidRPr="00AC1622" w:rsidTr="00AC1622"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AC1622" w:rsidRPr="00AC1622" w:rsidRDefault="00AC1622" w:rsidP="00AC162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Відпрацьоване повітря</w:t>
            </w:r>
          </w:p>
        </w:tc>
        <w:tc>
          <w:tcPr>
            <w:tcW w:w="1595" w:type="dxa"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+ 20°C (+ 12°C)</w:t>
            </w:r>
          </w:p>
        </w:tc>
        <w:tc>
          <w:tcPr>
            <w:tcW w:w="1595" w:type="dxa"/>
            <w:vMerge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5" w:type="dxa"/>
            <w:vMerge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5" w:type="dxa"/>
            <w:vMerge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C1622" w:rsidRPr="00AC1622" w:rsidTr="00AC1622"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AC1622" w:rsidRPr="00AC1622" w:rsidRDefault="00AC1622" w:rsidP="00AC162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Температура на вході/виході</w:t>
            </w:r>
          </w:p>
        </w:tc>
        <w:tc>
          <w:tcPr>
            <w:tcW w:w="1595" w:type="dxa"/>
            <w:vMerge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5" w:type="dxa"/>
            <w:vMerge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5" w:type="dxa"/>
            <w:vMerge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C1622" w:rsidRPr="00AC1622" w:rsidTr="00AC1622"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AC1622" w:rsidRPr="00AC1622" w:rsidRDefault="00AC1622" w:rsidP="00AC162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Вода</w:t>
            </w:r>
          </w:p>
        </w:tc>
        <w:tc>
          <w:tcPr>
            <w:tcW w:w="1595" w:type="dxa"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+ 10°C /+ 7°C</w:t>
            </w:r>
          </w:p>
        </w:tc>
        <w:tc>
          <w:tcPr>
            <w:tcW w:w="1595" w:type="dxa"/>
            <w:vMerge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5" w:type="dxa"/>
            <w:vMerge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5" w:type="dxa"/>
            <w:vMerge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C1622" w:rsidRPr="00AC1622" w:rsidTr="00AC1622"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AC1622" w:rsidRPr="00AC1622" w:rsidRDefault="00AC1622" w:rsidP="00AC162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Соляний розчин</w:t>
            </w:r>
          </w:p>
        </w:tc>
        <w:tc>
          <w:tcPr>
            <w:tcW w:w="1595" w:type="dxa"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6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0°C / ‒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°C</w:t>
            </w:r>
          </w:p>
        </w:tc>
        <w:tc>
          <w:tcPr>
            <w:tcW w:w="1595" w:type="dxa"/>
            <w:vMerge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5" w:type="dxa"/>
            <w:vMerge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5" w:type="dxa"/>
            <w:vMerge/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AC1622" w:rsidRPr="00AC1622" w:rsidRDefault="00AC1622" w:rsidP="00AC16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AC1622" w:rsidRPr="00AC1622" w:rsidRDefault="00AC1622" w:rsidP="00AC1622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C1622" w:rsidRPr="00AC1622" w:rsidRDefault="00AC1622" w:rsidP="00D461A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1622">
        <w:rPr>
          <w:rFonts w:ascii="Times New Roman" w:eastAsia="Times New Roman" w:hAnsi="Times New Roman" w:cs="Times New Roman"/>
          <w:sz w:val="28"/>
          <w:szCs w:val="28"/>
          <w:lang w:val="uk-UA"/>
        </w:rPr>
        <w:t>Таблиця 4</w:t>
      </w:r>
    </w:p>
    <w:p w:rsidR="00F46483" w:rsidRDefault="002B3C88" w:rsidP="00D461A6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Стандартні номінальні</w:t>
      </w:r>
      <w:r w:rsidR="00D461A6" w:rsidRPr="00D461A6">
        <w:rPr>
          <w:rFonts w:ascii="Times New Roman" w:hAnsi="Times New Roman" w:cs="Times New Roman"/>
          <w:sz w:val="28"/>
          <w:szCs w:val="28"/>
          <w:lang w:val="uk-UA"/>
        </w:rPr>
        <w:t xml:space="preserve"> умови для обігрівачів приміщень на основі теплових насосів та комбінованих обігрівачів на основі теплових насосів, температура повітря по сухому термометру (температура повітря по вологому термометру зазначена в дужках)</w:t>
      </w:r>
    </w:p>
    <w:tbl>
      <w:tblPr>
        <w:tblStyle w:val="9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61A6" w:rsidRPr="00D461A6" w:rsidTr="00D461A6">
        <w:trPr>
          <w:jc w:val="center"/>
        </w:trPr>
        <w:tc>
          <w:tcPr>
            <w:tcW w:w="3190" w:type="dxa"/>
            <w:tcBorders>
              <w:left w:val="single" w:sz="4" w:space="0" w:color="auto"/>
            </w:tcBorders>
          </w:tcPr>
          <w:p w:rsidR="00D461A6" w:rsidRPr="00D461A6" w:rsidRDefault="00D461A6" w:rsidP="00D461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Еталонна розрахункова </w:t>
            </w:r>
            <w:r w:rsidRPr="00D461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температура</w:t>
            </w:r>
          </w:p>
        </w:tc>
        <w:tc>
          <w:tcPr>
            <w:tcW w:w="3190" w:type="dxa"/>
          </w:tcPr>
          <w:p w:rsidR="00D461A6" w:rsidRPr="00D461A6" w:rsidRDefault="00D461A6" w:rsidP="00D461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461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Бівалентна</w:t>
            </w:r>
            <w:proofErr w:type="spellEnd"/>
            <w:r w:rsidRPr="00D461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температура</w:t>
            </w:r>
          </w:p>
        </w:tc>
        <w:tc>
          <w:tcPr>
            <w:tcW w:w="3191" w:type="dxa"/>
            <w:tcBorders>
              <w:right w:val="single" w:sz="4" w:space="0" w:color="auto"/>
            </w:tcBorders>
          </w:tcPr>
          <w:p w:rsidR="00D461A6" w:rsidRPr="00D461A6" w:rsidRDefault="00D461A6" w:rsidP="00D461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61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Гранична експлуатац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ійна температура</w:t>
            </w:r>
          </w:p>
        </w:tc>
      </w:tr>
      <w:tr w:rsidR="00D461A6" w:rsidRPr="00D461A6" w:rsidTr="00D461A6">
        <w:trPr>
          <w:jc w:val="center"/>
        </w:trPr>
        <w:tc>
          <w:tcPr>
            <w:tcW w:w="3190" w:type="dxa"/>
            <w:tcBorders>
              <w:left w:val="single" w:sz="4" w:space="0" w:color="auto"/>
            </w:tcBorders>
          </w:tcPr>
          <w:p w:rsidR="00D461A6" w:rsidRPr="00D461A6" w:rsidRDefault="00212D12" w:rsidP="00D461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/>
                      </w:rPr>
                      <m:t>designh</m:t>
                    </m:r>
                  </m:sub>
                </m:sSub>
              </m:oMath>
            </m:oMathPara>
          </w:p>
        </w:tc>
        <w:tc>
          <w:tcPr>
            <w:tcW w:w="3190" w:type="dxa"/>
          </w:tcPr>
          <w:p w:rsidR="00D461A6" w:rsidRPr="00D461A6" w:rsidRDefault="00212D12" w:rsidP="00D461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/>
                      </w:rPr>
                      <m:t>biv</m:t>
                    </m:r>
                  </m:sub>
                </m:sSub>
              </m:oMath>
            </m:oMathPara>
          </w:p>
        </w:tc>
        <w:tc>
          <w:tcPr>
            <w:tcW w:w="3191" w:type="dxa"/>
            <w:tcBorders>
              <w:right w:val="single" w:sz="4" w:space="0" w:color="auto"/>
            </w:tcBorders>
          </w:tcPr>
          <w:p w:rsidR="00D461A6" w:rsidRPr="00D461A6" w:rsidRDefault="00D461A6" w:rsidP="00D461A6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46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TOL</w:t>
            </w:r>
          </w:p>
        </w:tc>
      </w:tr>
      <w:tr w:rsidR="00D461A6" w:rsidRPr="00D461A6" w:rsidTr="00D461A6">
        <w:trPr>
          <w:jc w:val="center"/>
        </w:trPr>
        <w:tc>
          <w:tcPr>
            <w:tcW w:w="3190" w:type="dxa"/>
            <w:tcBorders>
              <w:left w:val="single" w:sz="4" w:space="0" w:color="auto"/>
            </w:tcBorders>
          </w:tcPr>
          <w:p w:rsidR="00D461A6" w:rsidRPr="00D461A6" w:rsidRDefault="00D461A6" w:rsidP="00D461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61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– 10 (– 11) °C</w:t>
            </w:r>
          </w:p>
        </w:tc>
        <w:tc>
          <w:tcPr>
            <w:tcW w:w="3190" w:type="dxa"/>
          </w:tcPr>
          <w:p w:rsidR="00D461A6" w:rsidRPr="00D461A6" w:rsidRDefault="00D461A6" w:rsidP="00D461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461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макс</w:t>
            </w:r>
            <w:proofErr w:type="spellEnd"/>
            <w:r w:rsidRPr="00D461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+ 2°C</w:t>
            </w:r>
          </w:p>
        </w:tc>
        <w:tc>
          <w:tcPr>
            <w:tcW w:w="3191" w:type="dxa"/>
            <w:tcBorders>
              <w:right w:val="single" w:sz="4" w:space="0" w:color="auto"/>
            </w:tcBorders>
          </w:tcPr>
          <w:p w:rsidR="00D461A6" w:rsidRPr="00D461A6" w:rsidRDefault="00D461A6" w:rsidP="00D461A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461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макс</w:t>
            </w:r>
            <w:proofErr w:type="spellEnd"/>
            <w:r w:rsidRPr="00D461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‒7°C</w:t>
            </w:r>
          </w:p>
        </w:tc>
      </w:tr>
    </w:tbl>
    <w:p w:rsidR="00F46483" w:rsidRDefault="00F46483" w:rsidP="007D169E">
      <w:pPr>
        <w:tabs>
          <w:tab w:val="left" w:pos="543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46483" w:rsidRDefault="004D398C" w:rsidP="004D398C">
      <w:pPr>
        <w:tabs>
          <w:tab w:val="left" w:pos="543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D398C">
        <w:rPr>
          <w:rFonts w:ascii="Times New Roman" w:hAnsi="Times New Roman" w:cs="Times New Roman"/>
          <w:sz w:val="28"/>
          <w:szCs w:val="28"/>
          <w:lang w:val="uk-UA"/>
        </w:rPr>
        <w:t>Таблиц</w:t>
      </w:r>
      <w:r>
        <w:rPr>
          <w:rFonts w:ascii="Times New Roman" w:hAnsi="Times New Roman" w:cs="Times New Roman"/>
          <w:sz w:val="28"/>
          <w:szCs w:val="28"/>
          <w:lang w:val="uk-UA"/>
        </w:rPr>
        <w:t>я 5</w:t>
      </w:r>
    </w:p>
    <w:p w:rsidR="00F46483" w:rsidRDefault="004D398C" w:rsidP="004D398C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D398C">
        <w:rPr>
          <w:rFonts w:ascii="Times New Roman" w:hAnsi="Times New Roman" w:cs="Times New Roman"/>
          <w:sz w:val="28"/>
          <w:szCs w:val="28"/>
          <w:lang w:val="uk-UA"/>
        </w:rPr>
        <w:t xml:space="preserve">талонний сезон </w:t>
      </w:r>
      <w:r>
        <w:rPr>
          <w:rFonts w:ascii="Times New Roman" w:hAnsi="Times New Roman" w:cs="Times New Roman"/>
          <w:sz w:val="28"/>
          <w:szCs w:val="28"/>
          <w:lang w:val="uk-UA"/>
        </w:rPr>
        <w:t>обігріву при</w:t>
      </w:r>
      <w:r w:rsidRPr="004D398C">
        <w:rPr>
          <w:rFonts w:ascii="Times New Roman" w:hAnsi="Times New Roman" w:cs="Times New Roman"/>
          <w:sz w:val="28"/>
          <w:szCs w:val="28"/>
          <w:lang w:val="uk-UA"/>
        </w:rPr>
        <w:t xml:space="preserve"> типових кліматичних умов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4D398C">
        <w:rPr>
          <w:rFonts w:ascii="Times New Roman" w:hAnsi="Times New Roman" w:cs="Times New Roman"/>
          <w:sz w:val="28"/>
          <w:szCs w:val="28"/>
          <w:lang w:val="uk-UA"/>
        </w:rPr>
        <w:t xml:space="preserve"> для обігрівачів приміщень на основі теплових насосів та комбінованих обігрівачів на основі теплових насосів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398C" w:rsidRPr="004D398C" w:rsidTr="00B5255F">
        <w:tc>
          <w:tcPr>
            <w:tcW w:w="3190" w:type="dxa"/>
          </w:tcPr>
          <w:p w:rsidR="004D398C" w:rsidRPr="004D398C" w:rsidRDefault="00212D12" w:rsidP="004D398C">
            <w:pPr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val="uk-UA"/>
                      </w:rPr>
                      <m:t>bin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val="uk-UA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3190" w:type="dxa"/>
          </w:tcPr>
          <w:p w:rsidR="004D398C" w:rsidRPr="004D398C" w:rsidRDefault="00212D12" w:rsidP="004D398C">
            <w:pPr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uk-UA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uk-UA"/>
                    </w:rPr>
                    <m:t>j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18"/>
                  <w:szCs w:val="18"/>
                  <w:lang w:val="uk-UA"/>
                </w:rPr>
                <m:t>,</m:t>
              </m:r>
            </m:oMath>
            <w:r w:rsidR="004D398C">
              <w:rPr>
                <w:rFonts w:ascii="Palatino Linotype" w:eastAsia="Times New Roman" w:hAnsi="Palatino Linotype" w:cs="Times New Roman"/>
                <w:sz w:val="18"/>
                <w:szCs w:val="18"/>
                <w:lang w:val="uk-UA"/>
              </w:rPr>
              <w:t>°C</w:t>
            </w:r>
          </w:p>
        </w:tc>
        <w:tc>
          <w:tcPr>
            <w:tcW w:w="3191" w:type="dxa"/>
          </w:tcPr>
          <w:p w:rsidR="004D398C" w:rsidRPr="004D398C" w:rsidRDefault="00212D12" w:rsidP="004D398C">
            <w:pPr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18"/>
                      <w:szCs w:val="18"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uk-UA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uk-UA"/>
                    </w:rPr>
                    <m:t>j</m:t>
                  </m:r>
                </m:sub>
              </m:sSub>
            </m:oMath>
            <w:r w:rsidR="004D398C">
              <w:rPr>
                <w:rFonts w:ascii="Palatino Linotype" w:eastAsia="Times New Roman" w:hAnsi="Palatino Linotype" w:cs="Times New Roman"/>
                <w:sz w:val="18"/>
                <w:szCs w:val="18"/>
                <w:lang w:val="uk-UA"/>
              </w:rPr>
              <w:t>, год/рік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‒ 20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 – 30 до ‒ 11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21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‒</w:t>
            </w: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10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22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‒</w:t>
            </w: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9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23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‒</w:t>
            </w: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8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23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24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‒</w:t>
            </w: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7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24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‒</w:t>
            </w: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6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27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26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‒</w:t>
            </w: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5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68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27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‒</w:t>
            </w: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4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91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28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‒</w:t>
            </w: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3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89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29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‒</w:t>
            </w: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2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165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30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‒</w:t>
            </w: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1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173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31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240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32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280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33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320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34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357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35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356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lastRenderedPageBreak/>
              <w:t>36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303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37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330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38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326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39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8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348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9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335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41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315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42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11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215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43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12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169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44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13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151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45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14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105</w:t>
            </w:r>
          </w:p>
        </w:tc>
      </w:tr>
      <w:tr w:rsidR="004D398C" w:rsidRPr="004D398C" w:rsidTr="00B5255F"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46</w:t>
            </w:r>
          </w:p>
        </w:tc>
        <w:tc>
          <w:tcPr>
            <w:tcW w:w="3190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15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74</w:t>
            </w:r>
          </w:p>
        </w:tc>
      </w:tr>
      <w:tr w:rsidR="004D398C" w:rsidRPr="004D398C" w:rsidTr="00B5255F">
        <w:tc>
          <w:tcPr>
            <w:tcW w:w="6380" w:type="dxa"/>
            <w:gridSpan w:val="2"/>
          </w:tcPr>
          <w:p w:rsidR="004D398C" w:rsidRPr="004D398C" w:rsidRDefault="004D398C" w:rsidP="004D39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Всього годин:</w:t>
            </w:r>
          </w:p>
        </w:tc>
        <w:tc>
          <w:tcPr>
            <w:tcW w:w="3191" w:type="dxa"/>
          </w:tcPr>
          <w:p w:rsidR="004D398C" w:rsidRPr="004D398C" w:rsidRDefault="004D398C" w:rsidP="004D39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D398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4 910</w:t>
            </w:r>
          </w:p>
        </w:tc>
      </w:tr>
    </w:tbl>
    <w:p w:rsidR="00F46483" w:rsidRDefault="00F46483" w:rsidP="007D169E">
      <w:pPr>
        <w:tabs>
          <w:tab w:val="left" w:pos="543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46483" w:rsidRDefault="004D398C" w:rsidP="00B5255F">
      <w:pPr>
        <w:tabs>
          <w:tab w:val="left" w:pos="543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D398C">
        <w:rPr>
          <w:rFonts w:ascii="Times New Roman" w:hAnsi="Times New Roman" w:cs="Times New Roman"/>
          <w:sz w:val="28"/>
          <w:szCs w:val="28"/>
          <w:lang w:val="uk-UA"/>
        </w:rPr>
        <w:t>Таблиця 6</w:t>
      </w:r>
    </w:p>
    <w:p w:rsidR="00F46483" w:rsidRDefault="004D398C" w:rsidP="004D398C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398C">
        <w:rPr>
          <w:rFonts w:ascii="Times New Roman" w:hAnsi="Times New Roman" w:cs="Times New Roman"/>
          <w:sz w:val="28"/>
          <w:szCs w:val="28"/>
          <w:lang w:val="uk-UA"/>
        </w:rPr>
        <w:t>Максимальний доступний об’єм відпрацьованог</w:t>
      </w:r>
      <w:r w:rsidR="00B5255F">
        <w:rPr>
          <w:rFonts w:ascii="Times New Roman" w:hAnsi="Times New Roman" w:cs="Times New Roman"/>
          <w:sz w:val="28"/>
          <w:szCs w:val="28"/>
          <w:lang w:val="uk-UA"/>
        </w:rPr>
        <w:t xml:space="preserve">о повітря з системи вентиляції у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 w:rsidRPr="004D398C">
        <w:rPr>
          <w:rFonts w:ascii="Times New Roman" w:hAnsi="Times New Roman" w:cs="Times New Roman"/>
          <w:sz w:val="28"/>
          <w:szCs w:val="28"/>
          <w:lang w:val="uk-UA"/>
        </w:rPr>
        <w:t>/год при вологості 5,5 г/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44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B5255F" w:rsidRPr="00B5255F" w:rsidTr="00B5255F">
        <w:tc>
          <w:tcPr>
            <w:tcW w:w="2944" w:type="dxa"/>
          </w:tcPr>
          <w:p w:rsidR="00B5255F" w:rsidRPr="00B5255F" w:rsidRDefault="00B5255F" w:rsidP="00B5255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2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Заявлений профіль навантаження</w:t>
            </w:r>
          </w:p>
        </w:tc>
        <w:tc>
          <w:tcPr>
            <w:tcW w:w="736" w:type="dxa"/>
            <w:vAlign w:val="center"/>
          </w:tcPr>
          <w:p w:rsidR="00B5255F" w:rsidRPr="00B5255F" w:rsidRDefault="00B5255F" w:rsidP="00B52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B52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XXS</w:t>
            </w:r>
          </w:p>
        </w:tc>
        <w:tc>
          <w:tcPr>
            <w:tcW w:w="736" w:type="dxa"/>
            <w:vAlign w:val="center"/>
          </w:tcPr>
          <w:p w:rsidR="00B5255F" w:rsidRPr="00B5255F" w:rsidRDefault="00B5255F" w:rsidP="00B52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B52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XS</w:t>
            </w:r>
          </w:p>
        </w:tc>
        <w:tc>
          <w:tcPr>
            <w:tcW w:w="736" w:type="dxa"/>
            <w:vAlign w:val="center"/>
          </w:tcPr>
          <w:p w:rsidR="00B5255F" w:rsidRPr="00B5255F" w:rsidRDefault="00B5255F" w:rsidP="00B52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B52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S</w:t>
            </w:r>
          </w:p>
        </w:tc>
        <w:tc>
          <w:tcPr>
            <w:tcW w:w="736" w:type="dxa"/>
            <w:vAlign w:val="center"/>
          </w:tcPr>
          <w:p w:rsidR="00B5255F" w:rsidRPr="00B5255F" w:rsidRDefault="00B5255F" w:rsidP="00B52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B52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M</w:t>
            </w:r>
          </w:p>
        </w:tc>
        <w:tc>
          <w:tcPr>
            <w:tcW w:w="736" w:type="dxa"/>
            <w:vAlign w:val="center"/>
          </w:tcPr>
          <w:p w:rsidR="00B5255F" w:rsidRPr="00B5255F" w:rsidRDefault="00B5255F" w:rsidP="00B52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B52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L</w:t>
            </w:r>
          </w:p>
        </w:tc>
        <w:tc>
          <w:tcPr>
            <w:tcW w:w="736" w:type="dxa"/>
            <w:vAlign w:val="center"/>
          </w:tcPr>
          <w:p w:rsidR="00B5255F" w:rsidRPr="00B5255F" w:rsidRDefault="00B5255F" w:rsidP="00B52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B52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XL</w:t>
            </w:r>
          </w:p>
        </w:tc>
        <w:tc>
          <w:tcPr>
            <w:tcW w:w="737" w:type="dxa"/>
            <w:vAlign w:val="center"/>
          </w:tcPr>
          <w:p w:rsidR="00B5255F" w:rsidRPr="00B5255F" w:rsidRDefault="00B5255F" w:rsidP="00B52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B52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XXL</w:t>
            </w:r>
          </w:p>
        </w:tc>
        <w:tc>
          <w:tcPr>
            <w:tcW w:w="737" w:type="dxa"/>
            <w:vAlign w:val="center"/>
          </w:tcPr>
          <w:p w:rsidR="00B5255F" w:rsidRPr="00B5255F" w:rsidRDefault="00B5255F" w:rsidP="00B52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B52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3XL</w:t>
            </w:r>
          </w:p>
        </w:tc>
        <w:tc>
          <w:tcPr>
            <w:tcW w:w="737" w:type="dxa"/>
            <w:vAlign w:val="center"/>
          </w:tcPr>
          <w:p w:rsidR="00B5255F" w:rsidRPr="00B5255F" w:rsidRDefault="00B5255F" w:rsidP="00B52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B52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4XL</w:t>
            </w:r>
          </w:p>
        </w:tc>
      </w:tr>
      <w:tr w:rsidR="00B5255F" w:rsidRPr="00B5255F" w:rsidTr="00B5255F">
        <w:tc>
          <w:tcPr>
            <w:tcW w:w="2944" w:type="dxa"/>
          </w:tcPr>
          <w:p w:rsidR="00B5255F" w:rsidRPr="00B5255F" w:rsidRDefault="00B5255F" w:rsidP="00B5255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5255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Максимально доступний об’єм відпрацьованого повітря з системи вентиляції </w:t>
            </w:r>
          </w:p>
        </w:tc>
        <w:tc>
          <w:tcPr>
            <w:tcW w:w="736" w:type="dxa"/>
            <w:vAlign w:val="center"/>
          </w:tcPr>
          <w:p w:rsidR="00B5255F" w:rsidRPr="00B5255F" w:rsidRDefault="00B5255F" w:rsidP="00B52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525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109</w:t>
            </w:r>
          </w:p>
        </w:tc>
        <w:tc>
          <w:tcPr>
            <w:tcW w:w="736" w:type="dxa"/>
            <w:vAlign w:val="center"/>
          </w:tcPr>
          <w:p w:rsidR="00B5255F" w:rsidRPr="00B5255F" w:rsidRDefault="00B5255F" w:rsidP="00B52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525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128</w:t>
            </w:r>
          </w:p>
        </w:tc>
        <w:tc>
          <w:tcPr>
            <w:tcW w:w="736" w:type="dxa"/>
            <w:vAlign w:val="center"/>
          </w:tcPr>
          <w:p w:rsidR="00B5255F" w:rsidRPr="00B5255F" w:rsidRDefault="00B5255F" w:rsidP="00B52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525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128</w:t>
            </w:r>
          </w:p>
        </w:tc>
        <w:tc>
          <w:tcPr>
            <w:tcW w:w="736" w:type="dxa"/>
            <w:vAlign w:val="center"/>
          </w:tcPr>
          <w:p w:rsidR="00B5255F" w:rsidRPr="00B5255F" w:rsidRDefault="00B5255F" w:rsidP="00B52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525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159</w:t>
            </w:r>
          </w:p>
        </w:tc>
        <w:tc>
          <w:tcPr>
            <w:tcW w:w="736" w:type="dxa"/>
            <w:vAlign w:val="center"/>
          </w:tcPr>
          <w:p w:rsidR="00B5255F" w:rsidRPr="00B5255F" w:rsidRDefault="00B5255F" w:rsidP="00B52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525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190</w:t>
            </w:r>
          </w:p>
        </w:tc>
        <w:tc>
          <w:tcPr>
            <w:tcW w:w="736" w:type="dxa"/>
            <w:vAlign w:val="center"/>
          </w:tcPr>
          <w:p w:rsidR="00B5255F" w:rsidRPr="00B5255F" w:rsidRDefault="00B5255F" w:rsidP="00B52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525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870</w:t>
            </w:r>
          </w:p>
        </w:tc>
        <w:tc>
          <w:tcPr>
            <w:tcW w:w="737" w:type="dxa"/>
            <w:vAlign w:val="center"/>
          </w:tcPr>
          <w:p w:rsidR="00B5255F" w:rsidRPr="00B5255F" w:rsidRDefault="00B5255F" w:rsidP="00B52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525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1 021</w:t>
            </w:r>
          </w:p>
        </w:tc>
        <w:tc>
          <w:tcPr>
            <w:tcW w:w="737" w:type="dxa"/>
            <w:vAlign w:val="center"/>
          </w:tcPr>
          <w:p w:rsidR="00B5255F" w:rsidRPr="00B5255F" w:rsidRDefault="00B5255F" w:rsidP="00B52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525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2 943</w:t>
            </w:r>
          </w:p>
        </w:tc>
        <w:tc>
          <w:tcPr>
            <w:tcW w:w="737" w:type="dxa"/>
            <w:vAlign w:val="center"/>
          </w:tcPr>
          <w:p w:rsidR="00B5255F" w:rsidRPr="00B5255F" w:rsidRDefault="00B5255F" w:rsidP="00B52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525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8 830</w:t>
            </w:r>
          </w:p>
        </w:tc>
      </w:tr>
    </w:tbl>
    <w:p w:rsidR="00F46483" w:rsidRDefault="00F46483" w:rsidP="007D169E">
      <w:pPr>
        <w:tabs>
          <w:tab w:val="left" w:pos="543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46483" w:rsidRDefault="00B5255F" w:rsidP="007D169E">
      <w:pPr>
        <w:tabs>
          <w:tab w:val="left" w:pos="543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7</w:t>
      </w:r>
    </w:p>
    <w:p w:rsidR="00F46483" w:rsidRDefault="00B5255F" w:rsidP="00B5255F">
      <w:pPr>
        <w:tabs>
          <w:tab w:val="left" w:pos="54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55F">
        <w:rPr>
          <w:rFonts w:ascii="Times New Roman" w:hAnsi="Times New Roman" w:cs="Times New Roman"/>
          <w:sz w:val="28"/>
          <w:szCs w:val="28"/>
          <w:lang w:val="uk-UA"/>
        </w:rPr>
        <w:t>Профілі навантаження нагріву води для комбінованих обігрівачів</w:t>
      </w: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885"/>
        <w:gridCol w:w="643"/>
        <w:gridCol w:w="538"/>
        <w:gridCol w:w="885"/>
        <w:gridCol w:w="644"/>
        <w:gridCol w:w="541"/>
        <w:gridCol w:w="885"/>
        <w:gridCol w:w="635"/>
        <w:gridCol w:w="552"/>
        <w:gridCol w:w="885"/>
        <w:gridCol w:w="635"/>
        <w:gridCol w:w="571"/>
        <w:gridCol w:w="600"/>
      </w:tblGrid>
      <w:tr w:rsidR="006A0C74" w:rsidRPr="006A0C74" w:rsidTr="006A0C74">
        <w:trPr>
          <w:tblHeader/>
          <w:jc w:val="center"/>
        </w:trPr>
        <w:tc>
          <w:tcPr>
            <w:tcW w:w="672" w:type="dxa"/>
            <w:vMerge w:val="restart"/>
            <w:vAlign w:val="center"/>
          </w:tcPr>
          <w:p w:rsidR="006A0C74" w:rsidRPr="006A0C74" w:rsidRDefault="006A0C74" w:rsidP="006A0C7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</w:t>
            </w:r>
          </w:p>
        </w:tc>
        <w:tc>
          <w:tcPr>
            <w:tcW w:w="2049" w:type="dxa"/>
            <w:gridSpan w:val="3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ind w:left="67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3XS</w:t>
            </w:r>
          </w:p>
        </w:tc>
        <w:tc>
          <w:tcPr>
            <w:tcW w:w="2051" w:type="dxa"/>
            <w:gridSpan w:val="3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ind w:left="61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XXS</w:t>
            </w:r>
          </w:p>
        </w:tc>
        <w:tc>
          <w:tcPr>
            <w:tcW w:w="2054" w:type="dxa"/>
            <w:gridSpan w:val="3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ind w:left="6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XS</w:t>
            </w:r>
          </w:p>
        </w:tc>
        <w:tc>
          <w:tcPr>
            <w:tcW w:w="2745" w:type="dxa"/>
            <w:gridSpan w:val="4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ind w:left="97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S</w:t>
            </w:r>
          </w:p>
        </w:tc>
      </w:tr>
      <w:tr w:rsidR="006A0C74" w:rsidRPr="006A0C74" w:rsidTr="006A0C74">
        <w:trPr>
          <w:tblHeader/>
          <w:jc w:val="center"/>
        </w:trPr>
        <w:tc>
          <w:tcPr>
            <w:tcW w:w="672" w:type="dxa"/>
            <w:vMerge/>
          </w:tcPr>
          <w:p w:rsidR="006A0C74" w:rsidRPr="006A0C74" w:rsidRDefault="006A0C74" w:rsidP="006A0C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tap</m:t>
                    </m:r>
                  </m:sub>
                </m:sSub>
              </m:oMath>
            </m:oMathPara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  <w:t>f</w:t>
            </w:r>
          </w:p>
        </w:tc>
        <w:tc>
          <w:tcPr>
            <w:tcW w:w="573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803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tap</m:t>
                    </m:r>
                  </m:sub>
                </m:sSub>
              </m:oMath>
            </m:oMathPara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  <w:t>f</w:t>
            </w:r>
          </w:p>
        </w:tc>
        <w:tc>
          <w:tcPr>
            <w:tcW w:w="575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803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tap</m:t>
                    </m:r>
                  </m:sub>
                </m:sSub>
              </m:oMath>
            </m:oMathPara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  <w:t>f</w:t>
            </w:r>
          </w:p>
        </w:tc>
        <w:tc>
          <w:tcPr>
            <w:tcW w:w="590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803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tap</m:t>
                    </m:r>
                  </m:sub>
                </m:sSub>
              </m:oMath>
            </m:oMathPara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  <w:t>f</w:t>
            </w:r>
          </w:p>
        </w:tc>
        <w:tc>
          <w:tcPr>
            <w:tcW w:w="617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664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p</m:t>
                    </m:r>
                  </m:sub>
                </m:sSub>
              </m:oMath>
            </m:oMathPara>
          </w:p>
        </w:tc>
      </w:tr>
      <w:tr w:rsidR="006A0C74" w:rsidRPr="006A0C74" w:rsidTr="006A0C74">
        <w:trPr>
          <w:tblHeader/>
          <w:jc w:val="center"/>
        </w:trPr>
        <w:tc>
          <w:tcPr>
            <w:tcW w:w="672" w:type="dxa"/>
            <w:vMerge/>
          </w:tcPr>
          <w:p w:rsidR="006A0C74" w:rsidRPr="006A0C74" w:rsidRDefault="006A0C74" w:rsidP="006A0C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proofErr w:type="spellStart"/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кВт·год</w:t>
            </w:r>
            <w:proofErr w:type="spellEnd"/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л/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хв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°C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proofErr w:type="spellStart"/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кВт·год</w:t>
            </w:r>
            <w:proofErr w:type="spellEnd"/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л/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хв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°C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proofErr w:type="spellStart"/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кВт·год</w:t>
            </w:r>
            <w:proofErr w:type="spellEnd"/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л/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хв</w:t>
            </w: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°C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proofErr w:type="spellStart"/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кВт·год</w:t>
            </w:r>
            <w:proofErr w:type="spellEnd"/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л/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хв</w:t>
            </w: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°C</w:t>
            </w: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°C</w:t>
            </w: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07:00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07:05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07:15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07:26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07:30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0,525</w:t>
            </w: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07:45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08:01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08:05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08:15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08:25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08:30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08:45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09:00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09:30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10:00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10:30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11:00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11:30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11:45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12:00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12:30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12:45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0,525</w:t>
            </w: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0,315</w:t>
            </w: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55</w:t>
            </w: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14:30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15:00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15:30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16:00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16:30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17:00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18:00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18:15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18:30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lastRenderedPageBreak/>
              <w:t>19:00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19:30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20:00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20:30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1,05</w:t>
            </w: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0,42</w:t>
            </w: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55</w:t>
            </w: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20:45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20:46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21:00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21:15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21:30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0,525</w:t>
            </w: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45</w:t>
            </w: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21:35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21:45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0,015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672" w:type="dxa"/>
          </w:tcPr>
          <w:p w:rsidR="006A0C74" w:rsidRPr="006A0C74" w:rsidRDefault="00212D12" w:rsidP="00F70D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ref</m:t>
                    </m:r>
                  </m:sub>
                </m:sSub>
              </m:oMath>
            </m:oMathPara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0,345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2,100</w:t>
            </w:r>
          </w:p>
        </w:tc>
        <w:tc>
          <w:tcPr>
            <w:tcW w:w="67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2,100</w:t>
            </w: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2,100</w:t>
            </w:r>
          </w:p>
        </w:tc>
        <w:tc>
          <w:tcPr>
            <w:tcW w:w="66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A0C74" w:rsidRPr="006A0C74" w:rsidRDefault="006A0C74" w:rsidP="006A0C7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716"/>
        <w:gridCol w:w="885"/>
        <w:gridCol w:w="709"/>
        <w:gridCol w:w="685"/>
        <w:gridCol w:w="682"/>
        <w:gridCol w:w="885"/>
        <w:gridCol w:w="706"/>
        <w:gridCol w:w="682"/>
        <w:gridCol w:w="680"/>
        <w:gridCol w:w="885"/>
        <w:gridCol w:w="699"/>
        <w:gridCol w:w="680"/>
        <w:gridCol w:w="677"/>
      </w:tblGrid>
      <w:tr w:rsidR="006A0C74" w:rsidRPr="006A0C74" w:rsidTr="006A0C74">
        <w:trPr>
          <w:tblHeader/>
          <w:jc w:val="center"/>
        </w:trPr>
        <w:tc>
          <w:tcPr>
            <w:tcW w:w="722" w:type="dxa"/>
            <w:vMerge w:val="restart"/>
            <w:vAlign w:val="center"/>
          </w:tcPr>
          <w:p w:rsidR="006A0C74" w:rsidRPr="006A0C74" w:rsidRDefault="006A0C74" w:rsidP="006A0C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</w:t>
            </w:r>
          </w:p>
        </w:tc>
        <w:tc>
          <w:tcPr>
            <w:tcW w:w="2971" w:type="dxa"/>
            <w:gridSpan w:val="4"/>
          </w:tcPr>
          <w:p w:rsidR="006A0C74" w:rsidRPr="006A0C74" w:rsidRDefault="006A0C74" w:rsidP="006A0C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M</w:t>
            </w:r>
          </w:p>
        </w:tc>
        <w:tc>
          <w:tcPr>
            <w:tcW w:w="2963" w:type="dxa"/>
            <w:gridSpan w:val="4"/>
          </w:tcPr>
          <w:p w:rsidR="006A0C74" w:rsidRPr="006A0C74" w:rsidRDefault="006A0C74" w:rsidP="006A0C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</w:t>
            </w:r>
          </w:p>
        </w:tc>
        <w:tc>
          <w:tcPr>
            <w:tcW w:w="2915" w:type="dxa"/>
            <w:gridSpan w:val="4"/>
          </w:tcPr>
          <w:p w:rsidR="006A0C74" w:rsidRPr="006A0C74" w:rsidRDefault="006A0C74" w:rsidP="006A0C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XL</w:t>
            </w:r>
          </w:p>
        </w:tc>
      </w:tr>
      <w:tr w:rsidR="006A0C74" w:rsidRPr="006A0C74" w:rsidTr="006A0C74">
        <w:trPr>
          <w:tblHeader/>
          <w:jc w:val="center"/>
        </w:trPr>
        <w:tc>
          <w:tcPr>
            <w:tcW w:w="722" w:type="dxa"/>
            <w:vMerge/>
          </w:tcPr>
          <w:p w:rsidR="006A0C74" w:rsidRPr="006A0C74" w:rsidRDefault="006A0C74" w:rsidP="006A0C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1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tap</m:t>
                    </m:r>
                  </m:sub>
                </m:sSub>
              </m:oMath>
            </m:oMathPara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  <w:t>f</w:t>
            </w:r>
          </w:p>
        </w:tc>
        <w:tc>
          <w:tcPr>
            <w:tcW w:w="720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w:proofErr w:type="spellStart"/>
            <w:r w:rsidRPr="006A0C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  <w:t>T</w:t>
            </w:r>
            <w:r w:rsidRPr="006A0C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val="uk-UA" w:eastAsia="en-US"/>
              </w:rPr>
              <w:t>p</w:t>
            </w:r>
            <w:proofErr w:type="spellEnd"/>
          </w:p>
        </w:tc>
        <w:tc>
          <w:tcPr>
            <w:tcW w:w="802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tap</m:t>
                    </m:r>
                  </m:sub>
                </m:sSub>
              </m:oMath>
            </m:oMathPara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  <w:t>f</w:t>
            </w:r>
          </w:p>
        </w:tc>
        <w:tc>
          <w:tcPr>
            <w:tcW w:w="717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w:proofErr w:type="spellStart"/>
            <w:r w:rsidRPr="006A0C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  <w:t>T</w:t>
            </w:r>
            <w:r w:rsidRPr="006A0C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val="uk-UA" w:eastAsia="en-US"/>
              </w:rPr>
              <w:t>p</w:t>
            </w:r>
            <w:proofErr w:type="spellEnd"/>
          </w:p>
        </w:tc>
        <w:tc>
          <w:tcPr>
            <w:tcW w:w="768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tap</m:t>
                    </m:r>
                  </m:sub>
                </m:sSub>
              </m:oMath>
            </m:oMathPara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  <w:t>f</w:t>
            </w:r>
          </w:p>
        </w:tc>
        <w:tc>
          <w:tcPr>
            <w:tcW w:w="714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714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p</m:t>
                    </m:r>
                  </m:sub>
                </m:sSub>
              </m:oMath>
            </m:oMathPara>
          </w:p>
        </w:tc>
      </w:tr>
      <w:tr w:rsidR="006A0C74" w:rsidRPr="006A0C74" w:rsidTr="006A0C74">
        <w:trPr>
          <w:tblHeader/>
          <w:jc w:val="center"/>
        </w:trPr>
        <w:tc>
          <w:tcPr>
            <w:tcW w:w="722" w:type="dxa"/>
            <w:vMerge/>
          </w:tcPr>
          <w:p w:rsidR="006A0C74" w:rsidRPr="006A0C74" w:rsidRDefault="006A0C74" w:rsidP="006A0C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proofErr w:type="spellStart"/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кВт·год</w:t>
            </w:r>
            <w:proofErr w:type="spellEnd"/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л/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хв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°C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°C</w:t>
            </w: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proofErr w:type="spellStart"/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кВт·год</w:t>
            </w:r>
            <w:proofErr w:type="spellEnd"/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л/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хв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°C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°C</w:t>
            </w: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proofErr w:type="spellStart"/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кВт·год</w:t>
            </w:r>
            <w:proofErr w:type="spellEnd"/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л/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хв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°C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°C</w:t>
            </w: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07:00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07:05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1,4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1,4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07:15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1,82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07:26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07:30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07:45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4,42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08:01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08:05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3,605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08:15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08:25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08:30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08:45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09:00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09:30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11:00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11:30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11:45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12:00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12:30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12:45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0,315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55</w:t>
            </w: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0,315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55</w:t>
            </w: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0,735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55</w:t>
            </w: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14:30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15:00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15:30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16:00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16:30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17:00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18:00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18:15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18:30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19:00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19:30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20:00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20:30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0,735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55</w:t>
            </w: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0,735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55</w:t>
            </w: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0,735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55</w:t>
            </w: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20:45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20:46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4,42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21:00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3,605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21:15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21:30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1,4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4,42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21:35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21:45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ref</m:t>
                    </m:r>
                  </m:sub>
                </m:sSub>
              </m:oMath>
            </m:oMathPara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5,845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11,655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19,07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A0C74" w:rsidRPr="006A0C74" w:rsidRDefault="006A0C74" w:rsidP="006A0C7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716"/>
        <w:gridCol w:w="885"/>
        <w:gridCol w:w="709"/>
        <w:gridCol w:w="685"/>
        <w:gridCol w:w="682"/>
        <w:gridCol w:w="885"/>
        <w:gridCol w:w="706"/>
        <w:gridCol w:w="682"/>
        <w:gridCol w:w="680"/>
        <w:gridCol w:w="885"/>
        <w:gridCol w:w="699"/>
        <w:gridCol w:w="680"/>
        <w:gridCol w:w="677"/>
      </w:tblGrid>
      <w:tr w:rsidR="006A0C74" w:rsidRPr="006A0C74" w:rsidTr="006A0C74">
        <w:trPr>
          <w:tblHeader/>
          <w:jc w:val="center"/>
        </w:trPr>
        <w:tc>
          <w:tcPr>
            <w:tcW w:w="722" w:type="dxa"/>
            <w:vMerge w:val="restart"/>
            <w:vAlign w:val="center"/>
          </w:tcPr>
          <w:p w:rsidR="006A0C74" w:rsidRPr="006A0C74" w:rsidRDefault="006A0C74" w:rsidP="006A0C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</w:t>
            </w:r>
          </w:p>
        </w:tc>
        <w:tc>
          <w:tcPr>
            <w:tcW w:w="2971" w:type="dxa"/>
            <w:gridSpan w:val="4"/>
          </w:tcPr>
          <w:p w:rsidR="006A0C74" w:rsidRPr="006A0C74" w:rsidRDefault="006A0C74" w:rsidP="006A0C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XXL</w:t>
            </w:r>
          </w:p>
        </w:tc>
        <w:tc>
          <w:tcPr>
            <w:tcW w:w="2963" w:type="dxa"/>
            <w:gridSpan w:val="4"/>
          </w:tcPr>
          <w:p w:rsidR="006A0C74" w:rsidRPr="006A0C74" w:rsidRDefault="006A0C74" w:rsidP="006A0C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3XL</w:t>
            </w:r>
          </w:p>
        </w:tc>
        <w:tc>
          <w:tcPr>
            <w:tcW w:w="2915" w:type="dxa"/>
            <w:gridSpan w:val="4"/>
          </w:tcPr>
          <w:p w:rsidR="006A0C74" w:rsidRPr="006A0C74" w:rsidRDefault="006A0C74" w:rsidP="006A0C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4XL</w:t>
            </w:r>
          </w:p>
        </w:tc>
      </w:tr>
      <w:tr w:rsidR="006A0C74" w:rsidRPr="006A0C74" w:rsidTr="006A0C74">
        <w:trPr>
          <w:tblHeader/>
          <w:jc w:val="center"/>
        </w:trPr>
        <w:tc>
          <w:tcPr>
            <w:tcW w:w="722" w:type="dxa"/>
            <w:vMerge/>
          </w:tcPr>
          <w:p w:rsidR="006A0C74" w:rsidRPr="006A0C74" w:rsidRDefault="006A0C74" w:rsidP="006A0C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1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tap</m:t>
                    </m:r>
                  </m:sub>
                </m:sSub>
              </m:oMath>
            </m:oMathPara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  <w:t>f</w:t>
            </w:r>
          </w:p>
        </w:tc>
        <w:tc>
          <w:tcPr>
            <w:tcW w:w="720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720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802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tap</m:t>
                    </m:r>
                  </m:sub>
                </m:sSub>
              </m:oMath>
            </m:oMathPara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  <w:t>f</w:t>
            </w:r>
          </w:p>
        </w:tc>
        <w:tc>
          <w:tcPr>
            <w:tcW w:w="717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717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768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tap</m:t>
                    </m:r>
                  </m:sub>
                </m:sSub>
              </m:oMath>
            </m:oMathPara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  <w:t>f</w:t>
            </w:r>
          </w:p>
        </w:tc>
        <w:tc>
          <w:tcPr>
            <w:tcW w:w="714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714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p</m:t>
                    </m:r>
                  </m:sub>
                </m:sSub>
              </m:oMath>
            </m:oMathPara>
          </w:p>
        </w:tc>
      </w:tr>
      <w:tr w:rsidR="006A0C74" w:rsidRPr="006A0C74" w:rsidTr="006A0C74">
        <w:trPr>
          <w:tblHeader/>
          <w:jc w:val="center"/>
        </w:trPr>
        <w:tc>
          <w:tcPr>
            <w:tcW w:w="722" w:type="dxa"/>
            <w:vMerge/>
          </w:tcPr>
          <w:p w:rsidR="006A0C74" w:rsidRPr="006A0C74" w:rsidRDefault="006A0C74" w:rsidP="006A0C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proofErr w:type="spellStart"/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кВт·год</w:t>
            </w:r>
            <w:proofErr w:type="spellEnd"/>
          </w:p>
        </w:tc>
        <w:tc>
          <w:tcPr>
            <w:tcW w:w="730" w:type="dxa"/>
          </w:tcPr>
          <w:p w:rsidR="006A0C74" w:rsidRPr="006A0C74" w:rsidRDefault="006A0C74" w:rsidP="00321D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л/</w:t>
            </w:r>
            <w:r w:rsidR="00321D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хв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°C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°C</w:t>
            </w: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proofErr w:type="spellStart"/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кВт·год</w:t>
            </w:r>
            <w:proofErr w:type="spellEnd"/>
          </w:p>
        </w:tc>
        <w:tc>
          <w:tcPr>
            <w:tcW w:w="727" w:type="dxa"/>
          </w:tcPr>
          <w:p w:rsidR="006A0C74" w:rsidRPr="006A0C74" w:rsidRDefault="006A0C74" w:rsidP="00321D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л/</w:t>
            </w:r>
            <w:r w:rsidR="00321D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хв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°C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°C</w:t>
            </w: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proofErr w:type="spellStart"/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кВт·год</w:t>
            </w:r>
            <w:proofErr w:type="spellEnd"/>
          </w:p>
        </w:tc>
        <w:tc>
          <w:tcPr>
            <w:tcW w:w="719" w:type="dxa"/>
          </w:tcPr>
          <w:p w:rsidR="006A0C74" w:rsidRPr="006A0C74" w:rsidRDefault="006A0C74" w:rsidP="00321D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л/</w:t>
            </w:r>
            <w:r w:rsidR="00321D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хв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°C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°C</w:t>
            </w: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07:00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11,2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48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22,4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96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07:05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07:15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1,82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07:26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07:30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07:45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6,24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16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08:01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5,04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24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10,08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48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08:05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08:15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08:25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08:30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08:45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09:00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1,68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24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3,36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48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09:30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0,84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24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1,68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48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11:00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11:30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11:45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1,68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24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3,36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48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12:00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12:30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12:45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0,735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55</w:t>
            </w: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2,52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32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55</w:t>
            </w: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5,04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64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55</w:t>
            </w: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14:30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15:00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15:30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2,52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24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5,04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48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16:00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16:30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17:00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18:00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18:15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18:30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3,36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24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6,72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48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19:00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19:30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20:00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20:30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0,735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55</w:t>
            </w: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5,88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32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55</w:t>
            </w: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11,76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64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55</w:t>
            </w: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20:45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20:46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6,24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16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21:00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21:15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0,105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21:30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6,24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16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12,04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48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24,08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96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21:35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21:45</w:t>
            </w:r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C74" w:rsidRPr="006A0C74" w:rsidTr="006A0C74">
        <w:trPr>
          <w:jc w:val="center"/>
        </w:trPr>
        <w:tc>
          <w:tcPr>
            <w:tcW w:w="722" w:type="dxa"/>
          </w:tcPr>
          <w:p w:rsidR="006A0C74" w:rsidRPr="006A0C74" w:rsidRDefault="00212D12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 w:eastAsia="en-US"/>
                      </w:rPr>
                      <m:t>ref</m:t>
                    </m:r>
                  </m:sub>
                </m:sSub>
              </m:oMath>
            </m:oMathPara>
          </w:p>
        </w:tc>
        <w:tc>
          <w:tcPr>
            <w:tcW w:w="801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24,53</w:t>
            </w:r>
          </w:p>
        </w:tc>
        <w:tc>
          <w:tcPr>
            <w:tcW w:w="73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2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46,76</w:t>
            </w:r>
          </w:p>
        </w:tc>
        <w:tc>
          <w:tcPr>
            <w:tcW w:w="72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 w:rsidRPr="006A0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en-US"/>
              </w:rPr>
              <w:t>93,52</w:t>
            </w:r>
          </w:p>
        </w:tc>
        <w:tc>
          <w:tcPr>
            <w:tcW w:w="719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</w:tcPr>
          <w:p w:rsidR="006A0C74" w:rsidRPr="006A0C74" w:rsidRDefault="006A0C74" w:rsidP="006A0C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B5255F" w:rsidRPr="00B5255F" w:rsidRDefault="00B5255F" w:rsidP="00B5255F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E7C38" w:rsidRDefault="008E7C38" w:rsidP="007D169E">
      <w:pPr>
        <w:tabs>
          <w:tab w:val="left" w:pos="543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043C" w:rsidRPr="002E3A2A" w:rsidRDefault="00312F19" w:rsidP="002E3A2A">
      <w:pPr>
        <w:pStyle w:val="ab"/>
        <w:tabs>
          <w:tab w:val="left" w:pos="5430"/>
        </w:tabs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666A6B" w:rsidRPr="002E3A2A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BC043C" w:rsidRPr="002E3A2A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1201A1" w:rsidRPr="00D169E9" w:rsidRDefault="001201A1" w:rsidP="00D169E9">
      <w:pPr>
        <w:tabs>
          <w:tab w:val="left" w:pos="543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201A1" w:rsidRPr="00D169E9" w:rsidSect="008E7C38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12" w:rsidRDefault="00212D12">
      <w:pPr>
        <w:spacing w:after="0" w:line="240" w:lineRule="auto"/>
      </w:pPr>
      <w:r>
        <w:separator/>
      </w:r>
    </w:p>
  </w:endnote>
  <w:endnote w:type="continuationSeparator" w:id="0">
    <w:p w:rsidR="00212D12" w:rsidRDefault="0021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12" w:rsidRDefault="00212D12">
      <w:pPr>
        <w:spacing w:after="0" w:line="240" w:lineRule="auto"/>
      </w:pPr>
      <w:r>
        <w:separator/>
      </w:r>
    </w:p>
  </w:footnote>
  <w:footnote w:type="continuationSeparator" w:id="0">
    <w:p w:rsidR="00212D12" w:rsidRDefault="00212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0377857"/>
    </w:sdtPr>
    <w:sdtEndPr/>
    <w:sdtContent>
      <w:p w:rsidR="00D733AA" w:rsidRPr="001D7EE4" w:rsidRDefault="00D733AA" w:rsidP="007D169E">
        <w:pPr>
          <w:pStyle w:val="a4"/>
          <w:tabs>
            <w:tab w:val="left" w:pos="1890"/>
          </w:tabs>
          <w:rPr>
            <w:rFonts w:ascii="Times New Roman" w:hAnsi="Times New Roman" w:cs="Times New Roman"/>
          </w:rPr>
        </w:pPr>
        <w:r w:rsidRPr="001D7EE4">
          <w:rPr>
            <w:rFonts w:ascii="Times New Roman" w:hAnsi="Times New Roman" w:cs="Times New Roman"/>
          </w:rPr>
          <w:tab/>
        </w:r>
        <w:r w:rsidRPr="001D7EE4"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  <w:lang w:val="uk-UA"/>
          </w:rPr>
          <w:t xml:space="preserve">                                           </w:t>
        </w:r>
        <w:r w:rsidRPr="001D7EE4">
          <w:rPr>
            <w:rFonts w:ascii="Times New Roman" w:hAnsi="Times New Roman" w:cs="Times New Roman"/>
          </w:rPr>
          <w:fldChar w:fldCharType="begin"/>
        </w:r>
        <w:r w:rsidRPr="001D7EE4">
          <w:rPr>
            <w:rFonts w:ascii="Times New Roman" w:hAnsi="Times New Roman" w:cs="Times New Roman"/>
          </w:rPr>
          <w:instrText xml:space="preserve"> PAGE   \* MERGEFORMAT </w:instrText>
        </w:r>
        <w:r w:rsidRPr="001D7EE4">
          <w:rPr>
            <w:rFonts w:ascii="Times New Roman" w:hAnsi="Times New Roman" w:cs="Times New Roman"/>
          </w:rPr>
          <w:fldChar w:fldCharType="separate"/>
        </w:r>
        <w:r w:rsidR="0010596E">
          <w:rPr>
            <w:rFonts w:ascii="Times New Roman" w:hAnsi="Times New Roman" w:cs="Times New Roman"/>
            <w:noProof/>
          </w:rPr>
          <w:t>5</w:t>
        </w:r>
        <w:r w:rsidRPr="001D7EE4">
          <w:rPr>
            <w:rFonts w:ascii="Times New Roman" w:hAnsi="Times New Roman" w:cs="Times New Roman"/>
            <w:noProof/>
          </w:rPr>
          <w:fldChar w:fldCharType="end"/>
        </w:r>
        <w:r w:rsidRPr="001D7EE4">
          <w:rPr>
            <w:rFonts w:ascii="Times New Roman" w:hAnsi="Times New Roman" w:cs="Times New Roman"/>
            <w:lang w:val="uk-UA"/>
          </w:rPr>
          <w:t xml:space="preserve">                                              </w:t>
        </w:r>
        <w:r>
          <w:rPr>
            <w:rFonts w:ascii="Times New Roman" w:hAnsi="Times New Roman" w:cs="Times New Roman"/>
          </w:rPr>
          <w:t>П</w:t>
        </w:r>
        <w:proofErr w:type="spellStart"/>
        <w:r>
          <w:rPr>
            <w:rFonts w:ascii="Times New Roman" w:hAnsi="Times New Roman" w:cs="Times New Roman"/>
            <w:lang w:val="uk-UA"/>
          </w:rPr>
          <w:t>родовження</w:t>
        </w:r>
        <w:proofErr w:type="spellEnd"/>
        <w:r>
          <w:rPr>
            <w:rFonts w:ascii="Times New Roman" w:hAnsi="Times New Roman" w:cs="Times New Roman"/>
            <w:lang w:val="uk-UA"/>
          </w:rPr>
          <w:t xml:space="preserve"> додатку 3</w:t>
        </w:r>
      </w:p>
    </w:sdtContent>
  </w:sdt>
  <w:p w:rsidR="00D733AA" w:rsidRDefault="00D733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4D44"/>
    <w:multiLevelType w:val="hybridMultilevel"/>
    <w:tmpl w:val="DEE45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75338"/>
    <w:multiLevelType w:val="hybridMultilevel"/>
    <w:tmpl w:val="BFCA34F6"/>
    <w:lvl w:ilvl="0" w:tplc="F446C1AE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2">
    <w:nsid w:val="319E2959"/>
    <w:multiLevelType w:val="hybridMultilevel"/>
    <w:tmpl w:val="94A027DE"/>
    <w:lvl w:ilvl="0" w:tplc="5BA646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32EA9"/>
    <w:multiLevelType w:val="hybridMultilevel"/>
    <w:tmpl w:val="70028344"/>
    <w:lvl w:ilvl="0" w:tplc="6226D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E97027"/>
    <w:multiLevelType w:val="hybridMultilevel"/>
    <w:tmpl w:val="41FCDCE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A1"/>
    <w:rsid w:val="00005EA3"/>
    <w:rsid w:val="000060D7"/>
    <w:rsid w:val="0000787F"/>
    <w:rsid w:val="000403E3"/>
    <w:rsid w:val="000663F0"/>
    <w:rsid w:val="00091DC1"/>
    <w:rsid w:val="000B152D"/>
    <w:rsid w:val="000C2999"/>
    <w:rsid w:val="000D65FA"/>
    <w:rsid w:val="000F4F26"/>
    <w:rsid w:val="0010596E"/>
    <w:rsid w:val="001201A1"/>
    <w:rsid w:val="001337C8"/>
    <w:rsid w:val="00146E0E"/>
    <w:rsid w:val="00150041"/>
    <w:rsid w:val="00163D12"/>
    <w:rsid w:val="00166A37"/>
    <w:rsid w:val="001867AA"/>
    <w:rsid w:val="001A7DAC"/>
    <w:rsid w:val="001B3F19"/>
    <w:rsid w:val="001E21E6"/>
    <w:rsid w:val="001E7182"/>
    <w:rsid w:val="00212D12"/>
    <w:rsid w:val="00212FF3"/>
    <w:rsid w:val="00215A72"/>
    <w:rsid w:val="00227303"/>
    <w:rsid w:val="00231F3D"/>
    <w:rsid w:val="0023406C"/>
    <w:rsid w:val="0024103E"/>
    <w:rsid w:val="002862A7"/>
    <w:rsid w:val="002873B4"/>
    <w:rsid w:val="002B3C88"/>
    <w:rsid w:val="002B5863"/>
    <w:rsid w:val="002B60C5"/>
    <w:rsid w:val="002B7EDD"/>
    <w:rsid w:val="002D2AD0"/>
    <w:rsid w:val="002E3A2A"/>
    <w:rsid w:val="002E48E4"/>
    <w:rsid w:val="002E4A70"/>
    <w:rsid w:val="002F1019"/>
    <w:rsid w:val="00312F19"/>
    <w:rsid w:val="003166D3"/>
    <w:rsid w:val="00320138"/>
    <w:rsid w:val="00321D85"/>
    <w:rsid w:val="00343EC4"/>
    <w:rsid w:val="0035409D"/>
    <w:rsid w:val="00381AA1"/>
    <w:rsid w:val="003D1586"/>
    <w:rsid w:val="003E0AA4"/>
    <w:rsid w:val="0043752F"/>
    <w:rsid w:val="0044480E"/>
    <w:rsid w:val="00451023"/>
    <w:rsid w:val="004559F1"/>
    <w:rsid w:val="0046084C"/>
    <w:rsid w:val="004D398C"/>
    <w:rsid w:val="004D6F19"/>
    <w:rsid w:val="004F76D9"/>
    <w:rsid w:val="005215B0"/>
    <w:rsid w:val="00521B10"/>
    <w:rsid w:val="005278C2"/>
    <w:rsid w:val="005363F0"/>
    <w:rsid w:val="00544E17"/>
    <w:rsid w:val="005533DA"/>
    <w:rsid w:val="005707B1"/>
    <w:rsid w:val="00570819"/>
    <w:rsid w:val="005A65AE"/>
    <w:rsid w:val="005C0CB1"/>
    <w:rsid w:val="005C1CF0"/>
    <w:rsid w:val="005F6306"/>
    <w:rsid w:val="00627BFE"/>
    <w:rsid w:val="00634264"/>
    <w:rsid w:val="00636649"/>
    <w:rsid w:val="00657621"/>
    <w:rsid w:val="00666A6B"/>
    <w:rsid w:val="00667246"/>
    <w:rsid w:val="00691D87"/>
    <w:rsid w:val="006A0C74"/>
    <w:rsid w:val="006B208B"/>
    <w:rsid w:val="006C792E"/>
    <w:rsid w:val="006D77B3"/>
    <w:rsid w:val="006F4D88"/>
    <w:rsid w:val="00700002"/>
    <w:rsid w:val="00721BE3"/>
    <w:rsid w:val="00757EA3"/>
    <w:rsid w:val="00761519"/>
    <w:rsid w:val="00763F08"/>
    <w:rsid w:val="00777911"/>
    <w:rsid w:val="007C64B0"/>
    <w:rsid w:val="007D169E"/>
    <w:rsid w:val="007E10B7"/>
    <w:rsid w:val="00811B33"/>
    <w:rsid w:val="00813057"/>
    <w:rsid w:val="00816AF8"/>
    <w:rsid w:val="00823186"/>
    <w:rsid w:val="0083598B"/>
    <w:rsid w:val="008372B3"/>
    <w:rsid w:val="0085361E"/>
    <w:rsid w:val="008730A6"/>
    <w:rsid w:val="00877347"/>
    <w:rsid w:val="0089722C"/>
    <w:rsid w:val="008A334D"/>
    <w:rsid w:val="008C0715"/>
    <w:rsid w:val="008C4746"/>
    <w:rsid w:val="008D2C56"/>
    <w:rsid w:val="008E7C38"/>
    <w:rsid w:val="008F7094"/>
    <w:rsid w:val="009067B9"/>
    <w:rsid w:val="009301F4"/>
    <w:rsid w:val="0094108C"/>
    <w:rsid w:val="00977562"/>
    <w:rsid w:val="00983BB3"/>
    <w:rsid w:val="00985170"/>
    <w:rsid w:val="00992CBF"/>
    <w:rsid w:val="00996DD9"/>
    <w:rsid w:val="009A3568"/>
    <w:rsid w:val="009B3E1D"/>
    <w:rsid w:val="009F134F"/>
    <w:rsid w:val="00A00EE9"/>
    <w:rsid w:val="00A0609B"/>
    <w:rsid w:val="00A35B35"/>
    <w:rsid w:val="00A8607D"/>
    <w:rsid w:val="00A97490"/>
    <w:rsid w:val="00AA63CE"/>
    <w:rsid w:val="00AB44F4"/>
    <w:rsid w:val="00AC1622"/>
    <w:rsid w:val="00AC1EC7"/>
    <w:rsid w:val="00B1281D"/>
    <w:rsid w:val="00B5255F"/>
    <w:rsid w:val="00B52B53"/>
    <w:rsid w:val="00B64251"/>
    <w:rsid w:val="00BA0A86"/>
    <w:rsid w:val="00BC043C"/>
    <w:rsid w:val="00BC6AE2"/>
    <w:rsid w:val="00BD2FD2"/>
    <w:rsid w:val="00C04E17"/>
    <w:rsid w:val="00C12CE7"/>
    <w:rsid w:val="00C158A9"/>
    <w:rsid w:val="00C46E45"/>
    <w:rsid w:val="00C54176"/>
    <w:rsid w:val="00C8110C"/>
    <w:rsid w:val="00CB2F47"/>
    <w:rsid w:val="00CB6B87"/>
    <w:rsid w:val="00CC5486"/>
    <w:rsid w:val="00CE6937"/>
    <w:rsid w:val="00CE741F"/>
    <w:rsid w:val="00CF287A"/>
    <w:rsid w:val="00D00F81"/>
    <w:rsid w:val="00D169E9"/>
    <w:rsid w:val="00D1777C"/>
    <w:rsid w:val="00D2301C"/>
    <w:rsid w:val="00D365FE"/>
    <w:rsid w:val="00D461A6"/>
    <w:rsid w:val="00D733AA"/>
    <w:rsid w:val="00D84F9E"/>
    <w:rsid w:val="00D96BB5"/>
    <w:rsid w:val="00DB29BD"/>
    <w:rsid w:val="00DC1F33"/>
    <w:rsid w:val="00DE57E3"/>
    <w:rsid w:val="00E1376A"/>
    <w:rsid w:val="00E24557"/>
    <w:rsid w:val="00E64071"/>
    <w:rsid w:val="00E64A00"/>
    <w:rsid w:val="00E75B57"/>
    <w:rsid w:val="00E949D9"/>
    <w:rsid w:val="00EA2CF2"/>
    <w:rsid w:val="00EC0C04"/>
    <w:rsid w:val="00F05F0A"/>
    <w:rsid w:val="00F46483"/>
    <w:rsid w:val="00F515E2"/>
    <w:rsid w:val="00F53082"/>
    <w:rsid w:val="00F63ADA"/>
    <w:rsid w:val="00F67E3A"/>
    <w:rsid w:val="00F70D59"/>
    <w:rsid w:val="00F71AA5"/>
    <w:rsid w:val="00F72FD6"/>
    <w:rsid w:val="00F7695D"/>
    <w:rsid w:val="00F842E0"/>
    <w:rsid w:val="00FD12F4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63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Нормальний текст"/>
    <w:basedOn w:val="a"/>
    <w:uiPriority w:val="99"/>
    <w:rsid w:val="005F6306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5F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30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F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30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3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rsid w:val="005F630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table" w:styleId="aa">
    <w:name w:val="Table Grid"/>
    <w:basedOn w:val="a1"/>
    <w:uiPriority w:val="39"/>
    <w:rsid w:val="009A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22C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E24557"/>
    <w:rPr>
      <w:color w:val="808080"/>
    </w:rPr>
  </w:style>
  <w:style w:type="paragraph" w:styleId="ad">
    <w:name w:val="endnote text"/>
    <w:basedOn w:val="a"/>
    <w:link w:val="ae"/>
    <w:uiPriority w:val="99"/>
    <w:semiHidden/>
    <w:unhideWhenUsed/>
    <w:rsid w:val="00D365F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365FE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365FE"/>
    <w:rPr>
      <w:vertAlign w:val="superscript"/>
    </w:rPr>
  </w:style>
  <w:style w:type="table" w:customStyle="1" w:styleId="10">
    <w:name w:val="Сетка таблицы1"/>
    <w:basedOn w:val="a1"/>
    <w:next w:val="aa"/>
    <w:uiPriority w:val="59"/>
    <w:rsid w:val="007D169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D169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7D169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DC1F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1B3F1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BC04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BC04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AC162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D461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uiPriority w:val="59"/>
    <w:rsid w:val="004D39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B525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B5255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5255F"/>
    <w:rPr>
      <w:rFonts w:eastAsiaTheme="minorEastAsia"/>
      <w:sz w:val="20"/>
      <w:szCs w:val="20"/>
      <w:lang w:eastAsia="ru-RU"/>
    </w:rPr>
  </w:style>
  <w:style w:type="table" w:customStyle="1" w:styleId="12">
    <w:name w:val="Сетка таблицы12"/>
    <w:basedOn w:val="a1"/>
    <w:next w:val="aa"/>
    <w:uiPriority w:val="59"/>
    <w:rsid w:val="00B525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B5255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character" w:customStyle="1" w:styleId="FontStyle51">
    <w:name w:val="Font Style51"/>
    <w:basedOn w:val="a0"/>
    <w:uiPriority w:val="99"/>
    <w:rsid w:val="00B5255F"/>
    <w:rPr>
      <w:rFonts w:ascii="Palatino Linotype" w:hAnsi="Palatino Linotype" w:cs="Palatino Linotype"/>
      <w:b/>
      <w:bCs/>
      <w:sz w:val="14"/>
      <w:szCs w:val="14"/>
    </w:rPr>
  </w:style>
  <w:style w:type="paragraph" w:customStyle="1" w:styleId="Style17">
    <w:name w:val="Style17"/>
    <w:basedOn w:val="a"/>
    <w:uiPriority w:val="99"/>
    <w:rsid w:val="00B5255F"/>
    <w:pPr>
      <w:widowControl w:val="0"/>
      <w:autoSpaceDE w:val="0"/>
      <w:autoSpaceDN w:val="0"/>
      <w:adjustRightInd w:val="0"/>
      <w:spacing w:after="0" w:line="192" w:lineRule="exact"/>
    </w:pPr>
    <w:rPr>
      <w:rFonts w:ascii="Palatino Linotype" w:hAnsi="Palatino Linotype"/>
      <w:sz w:val="24"/>
      <w:szCs w:val="24"/>
    </w:rPr>
  </w:style>
  <w:style w:type="character" w:customStyle="1" w:styleId="FontStyle57">
    <w:name w:val="Font Style57"/>
    <w:basedOn w:val="a0"/>
    <w:uiPriority w:val="99"/>
    <w:rsid w:val="00B5255F"/>
    <w:rPr>
      <w:rFonts w:ascii="Palatino Linotype" w:hAnsi="Palatino Linotype" w:cs="Palatino Linotype"/>
      <w:sz w:val="14"/>
      <w:szCs w:val="14"/>
    </w:rPr>
  </w:style>
  <w:style w:type="paragraph" w:customStyle="1" w:styleId="Style11">
    <w:name w:val="Style11"/>
    <w:basedOn w:val="a"/>
    <w:uiPriority w:val="99"/>
    <w:rsid w:val="00B5255F"/>
    <w:pPr>
      <w:widowControl w:val="0"/>
      <w:autoSpaceDE w:val="0"/>
      <w:autoSpaceDN w:val="0"/>
      <w:adjustRightInd w:val="0"/>
      <w:spacing w:after="0" w:line="192" w:lineRule="exact"/>
    </w:pPr>
    <w:rPr>
      <w:rFonts w:ascii="Book Antiqua" w:hAnsi="Book Antiqua"/>
      <w:sz w:val="24"/>
      <w:szCs w:val="24"/>
    </w:rPr>
  </w:style>
  <w:style w:type="paragraph" w:customStyle="1" w:styleId="Style21">
    <w:name w:val="Style21"/>
    <w:basedOn w:val="a"/>
    <w:uiPriority w:val="99"/>
    <w:rsid w:val="00B525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Palatino Linotype" w:hAnsi="Palatino Linotype"/>
      <w:sz w:val="24"/>
      <w:szCs w:val="24"/>
    </w:rPr>
  </w:style>
  <w:style w:type="character" w:customStyle="1" w:styleId="FontStyle50">
    <w:name w:val="Font Style50"/>
    <w:basedOn w:val="a0"/>
    <w:uiPriority w:val="99"/>
    <w:rsid w:val="00B5255F"/>
    <w:rPr>
      <w:rFonts w:ascii="Palatino Linotype" w:hAnsi="Palatino Linotype" w:cs="Palatino Linotype"/>
      <w:i/>
      <w:iCs/>
      <w:sz w:val="12"/>
      <w:szCs w:val="12"/>
    </w:rPr>
  </w:style>
  <w:style w:type="character" w:customStyle="1" w:styleId="FontStyle53">
    <w:name w:val="Font Style53"/>
    <w:basedOn w:val="a0"/>
    <w:uiPriority w:val="99"/>
    <w:rsid w:val="00B5255F"/>
    <w:rPr>
      <w:rFonts w:ascii="Palatino Linotype" w:hAnsi="Palatino Linotype" w:cs="Palatino Linotype"/>
      <w:b/>
      <w:bCs/>
      <w:i/>
      <w:iCs/>
      <w:sz w:val="12"/>
      <w:szCs w:val="12"/>
    </w:rPr>
  </w:style>
  <w:style w:type="paragraph" w:customStyle="1" w:styleId="Style15">
    <w:name w:val="Style15"/>
    <w:basedOn w:val="a"/>
    <w:uiPriority w:val="99"/>
    <w:rsid w:val="00B525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Palatino Linotype" w:hAnsi="Palatino Linotype"/>
      <w:sz w:val="24"/>
      <w:szCs w:val="24"/>
    </w:rPr>
  </w:style>
  <w:style w:type="paragraph" w:customStyle="1" w:styleId="Style18">
    <w:name w:val="Style18"/>
    <w:basedOn w:val="a"/>
    <w:uiPriority w:val="99"/>
    <w:rsid w:val="00B5255F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Palatino Linotype" w:hAnsi="Palatino Linotype"/>
      <w:sz w:val="24"/>
      <w:szCs w:val="24"/>
    </w:rPr>
  </w:style>
  <w:style w:type="character" w:customStyle="1" w:styleId="FontStyle52">
    <w:name w:val="Font Style52"/>
    <w:basedOn w:val="a0"/>
    <w:uiPriority w:val="99"/>
    <w:rsid w:val="00B5255F"/>
    <w:rPr>
      <w:rFonts w:ascii="Palatino Linotype" w:hAnsi="Palatino Linotype" w:cs="Palatino Linotype"/>
      <w:sz w:val="12"/>
      <w:szCs w:val="12"/>
    </w:rPr>
  </w:style>
  <w:style w:type="paragraph" w:customStyle="1" w:styleId="Style2">
    <w:name w:val="Style2"/>
    <w:basedOn w:val="a"/>
    <w:uiPriority w:val="99"/>
    <w:rsid w:val="00B5255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paragraph" w:customStyle="1" w:styleId="Style14">
    <w:name w:val="Style14"/>
    <w:basedOn w:val="a"/>
    <w:uiPriority w:val="99"/>
    <w:rsid w:val="00B5255F"/>
    <w:pPr>
      <w:widowControl w:val="0"/>
      <w:autoSpaceDE w:val="0"/>
      <w:autoSpaceDN w:val="0"/>
      <w:adjustRightInd w:val="0"/>
      <w:spacing w:after="0" w:line="192" w:lineRule="exact"/>
    </w:pPr>
    <w:rPr>
      <w:rFonts w:ascii="Palatino Linotype" w:hAnsi="Palatino Linotype"/>
      <w:sz w:val="24"/>
      <w:szCs w:val="24"/>
    </w:rPr>
  </w:style>
  <w:style w:type="character" w:customStyle="1" w:styleId="FontStyle56">
    <w:name w:val="Font Style56"/>
    <w:basedOn w:val="a0"/>
    <w:uiPriority w:val="99"/>
    <w:rsid w:val="00B5255F"/>
    <w:rPr>
      <w:rFonts w:ascii="Palatino Linotype" w:hAnsi="Palatino Linotype" w:cs="Palatino Linotype"/>
      <w:b/>
      <w:bCs/>
      <w:sz w:val="14"/>
      <w:szCs w:val="14"/>
    </w:rPr>
  </w:style>
  <w:style w:type="character" w:customStyle="1" w:styleId="FontStyle58">
    <w:name w:val="Font Style58"/>
    <w:basedOn w:val="a0"/>
    <w:uiPriority w:val="99"/>
    <w:rsid w:val="00B5255F"/>
    <w:rPr>
      <w:rFonts w:ascii="Palatino Linotype" w:hAnsi="Palatino Linotype" w:cs="Palatino Linotype"/>
      <w:i/>
      <w:iCs/>
      <w:sz w:val="14"/>
      <w:szCs w:val="14"/>
    </w:rPr>
  </w:style>
  <w:style w:type="paragraph" w:styleId="af2">
    <w:name w:val="annotation text"/>
    <w:basedOn w:val="a"/>
    <w:link w:val="af3"/>
    <w:uiPriority w:val="99"/>
    <w:semiHidden/>
    <w:unhideWhenUsed/>
    <w:rsid w:val="00B525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5255F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525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5255F"/>
    <w:rPr>
      <w:rFonts w:eastAsiaTheme="minorEastAsia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5255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HTML0">
    <w:name w:val="HTML Preformatted"/>
    <w:basedOn w:val="a"/>
    <w:link w:val="HTML"/>
    <w:uiPriority w:val="99"/>
    <w:semiHidden/>
    <w:unhideWhenUsed/>
    <w:rsid w:val="00B52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CM1">
    <w:name w:val="CM1"/>
    <w:basedOn w:val="a"/>
    <w:next w:val="a"/>
    <w:uiPriority w:val="99"/>
    <w:rsid w:val="00B5255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uk-UA"/>
    </w:rPr>
  </w:style>
  <w:style w:type="paragraph" w:customStyle="1" w:styleId="CM3">
    <w:name w:val="CM3"/>
    <w:basedOn w:val="a"/>
    <w:next w:val="a"/>
    <w:uiPriority w:val="99"/>
    <w:rsid w:val="00B5255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uk-UA"/>
    </w:rPr>
  </w:style>
  <w:style w:type="character" w:customStyle="1" w:styleId="20">
    <w:name w:val="Основной текст (2)"/>
    <w:basedOn w:val="a0"/>
    <w:rsid w:val="00B5255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table" w:customStyle="1" w:styleId="13">
    <w:name w:val="Сетка таблицы13"/>
    <w:basedOn w:val="a1"/>
    <w:next w:val="aa"/>
    <w:uiPriority w:val="59"/>
    <w:rsid w:val="006A0C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F70D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F70D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A9749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63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Нормальний текст"/>
    <w:basedOn w:val="a"/>
    <w:uiPriority w:val="99"/>
    <w:rsid w:val="005F6306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5F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30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F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30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3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rsid w:val="005F630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table" w:styleId="aa">
    <w:name w:val="Table Grid"/>
    <w:basedOn w:val="a1"/>
    <w:uiPriority w:val="39"/>
    <w:rsid w:val="009A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22C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E24557"/>
    <w:rPr>
      <w:color w:val="808080"/>
    </w:rPr>
  </w:style>
  <w:style w:type="paragraph" w:styleId="ad">
    <w:name w:val="endnote text"/>
    <w:basedOn w:val="a"/>
    <w:link w:val="ae"/>
    <w:uiPriority w:val="99"/>
    <w:semiHidden/>
    <w:unhideWhenUsed/>
    <w:rsid w:val="00D365F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365FE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365FE"/>
    <w:rPr>
      <w:vertAlign w:val="superscript"/>
    </w:rPr>
  </w:style>
  <w:style w:type="table" w:customStyle="1" w:styleId="10">
    <w:name w:val="Сетка таблицы1"/>
    <w:basedOn w:val="a1"/>
    <w:next w:val="aa"/>
    <w:uiPriority w:val="59"/>
    <w:rsid w:val="007D169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D169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7D169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DC1F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1B3F1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BC04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BC04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AC162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D461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uiPriority w:val="59"/>
    <w:rsid w:val="004D39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B525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B5255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5255F"/>
    <w:rPr>
      <w:rFonts w:eastAsiaTheme="minorEastAsia"/>
      <w:sz w:val="20"/>
      <w:szCs w:val="20"/>
      <w:lang w:eastAsia="ru-RU"/>
    </w:rPr>
  </w:style>
  <w:style w:type="table" w:customStyle="1" w:styleId="12">
    <w:name w:val="Сетка таблицы12"/>
    <w:basedOn w:val="a1"/>
    <w:next w:val="aa"/>
    <w:uiPriority w:val="59"/>
    <w:rsid w:val="00B525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B5255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character" w:customStyle="1" w:styleId="FontStyle51">
    <w:name w:val="Font Style51"/>
    <w:basedOn w:val="a0"/>
    <w:uiPriority w:val="99"/>
    <w:rsid w:val="00B5255F"/>
    <w:rPr>
      <w:rFonts w:ascii="Palatino Linotype" w:hAnsi="Palatino Linotype" w:cs="Palatino Linotype"/>
      <w:b/>
      <w:bCs/>
      <w:sz w:val="14"/>
      <w:szCs w:val="14"/>
    </w:rPr>
  </w:style>
  <w:style w:type="paragraph" w:customStyle="1" w:styleId="Style17">
    <w:name w:val="Style17"/>
    <w:basedOn w:val="a"/>
    <w:uiPriority w:val="99"/>
    <w:rsid w:val="00B5255F"/>
    <w:pPr>
      <w:widowControl w:val="0"/>
      <w:autoSpaceDE w:val="0"/>
      <w:autoSpaceDN w:val="0"/>
      <w:adjustRightInd w:val="0"/>
      <w:spacing w:after="0" w:line="192" w:lineRule="exact"/>
    </w:pPr>
    <w:rPr>
      <w:rFonts w:ascii="Palatino Linotype" w:hAnsi="Palatino Linotype"/>
      <w:sz w:val="24"/>
      <w:szCs w:val="24"/>
    </w:rPr>
  </w:style>
  <w:style w:type="character" w:customStyle="1" w:styleId="FontStyle57">
    <w:name w:val="Font Style57"/>
    <w:basedOn w:val="a0"/>
    <w:uiPriority w:val="99"/>
    <w:rsid w:val="00B5255F"/>
    <w:rPr>
      <w:rFonts w:ascii="Palatino Linotype" w:hAnsi="Palatino Linotype" w:cs="Palatino Linotype"/>
      <w:sz w:val="14"/>
      <w:szCs w:val="14"/>
    </w:rPr>
  </w:style>
  <w:style w:type="paragraph" w:customStyle="1" w:styleId="Style11">
    <w:name w:val="Style11"/>
    <w:basedOn w:val="a"/>
    <w:uiPriority w:val="99"/>
    <w:rsid w:val="00B5255F"/>
    <w:pPr>
      <w:widowControl w:val="0"/>
      <w:autoSpaceDE w:val="0"/>
      <w:autoSpaceDN w:val="0"/>
      <w:adjustRightInd w:val="0"/>
      <w:spacing w:after="0" w:line="192" w:lineRule="exact"/>
    </w:pPr>
    <w:rPr>
      <w:rFonts w:ascii="Book Antiqua" w:hAnsi="Book Antiqua"/>
      <w:sz w:val="24"/>
      <w:szCs w:val="24"/>
    </w:rPr>
  </w:style>
  <w:style w:type="paragraph" w:customStyle="1" w:styleId="Style21">
    <w:name w:val="Style21"/>
    <w:basedOn w:val="a"/>
    <w:uiPriority w:val="99"/>
    <w:rsid w:val="00B525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Palatino Linotype" w:hAnsi="Palatino Linotype"/>
      <w:sz w:val="24"/>
      <w:szCs w:val="24"/>
    </w:rPr>
  </w:style>
  <w:style w:type="character" w:customStyle="1" w:styleId="FontStyle50">
    <w:name w:val="Font Style50"/>
    <w:basedOn w:val="a0"/>
    <w:uiPriority w:val="99"/>
    <w:rsid w:val="00B5255F"/>
    <w:rPr>
      <w:rFonts w:ascii="Palatino Linotype" w:hAnsi="Palatino Linotype" w:cs="Palatino Linotype"/>
      <w:i/>
      <w:iCs/>
      <w:sz w:val="12"/>
      <w:szCs w:val="12"/>
    </w:rPr>
  </w:style>
  <w:style w:type="character" w:customStyle="1" w:styleId="FontStyle53">
    <w:name w:val="Font Style53"/>
    <w:basedOn w:val="a0"/>
    <w:uiPriority w:val="99"/>
    <w:rsid w:val="00B5255F"/>
    <w:rPr>
      <w:rFonts w:ascii="Palatino Linotype" w:hAnsi="Palatino Linotype" w:cs="Palatino Linotype"/>
      <w:b/>
      <w:bCs/>
      <w:i/>
      <w:iCs/>
      <w:sz w:val="12"/>
      <w:szCs w:val="12"/>
    </w:rPr>
  </w:style>
  <w:style w:type="paragraph" w:customStyle="1" w:styleId="Style15">
    <w:name w:val="Style15"/>
    <w:basedOn w:val="a"/>
    <w:uiPriority w:val="99"/>
    <w:rsid w:val="00B525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Palatino Linotype" w:hAnsi="Palatino Linotype"/>
      <w:sz w:val="24"/>
      <w:szCs w:val="24"/>
    </w:rPr>
  </w:style>
  <w:style w:type="paragraph" w:customStyle="1" w:styleId="Style18">
    <w:name w:val="Style18"/>
    <w:basedOn w:val="a"/>
    <w:uiPriority w:val="99"/>
    <w:rsid w:val="00B5255F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Palatino Linotype" w:hAnsi="Palatino Linotype"/>
      <w:sz w:val="24"/>
      <w:szCs w:val="24"/>
    </w:rPr>
  </w:style>
  <w:style w:type="character" w:customStyle="1" w:styleId="FontStyle52">
    <w:name w:val="Font Style52"/>
    <w:basedOn w:val="a0"/>
    <w:uiPriority w:val="99"/>
    <w:rsid w:val="00B5255F"/>
    <w:rPr>
      <w:rFonts w:ascii="Palatino Linotype" w:hAnsi="Palatino Linotype" w:cs="Palatino Linotype"/>
      <w:sz w:val="12"/>
      <w:szCs w:val="12"/>
    </w:rPr>
  </w:style>
  <w:style w:type="paragraph" w:customStyle="1" w:styleId="Style2">
    <w:name w:val="Style2"/>
    <w:basedOn w:val="a"/>
    <w:uiPriority w:val="99"/>
    <w:rsid w:val="00B5255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paragraph" w:customStyle="1" w:styleId="Style14">
    <w:name w:val="Style14"/>
    <w:basedOn w:val="a"/>
    <w:uiPriority w:val="99"/>
    <w:rsid w:val="00B5255F"/>
    <w:pPr>
      <w:widowControl w:val="0"/>
      <w:autoSpaceDE w:val="0"/>
      <w:autoSpaceDN w:val="0"/>
      <w:adjustRightInd w:val="0"/>
      <w:spacing w:after="0" w:line="192" w:lineRule="exact"/>
    </w:pPr>
    <w:rPr>
      <w:rFonts w:ascii="Palatino Linotype" w:hAnsi="Palatino Linotype"/>
      <w:sz w:val="24"/>
      <w:szCs w:val="24"/>
    </w:rPr>
  </w:style>
  <w:style w:type="character" w:customStyle="1" w:styleId="FontStyle56">
    <w:name w:val="Font Style56"/>
    <w:basedOn w:val="a0"/>
    <w:uiPriority w:val="99"/>
    <w:rsid w:val="00B5255F"/>
    <w:rPr>
      <w:rFonts w:ascii="Palatino Linotype" w:hAnsi="Palatino Linotype" w:cs="Palatino Linotype"/>
      <w:b/>
      <w:bCs/>
      <w:sz w:val="14"/>
      <w:szCs w:val="14"/>
    </w:rPr>
  </w:style>
  <w:style w:type="character" w:customStyle="1" w:styleId="FontStyle58">
    <w:name w:val="Font Style58"/>
    <w:basedOn w:val="a0"/>
    <w:uiPriority w:val="99"/>
    <w:rsid w:val="00B5255F"/>
    <w:rPr>
      <w:rFonts w:ascii="Palatino Linotype" w:hAnsi="Palatino Linotype" w:cs="Palatino Linotype"/>
      <w:i/>
      <w:iCs/>
      <w:sz w:val="14"/>
      <w:szCs w:val="14"/>
    </w:rPr>
  </w:style>
  <w:style w:type="paragraph" w:styleId="af2">
    <w:name w:val="annotation text"/>
    <w:basedOn w:val="a"/>
    <w:link w:val="af3"/>
    <w:uiPriority w:val="99"/>
    <w:semiHidden/>
    <w:unhideWhenUsed/>
    <w:rsid w:val="00B525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5255F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525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5255F"/>
    <w:rPr>
      <w:rFonts w:eastAsiaTheme="minorEastAsia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5255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HTML0">
    <w:name w:val="HTML Preformatted"/>
    <w:basedOn w:val="a"/>
    <w:link w:val="HTML"/>
    <w:uiPriority w:val="99"/>
    <w:semiHidden/>
    <w:unhideWhenUsed/>
    <w:rsid w:val="00B52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CM1">
    <w:name w:val="CM1"/>
    <w:basedOn w:val="a"/>
    <w:next w:val="a"/>
    <w:uiPriority w:val="99"/>
    <w:rsid w:val="00B5255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uk-UA"/>
    </w:rPr>
  </w:style>
  <w:style w:type="paragraph" w:customStyle="1" w:styleId="CM3">
    <w:name w:val="CM3"/>
    <w:basedOn w:val="a"/>
    <w:next w:val="a"/>
    <w:uiPriority w:val="99"/>
    <w:rsid w:val="00B5255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uk-UA"/>
    </w:rPr>
  </w:style>
  <w:style w:type="character" w:customStyle="1" w:styleId="20">
    <w:name w:val="Основной текст (2)"/>
    <w:basedOn w:val="a0"/>
    <w:rsid w:val="00B5255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table" w:customStyle="1" w:styleId="13">
    <w:name w:val="Сетка таблицы13"/>
    <w:basedOn w:val="a1"/>
    <w:next w:val="aa"/>
    <w:uiPriority w:val="59"/>
    <w:rsid w:val="006A0C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F70D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F70D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A974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DA2EC-7221-4AD8-9E33-67262BD9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1955</Words>
  <Characters>11148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Hlinschykova</cp:lastModifiedBy>
  <cp:revision>2</cp:revision>
  <cp:lastPrinted>2018-11-27T13:07:00Z</cp:lastPrinted>
  <dcterms:created xsi:type="dcterms:W3CDTF">2018-12-04T10:51:00Z</dcterms:created>
  <dcterms:modified xsi:type="dcterms:W3CDTF">2018-12-04T10:51:00Z</dcterms:modified>
</cp:coreProperties>
</file>