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A" w:rsidRPr="003132BA" w:rsidRDefault="003132BA" w:rsidP="003132BA">
      <w:pPr>
        <w:pStyle w:val="a3"/>
        <w:widowControl/>
        <w:spacing w:before="60" w:after="60" w:line="276" w:lineRule="auto"/>
        <w:ind w:left="6096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3132BA">
        <w:rPr>
          <w:iCs/>
          <w:spacing w:val="0"/>
          <w:kern w:val="0"/>
          <w:position w:val="0"/>
          <w:sz w:val="28"/>
          <w:szCs w:val="28"/>
          <w:lang w:val="uk-UA"/>
        </w:rPr>
        <w:t xml:space="preserve">Додаток </w:t>
      </w:r>
      <w:r w:rsidR="00BB1BD0">
        <w:rPr>
          <w:iCs/>
          <w:spacing w:val="0"/>
          <w:kern w:val="0"/>
          <w:position w:val="0"/>
          <w:sz w:val="28"/>
          <w:szCs w:val="28"/>
          <w:lang w:val="uk-UA"/>
        </w:rPr>
        <w:t>4</w:t>
      </w:r>
    </w:p>
    <w:p w:rsidR="003132BA" w:rsidRPr="00044C01" w:rsidRDefault="003132BA" w:rsidP="00044C01">
      <w:pPr>
        <w:pStyle w:val="a3"/>
        <w:widowControl/>
        <w:spacing w:before="60" w:after="60" w:line="276" w:lineRule="auto"/>
        <w:ind w:left="6096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3132BA">
        <w:rPr>
          <w:iCs/>
          <w:spacing w:val="0"/>
          <w:kern w:val="0"/>
          <w:position w:val="0"/>
          <w:sz w:val="28"/>
          <w:szCs w:val="28"/>
          <w:lang w:val="uk-UA"/>
        </w:rPr>
        <w:t>до Технічного регламенту</w:t>
      </w:r>
    </w:p>
    <w:p w:rsidR="005E590A" w:rsidRPr="00044C01" w:rsidRDefault="005E590A" w:rsidP="00044C01">
      <w:pPr>
        <w:spacing w:after="240"/>
        <w:jc w:val="center"/>
        <w:rPr>
          <w:b/>
          <w:iCs/>
          <w:sz w:val="28"/>
          <w:szCs w:val="28"/>
          <w:lang w:val="uk-UA"/>
        </w:rPr>
      </w:pPr>
      <w:r w:rsidRPr="005E590A">
        <w:rPr>
          <w:b/>
          <w:iCs/>
          <w:sz w:val="28"/>
          <w:szCs w:val="28"/>
          <w:lang w:val="uk-UA"/>
        </w:rPr>
        <w:t>Розрахунки</w:t>
      </w:r>
    </w:p>
    <w:p w:rsidR="005E590A" w:rsidRDefault="005E590A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</w:t>
      </w:r>
      <w:r w:rsidRPr="005E590A">
        <w:t xml:space="preserve"> </w:t>
      </w:r>
      <w:r w:rsidRPr="00B053F1">
        <w:rPr>
          <w:iCs/>
          <w:sz w:val="28"/>
          <w:szCs w:val="28"/>
          <w:lang w:val="uk-UA"/>
        </w:rPr>
        <w:t xml:space="preserve">З метою забезпечення відповідності та перевірки відповідності водонагрівачів та баків-акумуляторів вимогам </w:t>
      </w:r>
      <w:r w:rsidR="00FD28F5" w:rsidRPr="00B053F1">
        <w:rPr>
          <w:iCs/>
          <w:sz w:val="28"/>
          <w:szCs w:val="28"/>
          <w:lang w:val="uk-UA"/>
        </w:rPr>
        <w:t xml:space="preserve">цього </w:t>
      </w:r>
      <w:r w:rsidRPr="00B053F1">
        <w:rPr>
          <w:iCs/>
          <w:sz w:val="28"/>
          <w:szCs w:val="28"/>
          <w:lang w:val="uk-UA"/>
        </w:rPr>
        <w:t xml:space="preserve">Технічного регламенту, розрахунки проводяться із застосуванням надійних, точних та відтворюваних </w:t>
      </w:r>
      <w:proofErr w:type="spellStart"/>
      <w:r w:rsidRPr="00B053F1">
        <w:rPr>
          <w:iCs/>
          <w:sz w:val="28"/>
          <w:szCs w:val="28"/>
          <w:lang w:val="uk-UA"/>
        </w:rPr>
        <w:t>методик</w:t>
      </w:r>
      <w:proofErr w:type="spellEnd"/>
      <w:r w:rsidRPr="00B053F1">
        <w:rPr>
          <w:iCs/>
          <w:sz w:val="28"/>
          <w:szCs w:val="28"/>
          <w:lang w:val="uk-UA"/>
        </w:rPr>
        <w:t>, які враховують загальновизнані сучасні методи та результати яких вважаються такими, що мають низьку невизначеність, у тому числі методики, встановлені у стандартах з переліку національних стандартів, відповідність яким надає презумпцію відповідності водонагрівачів та баків-акумуляторів вимогам Технічного регламенту.</w:t>
      </w:r>
      <w:r w:rsidRPr="005E590A">
        <w:t xml:space="preserve"> </w:t>
      </w:r>
      <w:r w:rsidRPr="005E590A">
        <w:rPr>
          <w:iCs/>
          <w:sz w:val="28"/>
          <w:szCs w:val="28"/>
          <w:lang w:val="uk-UA"/>
        </w:rPr>
        <w:t>Вони повинні відповідати технічним параметрам</w:t>
      </w:r>
      <w:r>
        <w:rPr>
          <w:iCs/>
          <w:sz w:val="28"/>
          <w:szCs w:val="28"/>
          <w:lang w:val="uk-UA"/>
        </w:rPr>
        <w:t xml:space="preserve"> та розрахункам, викладеним у пунктах 2-5</w:t>
      </w:r>
      <w:r w:rsidR="00573D5E">
        <w:rPr>
          <w:iCs/>
          <w:sz w:val="28"/>
          <w:szCs w:val="28"/>
          <w:lang w:val="uk-UA"/>
        </w:rPr>
        <w:t xml:space="preserve"> цього додатку</w:t>
      </w:r>
      <w:r w:rsidRPr="005E590A">
        <w:rPr>
          <w:iCs/>
          <w:sz w:val="28"/>
          <w:szCs w:val="28"/>
          <w:lang w:val="uk-UA"/>
        </w:rPr>
        <w:t>.</w:t>
      </w:r>
    </w:p>
    <w:p w:rsidR="0056518F" w:rsidRDefault="0056518F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 w:rsidRPr="0056518F">
        <w:rPr>
          <w:iCs/>
          <w:sz w:val="28"/>
          <w:szCs w:val="28"/>
          <w:lang w:val="uk-UA"/>
        </w:rPr>
        <w:t>Вимірювання технічних параметрів, які використовують для розрахунків, здійснюють</w:t>
      </w:r>
      <w:r>
        <w:rPr>
          <w:iCs/>
          <w:sz w:val="28"/>
          <w:szCs w:val="28"/>
          <w:lang w:val="uk-UA"/>
        </w:rPr>
        <w:t>ся</w:t>
      </w:r>
      <w:r w:rsidRPr="0056518F">
        <w:rPr>
          <w:iCs/>
          <w:sz w:val="28"/>
          <w:szCs w:val="28"/>
          <w:lang w:val="uk-UA"/>
        </w:rPr>
        <w:t xml:space="preserve"> відповідно до додатк</w:t>
      </w:r>
      <w:r>
        <w:rPr>
          <w:iCs/>
          <w:sz w:val="28"/>
          <w:szCs w:val="28"/>
          <w:lang w:val="uk-UA"/>
        </w:rPr>
        <w:t>у</w:t>
      </w:r>
      <w:r w:rsidRPr="0056518F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3</w:t>
      </w:r>
      <w:r w:rsidR="00573D5E">
        <w:rPr>
          <w:iCs/>
          <w:sz w:val="28"/>
          <w:szCs w:val="28"/>
          <w:lang w:val="uk-UA"/>
        </w:rPr>
        <w:t xml:space="preserve"> до цього Технічного регламенту</w:t>
      </w:r>
      <w:r w:rsidRPr="0056518F">
        <w:rPr>
          <w:iCs/>
          <w:sz w:val="28"/>
          <w:szCs w:val="28"/>
          <w:lang w:val="uk-UA"/>
        </w:rPr>
        <w:t>.</w:t>
      </w:r>
    </w:p>
    <w:p w:rsidR="005E590A" w:rsidRDefault="0056518F" w:rsidP="007B5E20">
      <w:pPr>
        <w:spacing w:before="240"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2. Технічні параметри водонагрівачів</w:t>
      </w:r>
    </w:p>
    <w:p w:rsidR="00044C01" w:rsidRDefault="0056518F" w:rsidP="00044C01">
      <w:pPr>
        <w:spacing w:before="240"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Для водонагрівачів при за</w:t>
      </w:r>
      <w:r w:rsidRPr="0056518F">
        <w:rPr>
          <w:iCs/>
          <w:sz w:val="28"/>
          <w:szCs w:val="28"/>
          <w:lang w:val="uk-UA"/>
        </w:rPr>
        <w:t xml:space="preserve"> середніх кліматичних умов розраховують</w:t>
      </w:r>
      <w:r>
        <w:rPr>
          <w:iCs/>
          <w:sz w:val="28"/>
          <w:szCs w:val="28"/>
          <w:lang w:val="uk-UA"/>
        </w:rPr>
        <w:t>ся</w:t>
      </w:r>
      <w:r w:rsidRPr="0056518F">
        <w:rPr>
          <w:iCs/>
          <w:sz w:val="28"/>
          <w:szCs w:val="28"/>
          <w:lang w:val="uk-UA"/>
        </w:rPr>
        <w:t xml:space="preserve"> такі параметри:</w:t>
      </w:r>
    </w:p>
    <w:p w:rsidR="0056518F" w:rsidRDefault="004E6E8B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</w:t>
      </w:r>
      <w:r w:rsidR="0056518F">
        <w:rPr>
          <w:iCs/>
          <w:sz w:val="28"/>
          <w:szCs w:val="28"/>
          <w:lang w:val="uk-UA"/>
        </w:rPr>
        <w:t xml:space="preserve"> </w:t>
      </w:r>
      <w:r w:rsidR="0056518F" w:rsidRPr="0056518F">
        <w:rPr>
          <w:iCs/>
          <w:sz w:val="28"/>
          <w:szCs w:val="28"/>
          <w:lang w:val="uk-UA"/>
        </w:rPr>
        <w:t xml:space="preserve">енергоефективність нагріву води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wh</m:t>
            </m:r>
          </m:sub>
        </m:sSub>
      </m:oMath>
      <w:r w:rsidR="0056518F">
        <w:rPr>
          <w:iCs/>
          <w:sz w:val="28"/>
          <w:szCs w:val="28"/>
          <w:lang w:val="uk-UA"/>
        </w:rPr>
        <w:t xml:space="preserve"> </w:t>
      </w:r>
      <w:proofErr w:type="spellStart"/>
      <w:r w:rsidR="0056518F">
        <w:rPr>
          <w:iCs/>
          <w:sz w:val="28"/>
          <w:szCs w:val="28"/>
        </w:rPr>
        <w:t>виражена</w:t>
      </w:r>
      <w:proofErr w:type="spellEnd"/>
      <w:r w:rsidR="0056518F">
        <w:rPr>
          <w:iCs/>
          <w:sz w:val="28"/>
          <w:szCs w:val="28"/>
        </w:rPr>
        <w:t xml:space="preserve"> у в</w:t>
      </w:r>
      <w:proofErr w:type="spellStart"/>
      <w:r w:rsidR="0056518F">
        <w:rPr>
          <w:iCs/>
          <w:sz w:val="28"/>
          <w:szCs w:val="28"/>
          <w:lang w:val="uk-UA"/>
        </w:rPr>
        <w:t>ідсотках</w:t>
      </w:r>
      <w:proofErr w:type="spellEnd"/>
      <w:r w:rsidR="0056518F">
        <w:rPr>
          <w:iCs/>
          <w:sz w:val="28"/>
          <w:szCs w:val="28"/>
          <w:lang w:val="uk-UA"/>
        </w:rPr>
        <w:t xml:space="preserve"> та </w:t>
      </w:r>
      <w:r w:rsidR="0056518F" w:rsidRPr="0056518F">
        <w:rPr>
          <w:iCs/>
          <w:sz w:val="28"/>
          <w:szCs w:val="28"/>
          <w:lang w:val="uk-UA"/>
        </w:rPr>
        <w:t xml:space="preserve"> округлена до одного знак</w:t>
      </w:r>
      <w:r w:rsidR="0056518F">
        <w:rPr>
          <w:iCs/>
          <w:sz w:val="28"/>
          <w:szCs w:val="28"/>
          <w:lang w:val="uk-UA"/>
        </w:rPr>
        <w:t>у</w:t>
      </w:r>
      <w:r w:rsidR="0056518F" w:rsidRPr="0056518F">
        <w:rPr>
          <w:iCs/>
          <w:sz w:val="28"/>
          <w:szCs w:val="28"/>
          <w:lang w:val="uk-UA"/>
        </w:rPr>
        <w:t xml:space="preserve"> </w:t>
      </w:r>
      <w:proofErr w:type="gramStart"/>
      <w:r w:rsidR="0056518F" w:rsidRPr="0056518F">
        <w:rPr>
          <w:iCs/>
          <w:sz w:val="28"/>
          <w:szCs w:val="28"/>
          <w:lang w:val="uk-UA"/>
        </w:rPr>
        <w:t>п</w:t>
      </w:r>
      <w:proofErr w:type="gramEnd"/>
      <w:r w:rsidR="0056518F" w:rsidRPr="0056518F">
        <w:rPr>
          <w:iCs/>
          <w:sz w:val="28"/>
          <w:szCs w:val="28"/>
          <w:lang w:val="uk-UA"/>
        </w:rPr>
        <w:t>ісля коми;</w:t>
      </w:r>
    </w:p>
    <w:p w:rsidR="005E590A" w:rsidRDefault="0056518F" w:rsidP="004378E8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 w:rsidRPr="0056518F">
        <w:rPr>
          <w:iCs/>
          <w:sz w:val="28"/>
          <w:szCs w:val="28"/>
          <w:lang w:val="uk-UA"/>
        </w:rPr>
        <w:t>крім того, для сонячних водонагрівачів за середніх кліматичних умов:</w:t>
      </w:r>
    </w:p>
    <w:p w:rsidR="005E590A" w:rsidRDefault="004E6E8B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="00F65292" w:rsidRPr="00F65292">
        <w:rPr>
          <w:iCs/>
          <w:sz w:val="28"/>
          <w:szCs w:val="28"/>
          <w:lang w:val="uk-UA"/>
        </w:rPr>
        <w:t xml:space="preserve">річна частка енергії, </w:t>
      </w:r>
      <w:r w:rsidR="00F65292">
        <w:rPr>
          <w:iCs/>
          <w:sz w:val="28"/>
          <w:szCs w:val="28"/>
          <w:lang w:val="uk-UA"/>
        </w:rPr>
        <w:t xml:space="preserve">відмінної від сонячної енергії </w:t>
      </w:r>
      <m:oMath>
        <m:sSub>
          <m:sSubPr>
            <m:ctrlPr>
              <w:rPr>
                <w:rFonts w:ascii="Cambria Math" w:eastAsia="Palatino Linotype" w:hAnsi="Cambria Math"/>
                <w:i/>
                <w:color w:val="000000"/>
                <w:sz w:val="28"/>
                <w:szCs w:val="28"/>
                <w:lang w:val="uk-UA" w:eastAsia="en-GB"/>
              </w:rPr>
            </m:ctrlPr>
          </m:sSubPr>
          <m:e>
            <m:r>
              <w:rPr>
                <w:rFonts w:ascii="Cambria Math" w:eastAsia="Palatino Linotype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Palatino Linotype" w:hAnsi="Cambria Math"/>
                <w:sz w:val="28"/>
                <w:szCs w:val="28"/>
                <w:lang w:val="uk-UA"/>
              </w:rPr>
              <m:t>nonsol</m:t>
            </m:r>
          </m:sub>
        </m:sSub>
      </m:oMath>
      <w:r w:rsidR="00F65292">
        <w:rPr>
          <w:color w:val="000000"/>
          <w:sz w:val="28"/>
          <w:szCs w:val="28"/>
          <w:lang w:val="uk-UA" w:eastAsia="en-GB"/>
        </w:rPr>
        <w:t xml:space="preserve"> виражена у </w:t>
      </w:r>
      <w:proofErr w:type="spellStart"/>
      <w:r w:rsidR="00F65292">
        <w:rPr>
          <w:color w:val="000000"/>
          <w:sz w:val="28"/>
          <w:szCs w:val="28"/>
          <w:lang w:val="uk-UA" w:eastAsia="en-GB"/>
        </w:rPr>
        <w:t>кВт</w:t>
      </w:r>
      <w:r w:rsidR="00F65292">
        <w:rPr>
          <w:rFonts w:ascii="Traditional Arabic" w:hAnsi="Traditional Arabic" w:cs="Traditional Arabic"/>
          <w:color w:val="000000"/>
          <w:sz w:val="28"/>
          <w:szCs w:val="28"/>
          <w:lang w:val="uk-UA" w:eastAsia="en-GB"/>
        </w:rPr>
        <w:t>·</w:t>
      </w:r>
      <w:r w:rsidR="003140A7">
        <w:rPr>
          <w:color w:val="000000"/>
          <w:sz w:val="28"/>
          <w:szCs w:val="28"/>
          <w:lang w:val="uk-UA" w:eastAsia="en-GB"/>
        </w:rPr>
        <w:t>год</w:t>
      </w:r>
      <w:proofErr w:type="spellEnd"/>
      <w:r w:rsidR="003140A7">
        <w:rPr>
          <w:color w:val="000000"/>
          <w:sz w:val="28"/>
          <w:szCs w:val="28"/>
          <w:lang w:val="uk-UA" w:eastAsia="en-GB"/>
        </w:rPr>
        <w:t xml:space="preserve"> </w:t>
      </w:r>
      <w:r w:rsidR="003140A7" w:rsidRPr="003140A7">
        <w:rPr>
          <w:color w:val="000000"/>
          <w:sz w:val="28"/>
          <w:szCs w:val="28"/>
          <w:lang w:val="uk-UA" w:eastAsia="en-GB"/>
        </w:rPr>
        <w:t xml:space="preserve">як первинне енергоспоживання для електроенергії та/або у </w:t>
      </w:r>
      <w:proofErr w:type="spellStart"/>
      <w:r w:rsidR="003140A7" w:rsidRPr="003140A7">
        <w:rPr>
          <w:color w:val="000000"/>
          <w:sz w:val="28"/>
          <w:szCs w:val="28"/>
          <w:lang w:val="uk-UA" w:eastAsia="en-GB"/>
        </w:rPr>
        <w:t>кВт·год</w:t>
      </w:r>
      <w:proofErr w:type="spellEnd"/>
      <w:r w:rsidR="003140A7" w:rsidRPr="003140A7">
        <w:rPr>
          <w:color w:val="000000"/>
          <w:sz w:val="28"/>
          <w:szCs w:val="28"/>
          <w:lang w:val="uk-UA" w:eastAsia="en-GB"/>
        </w:rPr>
        <w:t xml:space="preserve"> як </w:t>
      </w:r>
      <w:r w:rsidR="003140A7">
        <w:rPr>
          <w:i/>
          <w:color w:val="000000"/>
          <w:sz w:val="28"/>
          <w:szCs w:val="28"/>
          <w:lang w:val="en-US" w:eastAsia="en-GB"/>
        </w:rPr>
        <w:t>GCV</w:t>
      </w:r>
      <w:r w:rsidR="003140A7" w:rsidRPr="003140A7">
        <w:rPr>
          <w:color w:val="000000"/>
          <w:sz w:val="28"/>
          <w:szCs w:val="28"/>
          <w:lang w:val="uk-UA" w:eastAsia="en-GB"/>
        </w:rPr>
        <w:t xml:space="preserve"> для різних видів палива, округлена до одного знак</w:t>
      </w:r>
      <w:r w:rsidR="003140A7">
        <w:rPr>
          <w:color w:val="000000"/>
          <w:sz w:val="28"/>
          <w:szCs w:val="28"/>
          <w:lang w:eastAsia="en-GB"/>
        </w:rPr>
        <w:t>у</w:t>
      </w:r>
      <w:r w:rsidR="003140A7" w:rsidRPr="003140A7">
        <w:rPr>
          <w:color w:val="000000"/>
          <w:sz w:val="28"/>
          <w:szCs w:val="28"/>
          <w:lang w:val="uk-UA" w:eastAsia="en-GB"/>
        </w:rPr>
        <w:t xml:space="preserve"> після коми;</w:t>
      </w:r>
    </w:p>
    <w:p w:rsidR="005E590A" w:rsidRDefault="004E6E8B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="003140A7" w:rsidRPr="003140A7">
        <w:rPr>
          <w:iCs/>
          <w:sz w:val="28"/>
          <w:szCs w:val="28"/>
          <w:lang w:val="uk-UA"/>
        </w:rPr>
        <w:t>енергоефективніст</w:t>
      </w:r>
      <w:r w:rsidR="003140A7">
        <w:rPr>
          <w:iCs/>
          <w:sz w:val="28"/>
          <w:szCs w:val="28"/>
          <w:lang w:val="uk-UA"/>
        </w:rPr>
        <w:t xml:space="preserve">ь нагріву води теплогенератора </w:t>
      </w:r>
      <m:oMath>
        <m:sSub>
          <m:sSubPr>
            <m:ctrlPr>
              <w:rPr>
                <w:rFonts w:ascii="Cambria Math" w:eastAsia="Palatino Linotype" w:hAnsi="Cambria Math"/>
                <w:i/>
                <w:color w:val="000000"/>
                <w:sz w:val="28"/>
                <w:szCs w:val="28"/>
                <w:lang w:val="uk-UA" w:eastAsia="en-GB"/>
              </w:rPr>
            </m:ctrlPr>
          </m:sSubPr>
          <m:e>
            <m:r>
              <w:rPr>
                <w:rFonts w:ascii="Cambria Math" w:eastAsia="Palatino Linotype" w:hAnsi="Cambria Math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eastAsia="Palatino Linotype" w:hAnsi="Cambria Math"/>
                <w:sz w:val="28"/>
                <w:szCs w:val="28"/>
                <w:lang w:val="uk-UA"/>
              </w:rPr>
              <m:t>wh,nonsol</m:t>
            </m:r>
          </m:sub>
        </m:sSub>
      </m:oMath>
      <w:r w:rsidR="003140A7">
        <w:rPr>
          <w:iCs/>
          <w:sz w:val="28"/>
          <w:szCs w:val="28"/>
          <w:lang w:val="uk-UA"/>
        </w:rPr>
        <w:t xml:space="preserve">, виражена у відсотках та </w:t>
      </w:r>
      <w:r w:rsidR="003140A7" w:rsidRPr="003140A7">
        <w:rPr>
          <w:iCs/>
          <w:sz w:val="28"/>
          <w:szCs w:val="28"/>
          <w:lang w:val="uk-UA"/>
        </w:rPr>
        <w:t>округлена до одного знаку після коми</w:t>
      </w:r>
      <w:r w:rsidR="003140A7">
        <w:rPr>
          <w:iCs/>
          <w:sz w:val="28"/>
          <w:szCs w:val="28"/>
          <w:lang w:val="uk-UA"/>
        </w:rPr>
        <w:t>;</w:t>
      </w:r>
    </w:p>
    <w:p w:rsidR="00D055B7" w:rsidRDefault="004E6E8B" w:rsidP="00044C01">
      <w:pPr>
        <w:spacing w:after="240" w:line="276" w:lineRule="auto"/>
        <w:ind w:firstLine="567"/>
        <w:jc w:val="both"/>
        <w:rPr>
          <w:color w:val="000000"/>
          <w:sz w:val="28"/>
          <w:szCs w:val="28"/>
          <w:lang w:val="uk-UA" w:eastAsia="en-GB"/>
        </w:rPr>
      </w:pPr>
      <w:r>
        <w:rPr>
          <w:iCs/>
          <w:sz w:val="28"/>
          <w:szCs w:val="28"/>
          <w:lang w:val="uk-UA"/>
        </w:rPr>
        <w:t xml:space="preserve">    </w:t>
      </w:r>
      <w:r w:rsidR="003140A7" w:rsidRPr="003140A7">
        <w:rPr>
          <w:iCs/>
          <w:sz w:val="28"/>
          <w:szCs w:val="28"/>
          <w:lang w:val="uk-UA"/>
        </w:rPr>
        <w:t>допоміжне споживання електроенергії</w:t>
      </w:r>
      <w:r w:rsidR="003140A7">
        <w:rPr>
          <w:iCs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Palatino Linotype" w:hAnsi="Cambria Math"/>
                <w:i/>
                <w:color w:val="000000"/>
                <w:sz w:val="28"/>
                <w:szCs w:val="28"/>
                <w:lang w:val="uk-UA" w:eastAsia="en-GB"/>
              </w:rPr>
            </m:ctrlPr>
          </m:sSubPr>
          <m:e>
            <m:r>
              <w:rPr>
                <w:rFonts w:ascii="Cambria Math" w:eastAsia="Palatino Linotype" w:hAnsi="Cambria Math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="Palatino Linotype" w:hAnsi="Cambria Math"/>
                <w:sz w:val="28"/>
                <w:szCs w:val="28"/>
                <w:lang w:val="uk-UA"/>
              </w:rPr>
              <m:t>aux</m:t>
            </m:r>
          </m:sub>
        </m:sSub>
      </m:oMath>
      <w:r w:rsidR="00D055B7">
        <w:rPr>
          <w:color w:val="000000"/>
          <w:sz w:val="28"/>
          <w:szCs w:val="28"/>
          <w:lang w:val="uk-UA" w:eastAsia="en-GB"/>
        </w:rPr>
        <w:t xml:space="preserve"> </w:t>
      </w:r>
      <w:r w:rsidR="00D055B7" w:rsidRPr="00D055B7">
        <w:rPr>
          <w:color w:val="000000"/>
          <w:sz w:val="28"/>
          <w:szCs w:val="28"/>
          <w:lang w:val="uk-UA" w:eastAsia="en-GB"/>
        </w:rPr>
        <w:t xml:space="preserve">виражене </w:t>
      </w:r>
      <w:r w:rsidR="00D055B7">
        <w:rPr>
          <w:color w:val="000000"/>
          <w:sz w:val="28"/>
          <w:szCs w:val="28"/>
          <w:lang w:val="uk-UA" w:eastAsia="en-GB"/>
        </w:rPr>
        <w:t>у</w:t>
      </w:r>
      <w:r w:rsidR="00D055B7" w:rsidRPr="00D055B7">
        <w:rPr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="00D055B7" w:rsidRPr="00D055B7">
        <w:rPr>
          <w:color w:val="000000"/>
          <w:sz w:val="28"/>
          <w:szCs w:val="28"/>
          <w:lang w:val="uk-UA" w:eastAsia="en-GB"/>
        </w:rPr>
        <w:t>кВт·год</w:t>
      </w:r>
      <w:proofErr w:type="spellEnd"/>
      <w:r w:rsidR="00D055B7" w:rsidRPr="00D055B7">
        <w:rPr>
          <w:color w:val="000000"/>
          <w:sz w:val="28"/>
          <w:szCs w:val="28"/>
          <w:lang w:val="uk-UA" w:eastAsia="en-GB"/>
        </w:rPr>
        <w:t xml:space="preserve"> і округлене до одного знаку після коми</w:t>
      </w:r>
      <w:r w:rsidR="00D055B7">
        <w:rPr>
          <w:color w:val="000000"/>
          <w:sz w:val="28"/>
          <w:szCs w:val="28"/>
          <w:lang w:val="uk-UA" w:eastAsia="en-GB"/>
        </w:rPr>
        <w:t>.</w:t>
      </w:r>
    </w:p>
    <w:p w:rsidR="005E590A" w:rsidRDefault="00D055B7" w:rsidP="00044C01">
      <w:pPr>
        <w:spacing w:after="240"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GB"/>
        </w:rPr>
        <w:t xml:space="preserve">3. Розрахунок </w:t>
      </w:r>
      <w:r w:rsidR="00FD28F5">
        <w:rPr>
          <w:color w:val="000000"/>
          <w:sz w:val="28"/>
          <w:szCs w:val="28"/>
          <w:lang w:val="uk-UA" w:eastAsia="en-GB"/>
        </w:rPr>
        <w:t xml:space="preserve">енергоефективності </w:t>
      </w:r>
      <w:r>
        <w:rPr>
          <w:color w:val="000000"/>
          <w:sz w:val="28"/>
          <w:szCs w:val="28"/>
          <w:lang w:val="uk-UA" w:eastAsia="en-GB"/>
        </w:rPr>
        <w:t xml:space="preserve">нагріву води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wh</m:t>
            </m:r>
          </m:sub>
        </m:sSub>
      </m:oMath>
    </w:p>
    <w:p w:rsidR="005E590A" w:rsidRDefault="004E6E8B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 w:rsidR="00FD28F5" w:rsidRPr="00FD28F5">
        <w:rPr>
          <w:iCs/>
          <w:sz w:val="28"/>
          <w:szCs w:val="28"/>
          <w:lang w:val="uk-UA"/>
        </w:rPr>
        <w:t>) Звичайні водонагрівачі та водонагрівачі з вбудованим тепловим насосом</w:t>
      </w:r>
    </w:p>
    <w:p w:rsidR="00FD28F5" w:rsidRPr="00044C01" w:rsidRDefault="00FD28F5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Енергоефективність</w:t>
      </w:r>
      <w:r w:rsidRPr="00FD28F5">
        <w:rPr>
          <w:iCs/>
          <w:sz w:val="28"/>
          <w:szCs w:val="28"/>
          <w:lang w:val="uk-UA"/>
        </w:rPr>
        <w:t xml:space="preserve"> нагріву води розраховується наступним чином:</w:t>
      </w:r>
    </w:p>
    <w:p w:rsidR="00FD28F5" w:rsidRDefault="00FD28F5" w:rsidP="00D234DA">
      <w:pPr>
        <w:ind w:firstLine="567"/>
        <w:jc w:val="both"/>
        <w:rPr>
          <w:sz w:val="28"/>
          <w:szCs w:val="28"/>
          <w:lang w:val="uk-UA" w:eastAsia="ru-RU"/>
        </w:rPr>
      </w:pPr>
    </w:p>
    <w:p w:rsidR="00FD28F5" w:rsidRDefault="0067369E" w:rsidP="007B5E20">
      <w:pPr>
        <w:ind w:firstLine="567"/>
        <w:jc w:val="center"/>
        <w:rPr>
          <w:i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wh</m:t>
            </m:r>
          </m:sub>
        </m:sSub>
      </m:oMath>
      <w:r w:rsidR="00FD28F5">
        <w:rPr>
          <w:iCs/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fuel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+CC</m:t>
            </m:r>
            <m:r>
              <w:rPr>
                <w:rFonts w:ascii="Cambria Math" w:hAnsi="Cambria Math" w:cs="Traditional Arabic"/>
                <w:sz w:val="28"/>
                <w:szCs w:val="28"/>
                <w:lang w:val="en-US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elec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  <m:r>
              <w:rPr>
                <w:rFonts w:ascii="Cambria Math" w:hAnsi="Cambria Math" w:cs="Traditional Arabic"/>
                <w:sz w:val="28"/>
                <w:szCs w:val="28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1-SCF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  <w:lang w:val="en-US"/>
                  </w:rPr>
                  <m:t>·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smart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cor</m:t>
                </m:r>
              </m:sub>
            </m:sSub>
          </m:den>
        </m:f>
      </m:oMath>
    </w:p>
    <w:p w:rsidR="007B5E20" w:rsidRDefault="007B5E20" w:rsidP="007B5E20">
      <w:pPr>
        <w:ind w:firstLine="567"/>
        <w:jc w:val="both"/>
        <w:rPr>
          <w:iCs/>
          <w:sz w:val="28"/>
          <w:szCs w:val="28"/>
          <w:lang w:val="en-US"/>
        </w:rPr>
      </w:pPr>
    </w:p>
    <w:p w:rsidR="005E590A" w:rsidRDefault="007B5E20" w:rsidP="004378E8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 w:rsidRPr="007B5E20">
        <w:rPr>
          <w:iCs/>
          <w:sz w:val="28"/>
          <w:szCs w:val="28"/>
          <w:lang w:val="uk-UA"/>
        </w:rPr>
        <w:lastRenderedPageBreak/>
        <w:t>Для водонагрівачів на основі теплових нас</w:t>
      </w:r>
      <w:r>
        <w:rPr>
          <w:iCs/>
          <w:sz w:val="28"/>
          <w:szCs w:val="28"/>
          <w:lang w:val="uk-UA"/>
        </w:rPr>
        <w:t>осів з передачею тепла від вод</w:t>
      </w:r>
      <w:r>
        <w:rPr>
          <w:iCs/>
          <w:sz w:val="28"/>
          <w:szCs w:val="28"/>
        </w:rPr>
        <w:t>но</w:t>
      </w:r>
      <w:r>
        <w:rPr>
          <w:iCs/>
          <w:sz w:val="28"/>
          <w:szCs w:val="28"/>
          <w:lang w:val="en-US"/>
        </w:rPr>
        <w:t>-</w:t>
      </w:r>
      <w:r w:rsidRPr="007B5E20">
        <w:rPr>
          <w:iCs/>
          <w:sz w:val="28"/>
          <w:szCs w:val="28"/>
          <w:lang w:val="uk-UA"/>
        </w:rPr>
        <w:t>сольового розчину до води необхідно враховувати споживання електроенергії одним або декількома насосами ґрунтових вод.</w:t>
      </w:r>
    </w:p>
    <w:p w:rsidR="007B5E20" w:rsidRPr="007B5E20" w:rsidRDefault="004E6E8B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="007B5E20">
        <w:rPr>
          <w:iCs/>
          <w:sz w:val="28"/>
          <w:szCs w:val="28"/>
          <w:lang w:val="uk-UA"/>
        </w:rPr>
        <w:t>)</w:t>
      </w:r>
      <w:r w:rsidR="007B5E20" w:rsidRPr="007B5E20">
        <w:t xml:space="preserve"> </w:t>
      </w:r>
      <w:r w:rsidR="007B5E20" w:rsidRPr="007B5E20">
        <w:rPr>
          <w:iCs/>
          <w:sz w:val="28"/>
          <w:szCs w:val="28"/>
          <w:lang w:val="uk-UA"/>
        </w:rPr>
        <w:t>Сонячні водонагрівачі</w:t>
      </w:r>
    </w:p>
    <w:p w:rsidR="005E590A" w:rsidRDefault="007B5E20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Енергоефективність</w:t>
      </w:r>
      <w:r w:rsidRPr="007B5E20">
        <w:rPr>
          <w:iCs/>
          <w:sz w:val="28"/>
          <w:szCs w:val="28"/>
          <w:lang w:val="uk-UA"/>
        </w:rPr>
        <w:t xml:space="preserve"> нагріву води</w:t>
      </w:r>
      <w:r w:rsidR="00044C01">
        <w:rPr>
          <w:iCs/>
          <w:sz w:val="28"/>
          <w:szCs w:val="28"/>
          <w:lang w:val="uk-UA"/>
        </w:rPr>
        <w:t xml:space="preserve"> розраховується наступним чином</w:t>
      </w:r>
    </w:p>
    <w:p w:rsidR="005E590A" w:rsidRPr="00044C01" w:rsidRDefault="0067369E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wh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0,6</m:t>
              </m:r>
              <m:r>
                <w:rPr>
                  <w:rFonts w:ascii="Cambria Math" w:hAnsi="Cambria Math" w:cs="Traditional Arabic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366</m:t>
              </m:r>
              <m:r>
                <w:rPr>
                  <w:rFonts w:ascii="Cambria Math" w:hAnsi="Cambria Math" w:cs="Traditional Arabic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tota</m:t>
                  </m:r>
                </m:sub>
              </m:sSub>
            </m:den>
          </m:f>
        </m:oMath>
      </m:oMathPara>
    </w:p>
    <w:p w:rsidR="00D764D9" w:rsidRDefault="00D764D9" w:rsidP="00D764D9">
      <w:pPr>
        <w:spacing w:line="276" w:lineRule="auto"/>
        <w:ind w:firstLine="567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>де</w:t>
      </w:r>
      <w:r>
        <w:rPr>
          <w:iCs/>
          <w:sz w:val="28"/>
          <w:szCs w:val="28"/>
          <w:lang w:val="en-US"/>
        </w:rPr>
        <w:t xml:space="preserve">    </w:t>
      </w:r>
    </w:p>
    <w:p w:rsidR="005E590A" w:rsidRDefault="00D764D9" w:rsidP="00044C01">
      <w:pPr>
        <w:spacing w:line="276" w:lineRule="auto"/>
        <w:ind w:firstLine="567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tota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nonsol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1,1</m:t>
            </m:r>
            <m:r>
              <w:rPr>
                <w:rFonts w:ascii="Cambria Math" w:hAnsi="Cambria Math" w:cs="Traditional Arabic"/>
                <w:sz w:val="28"/>
                <w:szCs w:val="28"/>
                <w:lang w:val="uk-UA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wh,nonsol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-0,1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aux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uk-UA"/>
          </w:rPr>
          <m:t>·</m:t>
        </m:r>
        <m:r>
          <w:rPr>
            <w:rFonts w:ascii="Cambria Math" w:hAnsi="Cambria Math"/>
            <w:sz w:val="28"/>
            <w:szCs w:val="28"/>
            <w:lang w:val="uk-UA"/>
          </w:rPr>
          <m:t>CC</m:t>
        </m:r>
      </m:oMath>
    </w:p>
    <w:p w:rsidR="00D764D9" w:rsidRPr="00D764D9" w:rsidRDefault="00D764D9" w:rsidP="003211EC">
      <w:pPr>
        <w:spacing w:after="24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4. </w:t>
      </w:r>
      <w:proofErr w:type="spellStart"/>
      <w:r w:rsidRPr="00D764D9">
        <w:rPr>
          <w:iCs/>
          <w:sz w:val="28"/>
          <w:szCs w:val="28"/>
        </w:rPr>
        <w:t>Визначення</w:t>
      </w:r>
      <w:proofErr w:type="spellEnd"/>
      <w:r w:rsidRPr="00D764D9">
        <w:rPr>
          <w:iCs/>
          <w:sz w:val="28"/>
          <w:szCs w:val="28"/>
        </w:rPr>
        <w:t xml:space="preserve"> </w:t>
      </w:r>
      <w:proofErr w:type="spellStart"/>
      <w:r w:rsidRPr="00D764D9">
        <w:rPr>
          <w:iCs/>
          <w:sz w:val="28"/>
          <w:szCs w:val="28"/>
        </w:rPr>
        <w:t>показника</w:t>
      </w:r>
      <w:proofErr w:type="spellEnd"/>
      <w:r w:rsidRPr="00D764D9">
        <w:rPr>
          <w:iCs/>
          <w:sz w:val="28"/>
          <w:szCs w:val="28"/>
        </w:rPr>
        <w:t xml:space="preserve"> </w:t>
      </w:r>
      <w:proofErr w:type="spellStart"/>
      <w:r w:rsidRPr="00D764D9">
        <w:rPr>
          <w:iCs/>
          <w:sz w:val="28"/>
          <w:szCs w:val="28"/>
        </w:rPr>
        <w:t>інтелектуального</w:t>
      </w:r>
      <w:proofErr w:type="spellEnd"/>
      <w:r w:rsidRPr="00D764D9">
        <w:rPr>
          <w:iCs/>
          <w:sz w:val="28"/>
          <w:szCs w:val="28"/>
        </w:rPr>
        <w:t xml:space="preserve"> </w:t>
      </w:r>
      <w:r w:rsidR="002073B5">
        <w:rPr>
          <w:iCs/>
          <w:sz w:val="28"/>
          <w:szCs w:val="28"/>
          <w:lang w:val="uk-UA"/>
        </w:rPr>
        <w:t>управління</w:t>
      </w:r>
      <w:r w:rsidRPr="00D764D9">
        <w:rPr>
          <w:sz w:val="28"/>
          <w:szCs w:val="28"/>
        </w:rPr>
        <w:t xml:space="preserve"> </w:t>
      </w:r>
      <w:r w:rsidRPr="00D764D9">
        <w:rPr>
          <w:i/>
          <w:iCs/>
          <w:sz w:val="28"/>
          <w:szCs w:val="28"/>
        </w:rPr>
        <w:t>SCF</w:t>
      </w:r>
      <w:r w:rsidRPr="00D76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 w:rsidRPr="00D764D9">
        <w:rPr>
          <w:iCs/>
          <w:sz w:val="28"/>
          <w:szCs w:val="28"/>
        </w:rPr>
        <w:t>відповідн</w:t>
      </w:r>
      <w:r>
        <w:rPr>
          <w:iCs/>
          <w:sz w:val="28"/>
          <w:szCs w:val="28"/>
        </w:rPr>
        <w:t>ост</w:t>
      </w:r>
      <w:proofErr w:type="spellEnd"/>
      <w:r>
        <w:rPr>
          <w:iCs/>
          <w:sz w:val="28"/>
          <w:szCs w:val="28"/>
          <w:lang w:val="uk-UA"/>
        </w:rPr>
        <w:t>і</w:t>
      </w:r>
      <w:r w:rsidRPr="00D764D9">
        <w:rPr>
          <w:iCs/>
          <w:sz w:val="28"/>
          <w:szCs w:val="28"/>
        </w:rPr>
        <w:t xml:space="preserve"> </w:t>
      </w:r>
      <w:proofErr w:type="spellStart"/>
      <w:r w:rsidRPr="00D764D9">
        <w:rPr>
          <w:iCs/>
          <w:sz w:val="28"/>
          <w:szCs w:val="28"/>
        </w:rPr>
        <w:t>інтелектуального</w:t>
      </w:r>
      <w:proofErr w:type="spellEnd"/>
      <w:r w:rsidRPr="00D764D9">
        <w:rPr>
          <w:iCs/>
          <w:sz w:val="28"/>
          <w:szCs w:val="28"/>
        </w:rPr>
        <w:t xml:space="preserve"> </w:t>
      </w:r>
      <w:r w:rsidR="002073B5">
        <w:rPr>
          <w:iCs/>
          <w:sz w:val="28"/>
          <w:szCs w:val="28"/>
          <w:lang w:val="uk-UA"/>
        </w:rPr>
        <w:t>управління</w:t>
      </w:r>
      <w:r w:rsidRPr="00D764D9">
        <w:t xml:space="preserve"> </w:t>
      </w:r>
      <w:proofErr w:type="spellStart"/>
      <w:r w:rsidRPr="00D764D9">
        <w:rPr>
          <w:i/>
          <w:iCs/>
          <w:sz w:val="28"/>
          <w:szCs w:val="28"/>
        </w:rPr>
        <w:t>smart</w:t>
      </w:r>
      <w:proofErr w:type="spellEnd"/>
    </w:p>
    <w:p w:rsidR="005E590A" w:rsidRDefault="004E6E8B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 w:rsidR="002B1110">
        <w:rPr>
          <w:iCs/>
          <w:sz w:val="28"/>
          <w:szCs w:val="28"/>
          <w:lang w:val="uk-UA"/>
        </w:rPr>
        <w:t>)</w:t>
      </w:r>
      <w:r w:rsidR="002B1110" w:rsidRPr="002B1110">
        <w:t xml:space="preserve"> </w:t>
      </w:r>
      <w:r w:rsidR="002B1110">
        <w:rPr>
          <w:iCs/>
          <w:sz w:val="28"/>
          <w:szCs w:val="28"/>
          <w:lang w:val="uk-UA"/>
        </w:rPr>
        <w:t>Показник</w:t>
      </w:r>
      <w:r w:rsidR="002B1110" w:rsidRPr="002B1110">
        <w:rPr>
          <w:iCs/>
          <w:sz w:val="28"/>
          <w:szCs w:val="28"/>
          <w:lang w:val="uk-UA"/>
        </w:rPr>
        <w:t xml:space="preserve"> інтелектуального </w:t>
      </w:r>
      <w:r w:rsidR="002073B5">
        <w:rPr>
          <w:iCs/>
          <w:sz w:val="28"/>
          <w:szCs w:val="28"/>
          <w:lang w:val="uk-UA"/>
        </w:rPr>
        <w:t>управління</w:t>
      </w:r>
      <w:r w:rsidR="002B1110">
        <w:rPr>
          <w:iCs/>
          <w:sz w:val="28"/>
          <w:szCs w:val="28"/>
          <w:lang w:val="uk-UA"/>
        </w:rPr>
        <w:t xml:space="preserve"> розраховується наступним чином:</w:t>
      </w:r>
    </w:p>
    <w:p w:rsidR="00127E8E" w:rsidRDefault="002B1110" w:rsidP="00044C01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SCF=1-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 w:eastAsia="ru-RU"/>
                    </w:rPr>
                    <m:t>fuel,week,smart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 w:eastAsia="ru-RU"/>
                </w:rPr>
                <m:t>+CC</m:t>
              </m:r>
              <m:r>
                <w:rPr>
                  <w:rFonts w:ascii="Cambria Math" w:hAnsi="Cambria Math" w:cs="Traditional Arabic"/>
                  <w:sz w:val="28"/>
                  <w:szCs w:val="28"/>
                  <w:lang w:val="uk-UA" w:eastAsia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 w:eastAsia="ru-RU"/>
                    </w:rPr>
                    <m:t>elec,week,smart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Palatino Linotype" w:hAnsi="Cambria Math"/>
                      <w:i/>
                      <w:color w:val="000000"/>
                      <w:sz w:val="28"/>
                      <w:szCs w:val="28"/>
                      <w:lang w:val="uk-UA" w:eastAsia="en-GB"/>
                    </w:rPr>
                  </m:ctrlPr>
                </m:sSubPr>
                <m:e>
                  <m:r>
                    <w:rPr>
                      <w:rFonts w:ascii="Cambria Math" w:eastAsia="Palatino Linotype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="Palatino Linotype" w:hAnsi="Cambria Math"/>
                      <w:sz w:val="28"/>
                      <w:szCs w:val="28"/>
                      <w:lang w:val="uk-UA"/>
                    </w:rPr>
                    <m:t>fuel,week</m:t>
                  </m:r>
                </m:sub>
              </m:sSub>
              <m:r>
                <w:rPr>
                  <w:rFonts w:ascii="Cambria Math" w:eastAsia="Palatino Linotype" w:hAnsi="Cambria Math"/>
                  <w:color w:val="000000"/>
                  <w:sz w:val="28"/>
                  <w:szCs w:val="28"/>
                  <w:lang w:val="uk-UA" w:eastAsia="en-GB"/>
                </w:rPr>
                <m:t>+CC</m:t>
              </m:r>
              <m:r>
                <w:rPr>
                  <w:rFonts w:ascii="Cambria Math" w:eastAsia="Palatino Linotype" w:hAnsi="Cambria Math" w:cs="Traditional Arabic"/>
                  <w:color w:val="000000"/>
                  <w:sz w:val="28"/>
                  <w:szCs w:val="28"/>
                  <w:lang w:val="uk-UA" w:eastAsia="en-GB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 w:eastAsia="ru-RU"/>
                    </w:rPr>
                    <m:t>elec,week</m:t>
                  </m:r>
                </m:sub>
              </m:sSub>
            </m:den>
          </m:f>
        </m:oMath>
      </m:oMathPara>
    </w:p>
    <w:p w:rsidR="002B1110" w:rsidRPr="002B1110" w:rsidRDefault="004E6E8B" w:rsidP="00044C01">
      <w:pPr>
        <w:spacing w:after="240"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="002B1110">
        <w:rPr>
          <w:iCs/>
          <w:sz w:val="28"/>
          <w:szCs w:val="28"/>
        </w:rPr>
        <w:t xml:space="preserve">) </w:t>
      </w:r>
      <w:proofErr w:type="spellStart"/>
      <w:r w:rsidR="002B1110" w:rsidRPr="002B1110">
        <w:rPr>
          <w:iCs/>
          <w:sz w:val="28"/>
          <w:szCs w:val="28"/>
        </w:rPr>
        <w:t>Якщо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proofErr w:type="spellStart"/>
      <w:r w:rsidR="002B1110" w:rsidRPr="002B1110">
        <w:rPr>
          <w:iCs/>
          <w:sz w:val="28"/>
          <w:szCs w:val="28"/>
        </w:rPr>
        <w:t>показник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r w:rsidR="002B1110" w:rsidRPr="002B1110">
        <w:rPr>
          <w:i/>
          <w:iCs/>
          <w:sz w:val="28"/>
          <w:szCs w:val="28"/>
        </w:rPr>
        <w:t>SCF</w:t>
      </w:r>
      <w:r w:rsidR="002B1110" w:rsidRPr="002B1110">
        <w:rPr>
          <w:iCs/>
          <w:sz w:val="28"/>
          <w:szCs w:val="28"/>
        </w:rPr>
        <w:t xml:space="preserve"> ≥ 0,07, </w:t>
      </w:r>
      <w:proofErr w:type="spellStart"/>
      <w:r w:rsidR="002B1110" w:rsidRPr="002B1110">
        <w:rPr>
          <w:iCs/>
          <w:sz w:val="28"/>
          <w:szCs w:val="28"/>
        </w:rPr>
        <w:t>значення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proofErr w:type="spellStart"/>
      <w:r w:rsidR="002B1110" w:rsidRPr="002B1110">
        <w:rPr>
          <w:i/>
          <w:iCs/>
          <w:sz w:val="28"/>
          <w:szCs w:val="28"/>
        </w:rPr>
        <w:t>smart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r w:rsidR="002B1110">
        <w:rPr>
          <w:iCs/>
          <w:sz w:val="28"/>
          <w:szCs w:val="28"/>
        </w:rPr>
        <w:t>повинно</w:t>
      </w:r>
      <w:r w:rsidR="002B1110" w:rsidRPr="002B1110">
        <w:rPr>
          <w:iCs/>
          <w:sz w:val="28"/>
          <w:szCs w:val="28"/>
        </w:rPr>
        <w:t xml:space="preserve"> </w:t>
      </w:r>
      <w:r w:rsidR="002B1110">
        <w:rPr>
          <w:iCs/>
          <w:sz w:val="28"/>
          <w:szCs w:val="28"/>
        </w:rPr>
        <w:t>дор</w:t>
      </w:r>
      <w:proofErr w:type="spellStart"/>
      <w:r w:rsidR="002B1110">
        <w:rPr>
          <w:iCs/>
          <w:sz w:val="28"/>
          <w:szCs w:val="28"/>
          <w:lang w:val="uk-UA"/>
        </w:rPr>
        <w:t>івнювати</w:t>
      </w:r>
      <w:proofErr w:type="spellEnd"/>
      <w:r w:rsidR="002B1110" w:rsidRPr="002B1110">
        <w:rPr>
          <w:iCs/>
          <w:sz w:val="28"/>
          <w:szCs w:val="28"/>
        </w:rPr>
        <w:t xml:space="preserve"> 1. В </w:t>
      </w:r>
      <w:proofErr w:type="spellStart"/>
      <w:r w:rsidR="002B1110" w:rsidRPr="002B1110">
        <w:rPr>
          <w:iCs/>
          <w:sz w:val="28"/>
          <w:szCs w:val="28"/>
        </w:rPr>
        <w:t>інших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proofErr w:type="spellStart"/>
      <w:r w:rsidR="002B1110" w:rsidRPr="002B1110">
        <w:rPr>
          <w:iCs/>
          <w:sz w:val="28"/>
          <w:szCs w:val="28"/>
        </w:rPr>
        <w:t>випадках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proofErr w:type="spellStart"/>
      <w:r w:rsidR="002B1110" w:rsidRPr="002B1110">
        <w:rPr>
          <w:iCs/>
          <w:sz w:val="28"/>
          <w:szCs w:val="28"/>
        </w:rPr>
        <w:t>значення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proofErr w:type="spellStart"/>
      <w:r w:rsidR="002B1110" w:rsidRPr="002B1110">
        <w:rPr>
          <w:i/>
          <w:iCs/>
          <w:sz w:val="28"/>
          <w:szCs w:val="28"/>
        </w:rPr>
        <w:t>smart</w:t>
      </w:r>
      <w:proofErr w:type="spellEnd"/>
      <w:r w:rsidR="002B1110" w:rsidRPr="002B1110">
        <w:rPr>
          <w:iCs/>
          <w:sz w:val="28"/>
          <w:szCs w:val="28"/>
        </w:rPr>
        <w:t xml:space="preserve"> </w:t>
      </w:r>
      <w:r w:rsidR="002B1110">
        <w:rPr>
          <w:iCs/>
          <w:sz w:val="28"/>
          <w:szCs w:val="28"/>
          <w:lang w:val="uk-UA"/>
        </w:rPr>
        <w:t>повинно</w:t>
      </w:r>
      <w:r w:rsidR="002B1110" w:rsidRPr="002B1110">
        <w:rPr>
          <w:iCs/>
          <w:sz w:val="28"/>
          <w:szCs w:val="28"/>
        </w:rPr>
        <w:t xml:space="preserve"> </w:t>
      </w:r>
      <w:r w:rsidR="002B1110">
        <w:rPr>
          <w:iCs/>
          <w:sz w:val="28"/>
          <w:szCs w:val="28"/>
          <w:lang w:val="uk-UA"/>
        </w:rPr>
        <w:t>дорівнювати</w:t>
      </w:r>
      <w:r w:rsidR="002B1110" w:rsidRPr="002B1110">
        <w:rPr>
          <w:iCs/>
          <w:sz w:val="28"/>
          <w:szCs w:val="28"/>
        </w:rPr>
        <w:t xml:space="preserve"> 0</w:t>
      </w:r>
      <w:r w:rsidR="002B1110">
        <w:rPr>
          <w:iCs/>
          <w:sz w:val="28"/>
          <w:szCs w:val="28"/>
          <w:lang w:val="uk-UA"/>
        </w:rPr>
        <w:t>.</w:t>
      </w:r>
    </w:p>
    <w:p w:rsidR="005E590A" w:rsidRDefault="002B1110" w:rsidP="00044C01">
      <w:pPr>
        <w:spacing w:after="240"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rFonts w:eastAsia="Palatino Linotype"/>
          <w:sz w:val="28"/>
          <w:szCs w:val="28"/>
          <w:lang w:val="uk-UA"/>
        </w:rPr>
        <w:t xml:space="preserve">5. Визначення </w:t>
      </w:r>
      <w:r w:rsidRPr="002B1110">
        <w:rPr>
          <w:rFonts w:eastAsia="Palatino Linotype"/>
          <w:sz w:val="28"/>
          <w:szCs w:val="28"/>
          <w:lang w:val="uk-UA"/>
        </w:rPr>
        <w:t>коригувальн</w:t>
      </w:r>
      <w:r>
        <w:rPr>
          <w:rFonts w:eastAsia="Palatino Linotype"/>
          <w:sz w:val="28"/>
          <w:szCs w:val="28"/>
          <w:lang w:val="uk-UA"/>
        </w:rPr>
        <w:t>ого</w:t>
      </w:r>
      <w:r w:rsidRPr="002B1110">
        <w:rPr>
          <w:rFonts w:eastAsia="Palatino Linotype"/>
          <w:sz w:val="28"/>
          <w:szCs w:val="28"/>
          <w:lang w:val="uk-UA"/>
        </w:rPr>
        <w:t xml:space="preserve"> коефіцієнт</w:t>
      </w:r>
      <w:r>
        <w:rPr>
          <w:rFonts w:eastAsia="Palatino Linotype"/>
          <w:sz w:val="28"/>
          <w:szCs w:val="28"/>
          <w:lang w:val="uk-UA"/>
        </w:rPr>
        <w:t>а</w:t>
      </w:r>
      <w:r w:rsidRPr="002B1110">
        <w:rPr>
          <w:rFonts w:eastAsia="Palatino Linotype"/>
          <w:sz w:val="28"/>
          <w:szCs w:val="28"/>
          <w:lang w:val="uk-UA"/>
        </w:rPr>
        <w:t xml:space="preserve"> з огляду на температуру </w:t>
      </w:r>
      <w:r>
        <w:rPr>
          <w:rFonts w:eastAsia="Palatino Linotype"/>
          <w:sz w:val="28"/>
          <w:szCs w:val="28"/>
          <w:lang w:val="uk-UA"/>
        </w:rPr>
        <w:t xml:space="preserve">навколишнього середовища </w:t>
      </w:r>
      <m:oMath>
        <m:sSub>
          <m:sSubPr>
            <m:ctrlPr>
              <w:rPr>
                <w:rFonts w:ascii="Cambria Math" w:eastAsia="Palatino Linotype" w:hAnsi="Cambria Math"/>
                <w:i/>
                <w:color w:val="000000"/>
                <w:sz w:val="28"/>
                <w:szCs w:val="28"/>
                <w:lang w:val="uk-UA" w:eastAsia="en-GB"/>
              </w:rPr>
            </m:ctrlPr>
          </m:sSubPr>
          <m:e>
            <m:r>
              <w:rPr>
                <w:rFonts w:ascii="Cambria Math" w:eastAsia="Palatino Linotype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Palatino Linotype" w:hAnsi="Cambria Math"/>
                <w:sz w:val="28"/>
                <w:szCs w:val="28"/>
                <w:lang w:val="uk-UA"/>
              </w:rPr>
              <m:t>cor</m:t>
            </m:r>
          </m:sub>
        </m:sSub>
      </m:oMath>
    </w:p>
    <w:p w:rsidR="005E590A" w:rsidRDefault="002B1110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</w:t>
      </w:r>
      <w:r w:rsidRPr="002B1110">
        <w:rPr>
          <w:iCs/>
          <w:sz w:val="28"/>
          <w:szCs w:val="28"/>
          <w:lang w:val="uk-UA"/>
        </w:rPr>
        <w:t>оригувальн</w:t>
      </w:r>
      <w:r>
        <w:rPr>
          <w:iCs/>
          <w:sz w:val="28"/>
          <w:szCs w:val="28"/>
          <w:lang w:val="uk-UA"/>
        </w:rPr>
        <w:t>ий коефіцієнт</w:t>
      </w:r>
      <w:r w:rsidRPr="002B1110">
        <w:rPr>
          <w:iCs/>
          <w:sz w:val="28"/>
          <w:szCs w:val="28"/>
          <w:lang w:val="uk-UA"/>
        </w:rPr>
        <w:t xml:space="preserve"> з огляду на температуру навколишнього середовища</w:t>
      </w:r>
      <w:r>
        <w:rPr>
          <w:iCs/>
          <w:sz w:val="28"/>
          <w:szCs w:val="28"/>
          <w:lang w:val="uk-UA"/>
        </w:rPr>
        <w:t xml:space="preserve"> розраховується наступним чином:</w:t>
      </w:r>
    </w:p>
    <w:p w:rsidR="002B1110" w:rsidRDefault="004E6E8B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 w:rsidR="002B1110">
        <w:rPr>
          <w:iCs/>
          <w:sz w:val="28"/>
          <w:szCs w:val="28"/>
          <w:lang w:val="uk-UA"/>
        </w:rPr>
        <w:t xml:space="preserve">) </w:t>
      </w:r>
      <w:r w:rsidR="002B1110" w:rsidRPr="002B1110">
        <w:rPr>
          <w:iCs/>
          <w:sz w:val="28"/>
          <w:szCs w:val="28"/>
          <w:lang w:val="uk-UA"/>
        </w:rPr>
        <w:t xml:space="preserve"> для звичайних водонагрівачів, </w:t>
      </w:r>
      <w:r w:rsidR="002B1110">
        <w:rPr>
          <w:iCs/>
          <w:sz w:val="28"/>
          <w:szCs w:val="28"/>
          <w:lang w:val="uk-UA"/>
        </w:rPr>
        <w:t>що використовують</w:t>
      </w:r>
      <w:r w:rsidR="002B1110" w:rsidRPr="002B1110">
        <w:rPr>
          <w:iCs/>
          <w:sz w:val="28"/>
          <w:szCs w:val="28"/>
          <w:lang w:val="uk-UA"/>
        </w:rPr>
        <w:t xml:space="preserve"> елек</w:t>
      </w:r>
      <w:r w:rsidR="002B1110">
        <w:rPr>
          <w:iCs/>
          <w:sz w:val="28"/>
          <w:szCs w:val="28"/>
          <w:lang w:val="uk-UA"/>
        </w:rPr>
        <w:t>тричну енергію</w:t>
      </w:r>
      <w:r w:rsidR="002B1110" w:rsidRPr="002B1110">
        <w:rPr>
          <w:iCs/>
          <w:sz w:val="28"/>
          <w:szCs w:val="28"/>
          <w:lang w:val="uk-UA"/>
        </w:rPr>
        <w:t>:</w:t>
      </w:r>
    </w:p>
    <w:p w:rsidR="002B1110" w:rsidRPr="001A0CE8" w:rsidRDefault="0067369E" w:rsidP="007B5E20">
      <w:pPr>
        <w:spacing w:line="276" w:lineRule="auto"/>
        <w:ind w:firstLine="567"/>
        <w:jc w:val="both"/>
        <w:rPr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cor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=-k</m:t>
          </m:r>
          <m:r>
            <w:rPr>
              <w:rFonts w:ascii="Cambria Math" w:hAnsi="Cambria Math" w:cs="Traditional Arabic"/>
              <w:sz w:val="28"/>
              <w:szCs w:val="28"/>
              <w:lang w:val="uk-UA"/>
            </w:rPr>
            <m:t>·</m:t>
          </m:r>
          <m:r>
            <w:rPr>
              <w:rFonts w:ascii="Cambria Math" w:hAnsi="Cambria Math"/>
              <w:sz w:val="28"/>
              <w:szCs w:val="28"/>
              <w:lang w:val="uk-UA"/>
            </w:rPr>
            <m:t>(CC</m:t>
          </m:r>
          <m:r>
            <w:rPr>
              <w:rFonts w:ascii="Cambria Math" w:hAnsi="Cambria Math" w:cs="Traditional Arabic"/>
              <w:sz w:val="28"/>
              <w:szCs w:val="28"/>
              <w:lang w:val="uk-UA"/>
            </w:rPr>
            <m:t>·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elec</m:t>
                  </m:r>
                </m:sub>
              </m:sSub>
              <m:r>
                <w:rPr>
                  <w:rFonts w:ascii="Cambria Math" w:hAnsi="Cambria Math" w:cs="Traditional Arabic"/>
                  <w:sz w:val="28"/>
                  <w:szCs w:val="28"/>
                  <w:lang w:val="uk-UA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1-SCF</m:t>
                  </m:r>
                  <m:r>
                    <w:rPr>
                      <w:rFonts w:ascii="Cambria Math" w:hAnsi="Cambria Math" w:cs="Traditional Arabic"/>
                      <w:sz w:val="28"/>
                      <w:szCs w:val="28"/>
                      <w:lang w:val="uk-UA"/>
                    </w:rPr>
                    <m:t>·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smart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ref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)</m:t>
          </m:r>
        </m:oMath>
      </m:oMathPara>
    </w:p>
    <w:p w:rsidR="001A0CE8" w:rsidRPr="001A0CE8" w:rsidRDefault="004E6E8B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="001A0CE8" w:rsidRPr="001A0CE8">
        <w:rPr>
          <w:iCs/>
          <w:sz w:val="28"/>
          <w:szCs w:val="28"/>
          <w:lang w:val="uk-UA"/>
        </w:rPr>
        <w:t>) для звичайних водонагрівачів, що працюють на паливі:</w:t>
      </w:r>
    </w:p>
    <w:p w:rsidR="001A0CE8" w:rsidRPr="001A0CE8" w:rsidRDefault="0067369E" w:rsidP="001A0CE8">
      <w:pPr>
        <w:spacing w:line="276" w:lineRule="auto"/>
        <w:ind w:firstLine="567"/>
        <w:jc w:val="both"/>
        <w:rPr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cor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=-k</m:t>
          </m:r>
          <m:r>
            <w:rPr>
              <w:rFonts w:ascii="Cambria Math" w:hAnsi="Cambria Math" w:cs="Traditional Arabic"/>
              <w:sz w:val="28"/>
              <w:szCs w:val="28"/>
              <w:lang w:val="uk-UA"/>
            </w:rPr>
            <m:t>·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fuel</m:t>
                  </m:r>
                </m:sub>
              </m:sSub>
              <m:r>
                <w:rPr>
                  <w:rFonts w:ascii="Cambria Math" w:hAnsi="Cambria Math" w:cs="Traditional Arabic"/>
                  <w:sz w:val="28"/>
                  <w:szCs w:val="28"/>
                  <w:lang w:val="uk-UA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1-SCF</m:t>
                  </m:r>
                  <m:r>
                    <w:rPr>
                      <w:rFonts w:ascii="Cambria Math" w:hAnsi="Cambria Math" w:cs="Traditional Arabic"/>
                      <w:sz w:val="28"/>
                      <w:szCs w:val="28"/>
                      <w:lang w:val="uk-UA"/>
                    </w:rPr>
                    <m:t>·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smart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ref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)</m:t>
          </m:r>
        </m:oMath>
      </m:oMathPara>
    </w:p>
    <w:p w:rsidR="005E590A" w:rsidRPr="001A0CE8" w:rsidRDefault="004E6E8B" w:rsidP="007B5E20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bookmarkStart w:id="0" w:name="_GoBack"/>
      <w:bookmarkEnd w:id="0"/>
      <w:r w:rsidR="001A0CE8" w:rsidRPr="001A0CE8">
        <w:rPr>
          <w:iCs/>
          <w:sz w:val="28"/>
          <w:szCs w:val="28"/>
          <w:lang w:val="uk-UA"/>
        </w:rPr>
        <w:t>) для водонагрівачів на основі теплових насосів:</w:t>
      </w:r>
    </w:p>
    <w:p w:rsidR="005E590A" w:rsidRPr="00D76E62" w:rsidRDefault="0067369E" w:rsidP="00D76E62">
      <w:pPr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cor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=-k</m:t>
          </m:r>
          <m:r>
            <w:rPr>
              <w:rFonts w:ascii="Cambria Math" w:hAnsi="Cambria Math" w:cs="Traditional Arabic"/>
              <w:sz w:val="28"/>
              <w:szCs w:val="28"/>
              <w:lang w:val="uk-UA"/>
            </w:rPr>
            <m:t>·</m:t>
          </m:r>
          <m:r>
            <w:rPr>
              <w:rFonts w:ascii="Cambria Math" w:hAnsi="Cambria Math"/>
              <w:sz w:val="28"/>
              <w:szCs w:val="28"/>
              <w:lang w:val="uk-UA"/>
            </w:rPr>
            <m:t>24</m:t>
          </m:r>
          <m:r>
            <w:rPr>
              <w:rFonts w:ascii="Cambria Math" w:hAnsi="Cambria Math"/>
              <w:sz w:val="28"/>
              <w:szCs w:val="28"/>
              <w:lang w:val="en-US"/>
            </w:rPr>
            <m:t>h</m:t>
          </m:r>
          <m:r>
            <w:rPr>
              <w:rFonts w:ascii="Cambria Math" w:hAnsi="Cambria Math" w:cs="Traditional Arabic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stby</m:t>
              </m:r>
            </m:sub>
          </m:sSub>
        </m:oMath>
      </m:oMathPara>
    </w:p>
    <w:p w:rsidR="005E590A" w:rsidRPr="001A0CE8" w:rsidRDefault="001A0CE8" w:rsidP="001A0CE8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де </w:t>
      </w:r>
      <m:oMath>
        <m:r>
          <w:rPr>
            <w:rFonts w:ascii="Cambria Math" w:hAnsi="Cambria Math"/>
            <w:sz w:val="28"/>
            <w:szCs w:val="28"/>
            <w:lang w:val="uk-UA"/>
          </w:rPr>
          <m:t>k</m:t>
        </m:r>
      </m:oMath>
      <w:r>
        <w:rPr>
          <w:iCs/>
          <w:sz w:val="28"/>
          <w:szCs w:val="28"/>
          <w:lang w:val="uk-UA"/>
        </w:rPr>
        <w:t xml:space="preserve"> –</w:t>
      </w:r>
      <w:r w:rsidRPr="001A0CE8">
        <w:rPr>
          <w:iCs/>
          <w:sz w:val="28"/>
          <w:szCs w:val="28"/>
          <w:lang w:val="uk-UA"/>
        </w:rPr>
        <w:t xml:space="preserve"> значення</w:t>
      </w:r>
      <w:r w:rsidR="00D76E62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зазначені у т</w:t>
      </w:r>
      <w:r w:rsidRPr="001A0CE8">
        <w:rPr>
          <w:iCs/>
          <w:sz w:val="28"/>
          <w:szCs w:val="28"/>
          <w:lang w:val="uk-UA"/>
        </w:rPr>
        <w:t xml:space="preserve">аблиці 6 для кожного </w:t>
      </w:r>
      <w:proofErr w:type="gramStart"/>
      <w:r w:rsidRPr="001A0CE8">
        <w:rPr>
          <w:iCs/>
          <w:sz w:val="28"/>
          <w:szCs w:val="28"/>
          <w:lang w:val="uk-UA"/>
        </w:rPr>
        <w:t>проф</w:t>
      </w:r>
      <w:proofErr w:type="gramEnd"/>
      <w:r w:rsidRPr="001A0CE8">
        <w:rPr>
          <w:iCs/>
          <w:sz w:val="28"/>
          <w:szCs w:val="28"/>
          <w:lang w:val="uk-UA"/>
        </w:rPr>
        <w:t>ілю навантаження.</w:t>
      </w:r>
    </w:p>
    <w:p w:rsidR="001A0CE8" w:rsidRPr="001A0CE8" w:rsidRDefault="001A0CE8" w:rsidP="001A0CE8">
      <w:pPr>
        <w:ind w:firstLine="567"/>
        <w:jc w:val="right"/>
        <w:rPr>
          <w:iCs/>
          <w:sz w:val="28"/>
          <w:szCs w:val="28"/>
          <w:lang w:val="uk-UA"/>
        </w:rPr>
      </w:pPr>
      <w:r w:rsidRPr="001A0CE8">
        <w:rPr>
          <w:iCs/>
          <w:sz w:val="28"/>
          <w:szCs w:val="28"/>
          <w:lang w:val="uk-UA"/>
        </w:rPr>
        <w:t>Таблиця 6</w:t>
      </w:r>
    </w:p>
    <w:p w:rsidR="005E590A" w:rsidRPr="001A0CE8" w:rsidRDefault="001A0CE8" w:rsidP="001A0CE8">
      <w:pPr>
        <w:ind w:firstLine="567"/>
        <w:jc w:val="center"/>
        <w:rPr>
          <w:iCs/>
          <w:sz w:val="28"/>
          <w:szCs w:val="28"/>
          <w:lang w:val="uk-UA"/>
        </w:rPr>
      </w:pPr>
      <w:r w:rsidRPr="001A0CE8">
        <w:rPr>
          <w:iCs/>
          <w:sz w:val="28"/>
          <w:szCs w:val="28"/>
          <w:lang w:val="uk-UA"/>
        </w:rPr>
        <w:t xml:space="preserve">Значення </w:t>
      </w:r>
      <m:oMath>
        <m:r>
          <w:rPr>
            <w:rFonts w:ascii="Cambria Math" w:hAnsi="Cambria Math"/>
            <w:sz w:val="28"/>
            <w:szCs w:val="28"/>
            <w:lang w:val="uk-UA"/>
          </w:rPr>
          <m:t>k</m:t>
        </m:r>
      </m:oMath>
      <w:r w:rsidRPr="001A0CE8">
        <w:rPr>
          <w:iCs/>
          <w:sz w:val="28"/>
          <w:szCs w:val="28"/>
          <w:lang w:val="uk-UA"/>
        </w:rPr>
        <w:t xml:space="preserve"> 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1A0CE8" w:rsidRPr="001A0CE8" w:rsidTr="00127E8E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1A0CE8" w:rsidRPr="001A0CE8" w:rsidRDefault="001A0CE8" w:rsidP="001A0CE8">
            <w:pPr>
              <w:autoSpaceDE/>
              <w:autoSpaceDN/>
              <w:contextualSpacing/>
              <w:rPr>
                <w:rFonts w:ascii="Palatino Linotype" w:hAnsi="Palatino Linotype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3XS</w:t>
            </w: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XXS</w:t>
            </w:r>
          </w:p>
        </w:tc>
        <w:tc>
          <w:tcPr>
            <w:tcW w:w="708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XS</w:t>
            </w: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M</w:t>
            </w: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L</w:t>
            </w:r>
          </w:p>
        </w:tc>
        <w:tc>
          <w:tcPr>
            <w:tcW w:w="708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XL</w:t>
            </w: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XXL</w:t>
            </w:r>
          </w:p>
        </w:tc>
        <w:tc>
          <w:tcPr>
            <w:tcW w:w="709" w:type="dxa"/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3XL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b/>
                <w:bCs/>
                <w:sz w:val="18"/>
                <w:szCs w:val="18"/>
                <w:lang w:val="uk-UA"/>
              </w:rPr>
              <w:t>4XL</w:t>
            </w:r>
          </w:p>
        </w:tc>
      </w:tr>
      <w:tr w:rsidR="001A0CE8" w:rsidRPr="001A0CE8" w:rsidTr="00127E8E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1A0CE8" w:rsidRPr="001A0CE8" w:rsidRDefault="001A0CE8" w:rsidP="001A0CE8">
            <w:pPr>
              <w:autoSpaceDE/>
              <w:autoSpaceDN/>
              <w:contextualSpacing/>
              <w:rPr>
                <w:rFonts w:ascii="Palatino Linotype" w:hAnsi="Palatino Linotype"/>
                <w:i/>
                <w:sz w:val="18"/>
                <w:szCs w:val="1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k</m:t>
                </m:r>
              </m:oMath>
            </m:oMathPara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8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8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0,23</w:t>
            </w:r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0,0</w:t>
            </w:r>
          </w:p>
        </w:tc>
        <w:tc>
          <w:tcPr>
            <w:tcW w:w="709" w:type="dxa"/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A0CE8" w:rsidRPr="001A0CE8" w:rsidRDefault="001A0CE8" w:rsidP="001A0CE8">
            <w:pPr>
              <w:adjustRightInd w:val="0"/>
              <w:jc w:val="center"/>
              <w:rPr>
                <w:rFonts w:ascii="Palatino Linotype" w:hAnsi="Palatino Linotype"/>
                <w:sz w:val="18"/>
                <w:szCs w:val="18"/>
                <w:lang w:val="uk-UA"/>
              </w:rPr>
            </w:pPr>
            <w:r w:rsidRPr="001A0CE8">
              <w:rPr>
                <w:rFonts w:ascii="Palatino Linotype" w:hAnsi="Palatino Linotype"/>
                <w:sz w:val="18"/>
                <w:szCs w:val="18"/>
                <w:lang w:val="uk-UA"/>
              </w:rPr>
              <w:t>0,0</w:t>
            </w:r>
          </w:p>
        </w:tc>
      </w:tr>
    </w:tbl>
    <w:p w:rsidR="005E590A" w:rsidRPr="001A0CE8" w:rsidRDefault="005E590A" w:rsidP="00D234DA">
      <w:pPr>
        <w:ind w:firstLine="567"/>
        <w:jc w:val="both"/>
        <w:rPr>
          <w:iCs/>
          <w:sz w:val="28"/>
          <w:szCs w:val="28"/>
          <w:lang w:val="uk-UA"/>
        </w:rPr>
      </w:pPr>
    </w:p>
    <w:p w:rsidR="007C40C5" w:rsidRPr="001A0CE8" w:rsidRDefault="00044C01" w:rsidP="00044C01">
      <w:pPr>
        <w:widowControl w:val="0"/>
        <w:autoSpaceDE/>
        <w:autoSpaceDN/>
        <w:rPr>
          <w:rFonts w:ascii="Courier New" w:eastAsia="Courier New" w:hAnsi="Courier New" w:cs="Courier New"/>
          <w:color w:val="000000"/>
          <w:sz w:val="24"/>
          <w:szCs w:val="24"/>
          <w:lang w:val="uk-UA" w:eastAsia="en-GB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</w:t>
      </w:r>
      <w:r w:rsidR="007C40C5" w:rsidRPr="001A0CE8">
        <w:rPr>
          <w:rFonts w:ascii="Courier New" w:eastAsia="Courier New" w:hAnsi="Courier New" w:cs="Courier New"/>
          <w:color w:val="000000"/>
          <w:sz w:val="24"/>
          <w:szCs w:val="24"/>
          <w:lang w:val="uk-UA" w:eastAsia="en-GB"/>
        </w:rPr>
        <w:t>_____________</w:t>
      </w:r>
    </w:p>
    <w:sectPr w:rsidR="007C40C5" w:rsidRPr="001A0CE8" w:rsidSect="00F97C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9E" w:rsidRDefault="0067369E" w:rsidP="00957C66">
      <w:r>
        <w:separator/>
      </w:r>
    </w:p>
  </w:endnote>
  <w:endnote w:type="continuationSeparator" w:id="0">
    <w:p w:rsidR="0067369E" w:rsidRDefault="0067369E" w:rsidP="009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9E" w:rsidRDefault="0067369E" w:rsidP="00957C66">
      <w:r>
        <w:separator/>
      </w:r>
    </w:p>
  </w:footnote>
  <w:footnote w:type="continuationSeparator" w:id="0">
    <w:p w:rsidR="0067369E" w:rsidRDefault="0067369E" w:rsidP="0095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0639"/>
      <w:docPartObj>
        <w:docPartGallery w:val="Page Numbers (Top of Page)"/>
        <w:docPartUnique/>
      </w:docPartObj>
    </w:sdtPr>
    <w:sdtEndPr/>
    <w:sdtContent>
      <w:p w:rsidR="00F97C0F" w:rsidRDefault="00F97C0F" w:rsidP="00F97C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E8B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 Продовження додатку 4</w:t>
        </w:r>
      </w:p>
    </w:sdtContent>
  </w:sdt>
  <w:p w:rsidR="00957C66" w:rsidRPr="00957C66" w:rsidRDefault="00957C66" w:rsidP="00957C66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C66F78"/>
    <w:lvl w:ilvl="0">
      <w:numFmt w:val="bullet"/>
      <w:lvlText w:val="*"/>
      <w:lvlJc w:val="left"/>
    </w:lvl>
  </w:abstractNum>
  <w:abstractNum w:abstractNumId="1">
    <w:nsid w:val="244E7834"/>
    <w:multiLevelType w:val="hybridMultilevel"/>
    <w:tmpl w:val="8C16A4E8"/>
    <w:lvl w:ilvl="0" w:tplc="FFB2D3C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2E53DC"/>
    <w:multiLevelType w:val="hybridMultilevel"/>
    <w:tmpl w:val="360CC996"/>
    <w:lvl w:ilvl="0" w:tplc="95080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5579B1"/>
    <w:multiLevelType w:val="hybridMultilevel"/>
    <w:tmpl w:val="175EBABE"/>
    <w:lvl w:ilvl="0" w:tplc="CB30A2D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Book Antiqua" w:hAnsi="Book Antiqua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12"/>
    <w:rsid w:val="00044C01"/>
    <w:rsid w:val="000552DC"/>
    <w:rsid w:val="000D4BEF"/>
    <w:rsid w:val="00127E8E"/>
    <w:rsid w:val="00186E59"/>
    <w:rsid w:val="001A0CE8"/>
    <w:rsid w:val="001F4874"/>
    <w:rsid w:val="002073B5"/>
    <w:rsid w:val="002A089D"/>
    <w:rsid w:val="002A45E6"/>
    <w:rsid w:val="002B1110"/>
    <w:rsid w:val="00300770"/>
    <w:rsid w:val="003132BA"/>
    <w:rsid w:val="003140A7"/>
    <w:rsid w:val="003211EC"/>
    <w:rsid w:val="0037705E"/>
    <w:rsid w:val="003F67C2"/>
    <w:rsid w:val="004126B1"/>
    <w:rsid w:val="004378E8"/>
    <w:rsid w:val="00441A4F"/>
    <w:rsid w:val="00472BD6"/>
    <w:rsid w:val="00485A12"/>
    <w:rsid w:val="004B4333"/>
    <w:rsid w:val="004B77CE"/>
    <w:rsid w:val="004E6E8B"/>
    <w:rsid w:val="00507909"/>
    <w:rsid w:val="0056518F"/>
    <w:rsid w:val="00573D5E"/>
    <w:rsid w:val="005E0AC2"/>
    <w:rsid w:val="005E590A"/>
    <w:rsid w:val="0067369E"/>
    <w:rsid w:val="006D4488"/>
    <w:rsid w:val="006E55E6"/>
    <w:rsid w:val="007B5E20"/>
    <w:rsid w:val="007C40C5"/>
    <w:rsid w:val="00842A5F"/>
    <w:rsid w:val="0092468B"/>
    <w:rsid w:val="00957C66"/>
    <w:rsid w:val="009C64CD"/>
    <w:rsid w:val="00A256B0"/>
    <w:rsid w:val="00A31B1A"/>
    <w:rsid w:val="00B053F1"/>
    <w:rsid w:val="00B15BD7"/>
    <w:rsid w:val="00BB1BD0"/>
    <w:rsid w:val="00D055B7"/>
    <w:rsid w:val="00D234DA"/>
    <w:rsid w:val="00D764D9"/>
    <w:rsid w:val="00D76E62"/>
    <w:rsid w:val="00DA3831"/>
    <w:rsid w:val="00DB7CF0"/>
    <w:rsid w:val="00E36EE3"/>
    <w:rsid w:val="00EE38F6"/>
    <w:rsid w:val="00EE65BA"/>
    <w:rsid w:val="00F42085"/>
    <w:rsid w:val="00F65292"/>
    <w:rsid w:val="00F83969"/>
    <w:rsid w:val="00F97C0F"/>
    <w:rsid w:val="00FB2813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132BA"/>
    <w:pPr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character" w:customStyle="1" w:styleId="FontStyle35">
    <w:name w:val="Font Style35"/>
    <w:rsid w:val="003132BA"/>
    <w:rPr>
      <w:rFonts w:ascii="Book Antiqua" w:hAnsi="Book Antiqua" w:cs="Book Antiqua"/>
      <w:color w:val="000000"/>
      <w:sz w:val="12"/>
      <w:szCs w:val="12"/>
    </w:rPr>
  </w:style>
  <w:style w:type="paragraph" w:customStyle="1" w:styleId="a3">
    <w:name w:val="Стиль"/>
    <w:uiPriority w:val="99"/>
    <w:rsid w:val="00313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Style13">
    <w:name w:val="Style13"/>
    <w:basedOn w:val="a"/>
    <w:rsid w:val="00441A4F"/>
    <w:pPr>
      <w:widowControl w:val="0"/>
      <w:adjustRightInd w:val="0"/>
    </w:pPr>
    <w:rPr>
      <w:rFonts w:ascii="Book Antiqua" w:hAnsi="Book Antiqua"/>
      <w:sz w:val="24"/>
      <w:szCs w:val="24"/>
      <w:lang w:eastAsia="ru-RU"/>
    </w:rPr>
  </w:style>
  <w:style w:type="character" w:customStyle="1" w:styleId="FontStyle34">
    <w:name w:val="Font Style34"/>
    <w:basedOn w:val="a0"/>
    <w:rsid w:val="00441A4F"/>
    <w:rPr>
      <w:rFonts w:ascii="Book Antiqua" w:hAnsi="Book Antiqua" w:cs="Book Antiqua"/>
      <w:b/>
      <w:bCs/>
      <w:color w:val="000000"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97C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40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0C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7909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D28F5"/>
    <w:rPr>
      <w:color w:val="808080"/>
    </w:rPr>
  </w:style>
  <w:style w:type="table" w:styleId="ad">
    <w:name w:val="Table Grid"/>
    <w:basedOn w:val="a1"/>
    <w:uiPriority w:val="59"/>
    <w:rsid w:val="001A0C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132BA"/>
    <w:pPr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character" w:customStyle="1" w:styleId="FontStyle35">
    <w:name w:val="Font Style35"/>
    <w:rsid w:val="003132BA"/>
    <w:rPr>
      <w:rFonts w:ascii="Book Antiqua" w:hAnsi="Book Antiqua" w:cs="Book Antiqua"/>
      <w:color w:val="000000"/>
      <w:sz w:val="12"/>
      <w:szCs w:val="12"/>
    </w:rPr>
  </w:style>
  <w:style w:type="paragraph" w:customStyle="1" w:styleId="a3">
    <w:name w:val="Стиль"/>
    <w:uiPriority w:val="99"/>
    <w:rsid w:val="00313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Style13">
    <w:name w:val="Style13"/>
    <w:basedOn w:val="a"/>
    <w:rsid w:val="00441A4F"/>
    <w:pPr>
      <w:widowControl w:val="0"/>
      <w:adjustRightInd w:val="0"/>
    </w:pPr>
    <w:rPr>
      <w:rFonts w:ascii="Book Antiqua" w:hAnsi="Book Antiqua"/>
      <w:sz w:val="24"/>
      <w:szCs w:val="24"/>
      <w:lang w:eastAsia="ru-RU"/>
    </w:rPr>
  </w:style>
  <w:style w:type="character" w:customStyle="1" w:styleId="FontStyle34">
    <w:name w:val="Font Style34"/>
    <w:basedOn w:val="a0"/>
    <w:rsid w:val="00441A4F"/>
    <w:rPr>
      <w:rFonts w:ascii="Book Antiqua" w:hAnsi="Book Antiqua" w:cs="Book Antiqua"/>
      <w:b/>
      <w:bCs/>
      <w:color w:val="000000"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97C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40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0C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7909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D28F5"/>
    <w:rPr>
      <w:color w:val="808080"/>
    </w:rPr>
  </w:style>
  <w:style w:type="table" w:styleId="ad">
    <w:name w:val="Table Grid"/>
    <w:basedOn w:val="a1"/>
    <w:uiPriority w:val="59"/>
    <w:rsid w:val="001A0C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2</cp:revision>
  <cp:lastPrinted>2018-09-17T13:31:00Z</cp:lastPrinted>
  <dcterms:created xsi:type="dcterms:W3CDTF">2018-10-10T13:20:00Z</dcterms:created>
  <dcterms:modified xsi:type="dcterms:W3CDTF">2018-10-10T13:20:00Z</dcterms:modified>
</cp:coreProperties>
</file>