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BA" w:rsidRPr="003132BA" w:rsidRDefault="003132BA" w:rsidP="003132BA">
      <w:pPr>
        <w:pStyle w:val="a3"/>
        <w:widowControl/>
        <w:spacing w:before="60" w:after="60" w:line="276" w:lineRule="auto"/>
        <w:ind w:left="6096"/>
        <w:jc w:val="center"/>
        <w:rPr>
          <w:iCs/>
          <w:spacing w:val="0"/>
          <w:kern w:val="0"/>
          <w:position w:val="0"/>
          <w:sz w:val="28"/>
          <w:szCs w:val="28"/>
          <w:lang w:val="uk-UA"/>
        </w:rPr>
      </w:pPr>
      <w:bookmarkStart w:id="0" w:name="_GoBack"/>
      <w:bookmarkEnd w:id="0"/>
      <w:r w:rsidRPr="003132BA">
        <w:rPr>
          <w:iCs/>
          <w:spacing w:val="0"/>
          <w:kern w:val="0"/>
          <w:position w:val="0"/>
          <w:sz w:val="28"/>
          <w:szCs w:val="28"/>
          <w:lang w:val="uk-UA"/>
        </w:rPr>
        <w:t xml:space="preserve">Додаток </w:t>
      </w:r>
      <w:r w:rsidR="00F83DDE">
        <w:rPr>
          <w:iCs/>
          <w:spacing w:val="0"/>
          <w:kern w:val="0"/>
          <w:position w:val="0"/>
          <w:sz w:val="28"/>
          <w:szCs w:val="28"/>
          <w:lang w:val="uk-UA"/>
        </w:rPr>
        <w:t>5</w:t>
      </w:r>
    </w:p>
    <w:p w:rsidR="003132BA" w:rsidRPr="003132BA" w:rsidRDefault="003132BA" w:rsidP="003132BA">
      <w:pPr>
        <w:pStyle w:val="a3"/>
        <w:widowControl/>
        <w:spacing w:before="60" w:after="60" w:line="276" w:lineRule="auto"/>
        <w:ind w:left="6096"/>
        <w:jc w:val="center"/>
        <w:rPr>
          <w:iCs/>
          <w:spacing w:val="0"/>
          <w:kern w:val="0"/>
          <w:position w:val="0"/>
          <w:sz w:val="28"/>
          <w:szCs w:val="28"/>
          <w:lang w:val="uk-UA"/>
        </w:rPr>
      </w:pPr>
      <w:r w:rsidRPr="003132BA">
        <w:rPr>
          <w:iCs/>
          <w:spacing w:val="0"/>
          <w:kern w:val="0"/>
          <w:position w:val="0"/>
          <w:sz w:val="28"/>
          <w:szCs w:val="28"/>
          <w:lang w:val="uk-UA"/>
        </w:rPr>
        <w:t>до Технічного регламенту</w:t>
      </w:r>
    </w:p>
    <w:p w:rsidR="003132BA" w:rsidRPr="003132BA" w:rsidRDefault="003132BA" w:rsidP="003132BA">
      <w:pPr>
        <w:pStyle w:val="a3"/>
        <w:widowControl/>
        <w:spacing w:before="60" w:after="6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</w:p>
    <w:p w:rsidR="00F83DDE" w:rsidRDefault="003132BA" w:rsidP="00303AF6">
      <w:pPr>
        <w:pStyle w:val="a3"/>
        <w:widowControl/>
        <w:spacing w:before="60" w:after="24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6C43A3">
        <w:rPr>
          <w:b/>
          <w:spacing w:val="0"/>
          <w:kern w:val="0"/>
          <w:position w:val="0"/>
          <w:sz w:val="28"/>
          <w:szCs w:val="28"/>
          <w:lang w:val="uk-UA"/>
        </w:rPr>
        <w:t>О</w:t>
      </w:r>
      <w:r w:rsidR="00F53B7A">
        <w:rPr>
          <w:b/>
          <w:spacing w:val="0"/>
          <w:kern w:val="0"/>
          <w:position w:val="0"/>
          <w:sz w:val="28"/>
          <w:szCs w:val="28"/>
          <w:lang w:val="uk-UA"/>
        </w:rPr>
        <w:t>рієнтовні еталонні показники</w:t>
      </w:r>
    </w:p>
    <w:p w:rsidR="00023327" w:rsidRPr="00023327" w:rsidRDefault="00F83DDE" w:rsidP="00023327">
      <w:pPr>
        <w:pStyle w:val="a3"/>
        <w:widowControl/>
        <w:spacing w:before="60" w:after="60" w:line="276" w:lineRule="auto"/>
        <w:ind w:firstLine="567"/>
        <w:jc w:val="both"/>
        <w:rPr>
          <w:rFonts w:eastAsia="Palatino Linotype"/>
          <w:color w:val="000000"/>
          <w:sz w:val="28"/>
          <w:szCs w:val="28"/>
          <w:lang w:val="uk-UA" w:eastAsia="en-GB"/>
        </w:rPr>
      </w:pPr>
      <w:r w:rsidRPr="00F83DDE">
        <w:rPr>
          <w:rFonts w:eastAsia="Palatino Linotype"/>
          <w:color w:val="000000"/>
          <w:sz w:val="28"/>
          <w:szCs w:val="28"/>
          <w:lang w:val="uk-UA" w:eastAsia="en-GB"/>
        </w:rPr>
        <w:t>Найкращі орієнтовні еталонні показники для технологій, що існують станом на дату набрання чинності цього Технічного регламенту для обігрівачів приміщень та комбінованих обігрівачів, що стосу</w:t>
      </w:r>
      <w:r>
        <w:rPr>
          <w:rFonts w:eastAsia="Palatino Linotype"/>
          <w:color w:val="000000"/>
          <w:sz w:val="28"/>
          <w:szCs w:val="28"/>
          <w:lang w:val="uk-UA" w:eastAsia="en-GB"/>
        </w:rPr>
        <w:t>ю</w:t>
      </w:r>
      <w:r w:rsidRPr="00F83DDE">
        <w:rPr>
          <w:rFonts w:eastAsia="Palatino Linotype"/>
          <w:color w:val="000000"/>
          <w:sz w:val="28"/>
          <w:szCs w:val="28"/>
          <w:lang w:val="uk-UA" w:eastAsia="en-GB"/>
        </w:rPr>
        <w:t>ться</w:t>
      </w:r>
      <w:r>
        <w:rPr>
          <w:rFonts w:eastAsia="Palatino Linotype"/>
          <w:color w:val="000000"/>
          <w:sz w:val="28"/>
          <w:szCs w:val="28"/>
          <w:lang w:val="uk-UA" w:eastAsia="en-GB"/>
        </w:rPr>
        <w:t xml:space="preserve"> сезонної енергоефективності (ККД)</w:t>
      </w:r>
      <w:r w:rsidRPr="00F83DDE">
        <w:rPr>
          <w:rFonts w:eastAsia="Palatino Linotype"/>
          <w:color w:val="000000"/>
          <w:sz w:val="28"/>
          <w:szCs w:val="28"/>
          <w:lang w:val="uk-UA" w:eastAsia="en-GB"/>
        </w:rPr>
        <w:t xml:space="preserve"> </w:t>
      </w:r>
      <w:r>
        <w:rPr>
          <w:rFonts w:eastAsia="Palatino Linotype"/>
          <w:color w:val="000000"/>
          <w:sz w:val="28"/>
          <w:szCs w:val="28"/>
          <w:lang w:val="uk-UA" w:eastAsia="en-GB"/>
        </w:rPr>
        <w:t xml:space="preserve">обігріву приміщень, </w:t>
      </w:r>
      <w:r w:rsidRPr="00F83DDE">
        <w:rPr>
          <w:rFonts w:eastAsia="Palatino Linotype"/>
          <w:color w:val="000000"/>
          <w:sz w:val="28"/>
          <w:szCs w:val="28"/>
          <w:lang w:val="uk-UA" w:eastAsia="en-GB"/>
        </w:rPr>
        <w:t xml:space="preserve">енергоефективності </w:t>
      </w:r>
      <w:r>
        <w:rPr>
          <w:rFonts w:eastAsia="Palatino Linotype"/>
          <w:color w:val="000000"/>
          <w:sz w:val="28"/>
          <w:szCs w:val="28"/>
          <w:lang w:val="uk-UA" w:eastAsia="en-GB"/>
        </w:rPr>
        <w:t xml:space="preserve">(ККД) </w:t>
      </w:r>
      <w:r w:rsidRPr="00F83DDE">
        <w:rPr>
          <w:rFonts w:eastAsia="Palatino Linotype"/>
          <w:color w:val="000000"/>
          <w:sz w:val="28"/>
          <w:szCs w:val="28"/>
          <w:lang w:val="uk-UA" w:eastAsia="en-GB"/>
        </w:rPr>
        <w:t>нагріву води, звукової потужності та викидів оксиду азоту наведені нижче:</w:t>
      </w:r>
    </w:p>
    <w:p w:rsidR="00F83DDE" w:rsidRDefault="00023327" w:rsidP="00023327">
      <w:pPr>
        <w:pStyle w:val="a3"/>
        <w:widowControl/>
        <w:spacing w:before="60" w:after="60"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 xml:space="preserve">1. </w:t>
      </w:r>
      <w:r w:rsidR="00F83DDE" w:rsidRPr="00F83DDE">
        <w:rPr>
          <w:spacing w:val="0"/>
          <w:kern w:val="0"/>
          <w:position w:val="0"/>
          <w:sz w:val="28"/>
          <w:szCs w:val="28"/>
          <w:lang w:val="uk-UA"/>
        </w:rPr>
        <w:t xml:space="preserve">Орієнтовні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>еталонні показники</w:t>
      </w:r>
      <w:r w:rsidR="00F83DDE" w:rsidRPr="00F83DDE">
        <w:rPr>
          <w:spacing w:val="0"/>
          <w:kern w:val="0"/>
          <w:position w:val="0"/>
          <w:sz w:val="28"/>
          <w:szCs w:val="28"/>
          <w:lang w:val="uk-UA"/>
        </w:rPr>
        <w:t xml:space="preserve"> для енергоефективності </w:t>
      </w:r>
      <w:r w:rsidR="00F83DDE">
        <w:rPr>
          <w:spacing w:val="0"/>
          <w:kern w:val="0"/>
          <w:position w:val="0"/>
          <w:sz w:val="28"/>
          <w:szCs w:val="28"/>
          <w:lang w:val="uk-UA"/>
        </w:rPr>
        <w:t xml:space="preserve">(ККД) </w:t>
      </w:r>
      <w:r w:rsidR="00F83DDE" w:rsidRPr="00F83DDE">
        <w:rPr>
          <w:spacing w:val="0"/>
          <w:kern w:val="0"/>
          <w:position w:val="0"/>
          <w:sz w:val="28"/>
          <w:szCs w:val="28"/>
          <w:lang w:val="uk-UA"/>
        </w:rPr>
        <w:t>о</w:t>
      </w:r>
      <w:r w:rsidR="00F83DDE">
        <w:rPr>
          <w:spacing w:val="0"/>
          <w:kern w:val="0"/>
          <w:position w:val="0"/>
          <w:sz w:val="28"/>
          <w:szCs w:val="28"/>
          <w:lang w:val="uk-UA"/>
        </w:rPr>
        <w:t xml:space="preserve">бігріву </w:t>
      </w:r>
      <w:r w:rsidR="00F83DDE" w:rsidRPr="00F83DDE">
        <w:rPr>
          <w:spacing w:val="0"/>
          <w:kern w:val="0"/>
          <w:position w:val="0"/>
          <w:sz w:val="28"/>
          <w:szCs w:val="28"/>
          <w:lang w:val="uk-UA"/>
        </w:rPr>
        <w:t>приміщень для застосування у середньо температурних процесах: 145%.</w:t>
      </w:r>
    </w:p>
    <w:p w:rsidR="00023327" w:rsidRDefault="00023327" w:rsidP="00023327">
      <w:pPr>
        <w:pStyle w:val="a3"/>
        <w:widowControl/>
        <w:spacing w:before="60" w:after="60"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 xml:space="preserve">2.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 xml:space="preserve">Орієнтовні еталонні показники для енергоефективності </w:t>
      </w:r>
      <w:r>
        <w:rPr>
          <w:spacing w:val="0"/>
          <w:kern w:val="0"/>
          <w:position w:val="0"/>
          <w:sz w:val="28"/>
          <w:szCs w:val="28"/>
          <w:lang w:val="uk-UA"/>
        </w:rPr>
        <w:t xml:space="preserve">(ККД)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>нагріву води комбінованих обігрівачів: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023327" w:rsidRPr="00023327" w:rsidTr="00023327"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023327" w:rsidRPr="00023327" w:rsidRDefault="00023327" w:rsidP="00023327">
            <w:pPr>
              <w:autoSpaceDE/>
              <w:autoSpaceDN/>
              <w:contextualSpacing/>
              <w:rPr>
                <w:lang w:val="uk-UA"/>
              </w:rPr>
            </w:pPr>
            <w:r w:rsidRPr="00023327">
              <w:rPr>
                <w:lang w:val="uk-UA"/>
              </w:rPr>
              <w:t>Заявлений профіль навантаження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3XS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XXS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XS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S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M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L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XL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XXL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3XL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bCs/>
                <w:lang w:val="uk-UA"/>
              </w:rPr>
            </w:pPr>
            <w:r w:rsidRPr="00023327">
              <w:rPr>
                <w:bCs/>
                <w:lang w:val="uk-UA"/>
              </w:rPr>
              <w:t>4XL</w:t>
            </w:r>
          </w:p>
        </w:tc>
      </w:tr>
      <w:tr w:rsidR="00023327" w:rsidRPr="00023327" w:rsidTr="00023327"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023327" w:rsidRPr="00023327" w:rsidRDefault="00023327" w:rsidP="00023327">
            <w:pPr>
              <w:autoSpaceDE/>
              <w:autoSpaceDN/>
              <w:contextualSpacing/>
              <w:rPr>
                <w:lang w:val="uk-UA"/>
              </w:rPr>
            </w:pPr>
            <w:r w:rsidRPr="00023327">
              <w:rPr>
                <w:lang w:val="uk-UA"/>
              </w:rPr>
              <w:t>Енергоефективність</w:t>
            </w:r>
            <w:r>
              <w:rPr>
                <w:lang w:val="uk-UA"/>
              </w:rPr>
              <w:t xml:space="preserve"> (ККД)</w:t>
            </w:r>
            <w:r w:rsidRPr="00023327">
              <w:rPr>
                <w:lang w:val="uk-UA"/>
              </w:rPr>
              <w:t xml:space="preserve"> нагріву води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35 %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35 %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38 %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38 %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75 %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110 %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115 %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120 %</w:t>
            </w:r>
          </w:p>
        </w:tc>
        <w:tc>
          <w:tcPr>
            <w:tcW w:w="763" w:type="dxa"/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130 %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023327" w:rsidRPr="00023327" w:rsidRDefault="00023327" w:rsidP="00023327">
            <w:pPr>
              <w:adjustRightInd w:val="0"/>
              <w:jc w:val="center"/>
              <w:rPr>
                <w:lang w:val="uk-UA"/>
              </w:rPr>
            </w:pPr>
            <w:r w:rsidRPr="00023327">
              <w:rPr>
                <w:lang w:val="uk-UA"/>
              </w:rPr>
              <w:t>130 %</w:t>
            </w:r>
          </w:p>
        </w:tc>
      </w:tr>
    </w:tbl>
    <w:p w:rsidR="00023327" w:rsidRDefault="00023327" w:rsidP="00023327">
      <w:pPr>
        <w:pStyle w:val="a3"/>
        <w:widowControl/>
        <w:spacing w:before="240" w:after="60"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 xml:space="preserve">3.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>Орієнтовні еталонні показники для рівнів звукової потужності (</w:t>
      </w:r>
      <m:oMath>
        <m:sSub>
          <m:sSubPr>
            <m:ctrlPr>
              <w:rPr>
                <w:rFonts w:ascii="Cambria Math" w:hAnsi="Cambria Math"/>
                <w:i/>
                <w:spacing w:val="0"/>
                <w:kern w:val="0"/>
                <w:position w:val="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pacing w:val="0"/>
                <w:kern w:val="0"/>
                <w:position w:val="0"/>
                <w:sz w:val="28"/>
                <w:szCs w:val="28"/>
                <w:lang w:val="uk-UA"/>
              </w:rPr>
              <m:t>L</m:t>
            </m:r>
          </m:e>
          <m:sub>
            <m:r>
              <w:rPr>
                <w:rFonts w:ascii="Cambria Math" w:hAnsi="Cambria Math"/>
                <w:spacing w:val="0"/>
                <w:kern w:val="0"/>
                <w:position w:val="0"/>
                <w:sz w:val="28"/>
                <w:szCs w:val="28"/>
                <w:lang w:val="uk-UA"/>
              </w:rPr>
              <m:t>WA</m:t>
            </m:r>
          </m:sub>
        </m:sSub>
      </m:oMath>
      <w:r w:rsidRPr="00023327">
        <w:rPr>
          <w:spacing w:val="0"/>
          <w:kern w:val="0"/>
          <w:position w:val="0"/>
          <w:sz w:val="28"/>
          <w:szCs w:val="28"/>
          <w:lang w:val="uk-UA"/>
        </w:rPr>
        <w:t xml:space="preserve">), зовні приміщення, обігрівачів приміщень на основі теплових насосів та комбінованих обігрівачів на основі теплових насосів </w:t>
      </w:r>
      <w:r>
        <w:rPr>
          <w:spacing w:val="0"/>
          <w:kern w:val="0"/>
          <w:position w:val="0"/>
          <w:sz w:val="28"/>
          <w:szCs w:val="28"/>
          <w:lang w:val="uk-UA"/>
        </w:rPr>
        <w:t>з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 xml:space="preserve"> номінальною тепловою потужністю:</w:t>
      </w:r>
    </w:p>
    <w:p w:rsidR="00023327" w:rsidRDefault="00023327" w:rsidP="00303AF6">
      <w:pPr>
        <w:pStyle w:val="a3"/>
        <w:widowControl/>
        <w:spacing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>а)</w:t>
      </w:r>
      <w:r w:rsidRPr="00023327">
        <w:t xml:space="preserve"> </w:t>
      </w:r>
      <w:r>
        <w:rPr>
          <w:lang w:val="uk-UA"/>
        </w:rPr>
        <w:t xml:space="preserve"> 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 xml:space="preserve">≤ 6 кВт: 39 </w:t>
      </w:r>
      <w:proofErr w:type="spellStart"/>
      <w:r w:rsidRPr="00023327">
        <w:rPr>
          <w:spacing w:val="0"/>
          <w:kern w:val="0"/>
          <w:position w:val="0"/>
          <w:sz w:val="28"/>
          <w:szCs w:val="28"/>
          <w:lang w:val="uk-UA"/>
        </w:rPr>
        <w:t>дБ</w:t>
      </w:r>
      <w:proofErr w:type="spellEnd"/>
      <w:r w:rsidRPr="00023327">
        <w:rPr>
          <w:spacing w:val="0"/>
          <w:kern w:val="0"/>
          <w:position w:val="0"/>
          <w:sz w:val="28"/>
          <w:szCs w:val="28"/>
          <w:lang w:val="uk-UA"/>
        </w:rPr>
        <w:t>;</w:t>
      </w:r>
    </w:p>
    <w:p w:rsidR="00023327" w:rsidRDefault="00023327" w:rsidP="00303AF6">
      <w:pPr>
        <w:pStyle w:val="a3"/>
        <w:widowControl/>
        <w:spacing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 xml:space="preserve">б) 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 xml:space="preserve">&gt; 6 кВт і ≤ 12 кВт: 40 </w:t>
      </w:r>
      <w:proofErr w:type="spellStart"/>
      <w:r w:rsidRPr="00023327">
        <w:rPr>
          <w:spacing w:val="0"/>
          <w:kern w:val="0"/>
          <w:position w:val="0"/>
          <w:sz w:val="28"/>
          <w:szCs w:val="28"/>
          <w:lang w:val="uk-UA"/>
        </w:rPr>
        <w:t>дБ</w:t>
      </w:r>
      <w:proofErr w:type="spellEnd"/>
      <w:r w:rsidRPr="00023327">
        <w:rPr>
          <w:spacing w:val="0"/>
          <w:kern w:val="0"/>
          <w:position w:val="0"/>
          <w:sz w:val="28"/>
          <w:szCs w:val="28"/>
          <w:lang w:val="uk-UA"/>
        </w:rPr>
        <w:t>;</w:t>
      </w:r>
    </w:p>
    <w:p w:rsidR="00023327" w:rsidRDefault="00023327" w:rsidP="00303AF6">
      <w:pPr>
        <w:pStyle w:val="a3"/>
        <w:widowControl/>
        <w:spacing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 xml:space="preserve">в) 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 xml:space="preserve">&gt; 12 кВт і ≤ 30 кВт: 41 </w:t>
      </w:r>
      <w:proofErr w:type="spellStart"/>
      <w:r w:rsidRPr="00023327">
        <w:rPr>
          <w:spacing w:val="0"/>
          <w:kern w:val="0"/>
          <w:position w:val="0"/>
          <w:sz w:val="28"/>
          <w:szCs w:val="28"/>
          <w:lang w:val="uk-UA"/>
        </w:rPr>
        <w:t>дБ</w:t>
      </w:r>
      <w:proofErr w:type="spellEnd"/>
      <w:r w:rsidRPr="00023327">
        <w:rPr>
          <w:spacing w:val="0"/>
          <w:kern w:val="0"/>
          <w:position w:val="0"/>
          <w:sz w:val="28"/>
          <w:szCs w:val="28"/>
          <w:lang w:val="uk-UA"/>
        </w:rPr>
        <w:t>;</w:t>
      </w:r>
    </w:p>
    <w:p w:rsidR="00023327" w:rsidRDefault="00023327" w:rsidP="00303AF6">
      <w:pPr>
        <w:pStyle w:val="a3"/>
        <w:widowControl/>
        <w:spacing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 xml:space="preserve">г) 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 xml:space="preserve">&gt; 30 кВт і ≤ 70 кВт: 67 </w:t>
      </w:r>
      <w:proofErr w:type="spellStart"/>
      <w:r w:rsidRPr="00023327">
        <w:rPr>
          <w:spacing w:val="0"/>
          <w:kern w:val="0"/>
          <w:position w:val="0"/>
          <w:sz w:val="28"/>
          <w:szCs w:val="28"/>
          <w:lang w:val="uk-UA"/>
        </w:rPr>
        <w:t>дБ</w:t>
      </w:r>
      <w:proofErr w:type="spellEnd"/>
      <w:r w:rsidRPr="00023327">
        <w:rPr>
          <w:spacing w:val="0"/>
          <w:kern w:val="0"/>
          <w:position w:val="0"/>
          <w:sz w:val="28"/>
          <w:szCs w:val="28"/>
          <w:lang w:val="uk-UA"/>
        </w:rPr>
        <w:t>.</w:t>
      </w:r>
    </w:p>
    <w:p w:rsidR="00023327" w:rsidRDefault="00023327" w:rsidP="00023327">
      <w:pPr>
        <w:pStyle w:val="a3"/>
        <w:widowControl/>
        <w:spacing w:before="60" w:after="60"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 xml:space="preserve">4.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>Орієнтовні еталонні показники для викидів оксидів азоту у перерахунку на діоксид азоту:</w:t>
      </w:r>
    </w:p>
    <w:p w:rsidR="00023327" w:rsidRPr="00F83DDE" w:rsidRDefault="00023327" w:rsidP="00023327">
      <w:pPr>
        <w:pStyle w:val="a3"/>
        <w:widowControl/>
        <w:spacing w:before="60" w:after="60"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023327">
        <w:rPr>
          <w:spacing w:val="0"/>
          <w:kern w:val="0"/>
          <w:position w:val="0"/>
          <w:sz w:val="28"/>
          <w:szCs w:val="28"/>
          <w:lang w:val="uk-UA"/>
        </w:rPr>
        <w:t>a) котельні обігрівачі приміщень і комбіновані котельні обігрівачі на газоподібному паливі: споживання палива 14 мг/</w:t>
      </w:r>
      <w:proofErr w:type="spellStart"/>
      <w:r w:rsidRPr="00023327">
        <w:rPr>
          <w:spacing w:val="0"/>
          <w:kern w:val="0"/>
          <w:position w:val="0"/>
          <w:sz w:val="28"/>
          <w:szCs w:val="28"/>
          <w:lang w:val="uk-UA"/>
        </w:rPr>
        <w:t>кВт·год</w:t>
      </w:r>
      <w:proofErr w:type="spellEnd"/>
      <w:r w:rsidRPr="00023327">
        <w:rPr>
          <w:spacing w:val="0"/>
          <w:kern w:val="0"/>
          <w:position w:val="0"/>
          <w:sz w:val="28"/>
          <w:szCs w:val="28"/>
          <w:lang w:val="uk-UA"/>
        </w:rPr>
        <w:t>, виражене через вищу теплотворну здатність (</w:t>
      </w:r>
      <w:r w:rsidRPr="00023327">
        <w:rPr>
          <w:i/>
          <w:spacing w:val="0"/>
          <w:kern w:val="0"/>
          <w:position w:val="0"/>
          <w:sz w:val="28"/>
          <w:szCs w:val="28"/>
          <w:lang w:val="uk-UA"/>
        </w:rPr>
        <w:t>GCV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>);</w:t>
      </w:r>
    </w:p>
    <w:p w:rsidR="00F83DDE" w:rsidRPr="00023327" w:rsidRDefault="00023327" w:rsidP="00023327">
      <w:pPr>
        <w:pStyle w:val="a3"/>
        <w:widowControl/>
        <w:spacing w:before="60" w:after="60"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 xml:space="preserve">б) 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>котельні обігрівачі приміщень і комбіновані котельні обігрівачі на рідкому паливі: споживання палива 50 мг/</w:t>
      </w:r>
      <w:proofErr w:type="spellStart"/>
      <w:r w:rsidRPr="00023327">
        <w:rPr>
          <w:spacing w:val="0"/>
          <w:kern w:val="0"/>
          <w:position w:val="0"/>
          <w:sz w:val="28"/>
          <w:szCs w:val="28"/>
          <w:lang w:val="uk-UA"/>
        </w:rPr>
        <w:t>кВт·год</w:t>
      </w:r>
      <w:proofErr w:type="spellEnd"/>
      <w:r w:rsidRPr="00023327">
        <w:rPr>
          <w:spacing w:val="0"/>
          <w:kern w:val="0"/>
          <w:position w:val="0"/>
          <w:sz w:val="28"/>
          <w:szCs w:val="28"/>
          <w:lang w:val="uk-UA"/>
        </w:rPr>
        <w:t>, виражене через вищу теплотворну здатність (</w:t>
      </w:r>
      <w:r w:rsidRPr="00303AF6">
        <w:rPr>
          <w:i/>
          <w:spacing w:val="0"/>
          <w:kern w:val="0"/>
          <w:position w:val="0"/>
          <w:sz w:val="28"/>
          <w:szCs w:val="28"/>
          <w:lang w:val="uk-UA"/>
        </w:rPr>
        <w:t>GCV</w:t>
      </w:r>
      <w:r w:rsidRPr="00023327">
        <w:rPr>
          <w:spacing w:val="0"/>
          <w:kern w:val="0"/>
          <w:position w:val="0"/>
          <w:sz w:val="28"/>
          <w:szCs w:val="28"/>
          <w:lang w:val="uk-UA"/>
        </w:rPr>
        <w:t>).</w:t>
      </w:r>
    </w:p>
    <w:p w:rsidR="00F83DDE" w:rsidRPr="00303AF6" w:rsidRDefault="00303AF6" w:rsidP="00303AF6">
      <w:pPr>
        <w:pStyle w:val="a3"/>
        <w:widowControl/>
        <w:spacing w:before="60" w:after="60" w:line="276" w:lineRule="auto"/>
        <w:ind w:firstLine="567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303AF6">
        <w:rPr>
          <w:spacing w:val="0"/>
          <w:kern w:val="0"/>
          <w:position w:val="0"/>
          <w:sz w:val="28"/>
          <w:szCs w:val="28"/>
          <w:lang w:val="uk-UA"/>
        </w:rPr>
        <w:t>Орієнтовні еталонні показники зазначені в пунктах 1</w:t>
      </w:r>
      <w:r>
        <w:rPr>
          <w:spacing w:val="0"/>
          <w:kern w:val="0"/>
          <w:position w:val="0"/>
          <w:sz w:val="28"/>
          <w:szCs w:val="28"/>
          <w:lang w:val="uk-UA"/>
        </w:rPr>
        <w:t xml:space="preserve">- </w:t>
      </w:r>
      <w:r w:rsidRPr="00303AF6">
        <w:rPr>
          <w:spacing w:val="0"/>
          <w:kern w:val="0"/>
          <w:position w:val="0"/>
          <w:sz w:val="28"/>
          <w:szCs w:val="28"/>
          <w:lang w:val="uk-UA"/>
        </w:rPr>
        <w:t>4 не вимагають обов’язково</w:t>
      </w:r>
      <w:r>
        <w:rPr>
          <w:spacing w:val="0"/>
          <w:kern w:val="0"/>
          <w:position w:val="0"/>
          <w:sz w:val="28"/>
          <w:szCs w:val="28"/>
          <w:lang w:val="uk-UA"/>
        </w:rPr>
        <w:t>го</w:t>
      </w:r>
      <w:r w:rsidRPr="00303AF6">
        <w:rPr>
          <w:spacing w:val="0"/>
          <w:kern w:val="0"/>
          <w:position w:val="0"/>
          <w:sz w:val="28"/>
          <w:szCs w:val="28"/>
          <w:lang w:val="uk-UA"/>
        </w:rPr>
        <w:t xml:space="preserve"> дося</w:t>
      </w:r>
      <w:r>
        <w:rPr>
          <w:spacing w:val="0"/>
          <w:kern w:val="0"/>
          <w:position w:val="0"/>
          <w:sz w:val="28"/>
          <w:szCs w:val="28"/>
          <w:lang w:val="uk-UA"/>
        </w:rPr>
        <w:t>гнення</w:t>
      </w:r>
      <w:r w:rsidRPr="00303AF6">
        <w:rPr>
          <w:spacing w:val="0"/>
          <w:kern w:val="0"/>
          <w:position w:val="0"/>
          <w:sz w:val="28"/>
          <w:szCs w:val="28"/>
          <w:lang w:val="uk-UA"/>
        </w:rPr>
        <w:t xml:space="preserve"> сукупності цих значень для одного </w:t>
      </w:r>
      <w:r>
        <w:rPr>
          <w:spacing w:val="0"/>
          <w:kern w:val="0"/>
          <w:position w:val="0"/>
          <w:sz w:val="28"/>
          <w:szCs w:val="28"/>
          <w:lang w:val="uk-UA"/>
        </w:rPr>
        <w:t>обігрівача</w:t>
      </w:r>
      <w:r w:rsidRPr="00303AF6">
        <w:rPr>
          <w:spacing w:val="0"/>
          <w:kern w:val="0"/>
          <w:position w:val="0"/>
          <w:sz w:val="28"/>
          <w:szCs w:val="28"/>
          <w:lang w:val="uk-UA"/>
        </w:rPr>
        <w:t>.</w:t>
      </w:r>
    </w:p>
    <w:p w:rsidR="003132BA" w:rsidRPr="006C43A3" w:rsidRDefault="007B5EE2" w:rsidP="00303AF6">
      <w:pPr>
        <w:ind w:firstLine="567"/>
        <w:jc w:val="center"/>
        <w:rPr>
          <w:lang w:val="uk-UA"/>
        </w:rPr>
      </w:pPr>
      <w:r>
        <w:rPr>
          <w:sz w:val="28"/>
          <w:szCs w:val="28"/>
          <w:lang w:val="uk-UA"/>
        </w:rPr>
        <w:t>________________</w:t>
      </w:r>
    </w:p>
    <w:p w:rsidR="00303AF6" w:rsidRPr="006C43A3" w:rsidRDefault="00303AF6" w:rsidP="003132BA">
      <w:pPr>
        <w:rPr>
          <w:lang w:val="uk-UA"/>
        </w:rPr>
      </w:pPr>
    </w:p>
    <w:p w:rsidR="004B77CE" w:rsidRPr="006C43A3" w:rsidRDefault="004B77CE" w:rsidP="003132BA">
      <w:pPr>
        <w:tabs>
          <w:tab w:val="left" w:pos="7320"/>
        </w:tabs>
        <w:rPr>
          <w:lang w:val="uk-UA"/>
        </w:rPr>
      </w:pPr>
    </w:p>
    <w:sectPr w:rsidR="004B77CE" w:rsidRPr="006C43A3" w:rsidSect="00303AF6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0A" w:rsidRDefault="00B2600A" w:rsidP="00957C66">
      <w:r>
        <w:separator/>
      </w:r>
    </w:p>
  </w:endnote>
  <w:endnote w:type="continuationSeparator" w:id="0">
    <w:p w:rsidR="00B2600A" w:rsidRDefault="00B2600A" w:rsidP="0095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0A" w:rsidRDefault="00B2600A" w:rsidP="00957C66">
      <w:r>
        <w:separator/>
      </w:r>
    </w:p>
  </w:footnote>
  <w:footnote w:type="continuationSeparator" w:id="0">
    <w:p w:rsidR="00B2600A" w:rsidRDefault="00B2600A" w:rsidP="0095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0639"/>
      <w:docPartObj>
        <w:docPartGallery w:val="Page Numbers (Top of Page)"/>
        <w:docPartUnique/>
      </w:docPartObj>
    </w:sdtPr>
    <w:sdtEndPr/>
    <w:sdtContent>
      <w:p w:rsidR="00F97C0F" w:rsidRDefault="00F97C0F" w:rsidP="00F97C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AF6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              Продовження додатку 4</w:t>
        </w:r>
      </w:p>
    </w:sdtContent>
  </w:sdt>
  <w:p w:rsidR="00957C66" w:rsidRPr="00957C66" w:rsidRDefault="00957C66" w:rsidP="00957C66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C66F78"/>
    <w:lvl w:ilvl="0">
      <w:numFmt w:val="bullet"/>
      <w:lvlText w:val="*"/>
      <w:lvlJc w:val="left"/>
    </w:lvl>
  </w:abstractNum>
  <w:abstractNum w:abstractNumId="1">
    <w:nsid w:val="07AA258F"/>
    <w:multiLevelType w:val="hybridMultilevel"/>
    <w:tmpl w:val="2F08C8A2"/>
    <w:lvl w:ilvl="0" w:tplc="B2CCD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4E7834"/>
    <w:multiLevelType w:val="hybridMultilevel"/>
    <w:tmpl w:val="8C16A4E8"/>
    <w:lvl w:ilvl="0" w:tplc="FFB2D3C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2E53DC"/>
    <w:multiLevelType w:val="hybridMultilevel"/>
    <w:tmpl w:val="360CC996"/>
    <w:lvl w:ilvl="0" w:tplc="95080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EC54FD"/>
    <w:multiLevelType w:val="hybridMultilevel"/>
    <w:tmpl w:val="0888B922"/>
    <w:lvl w:ilvl="0" w:tplc="427A9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327A0A"/>
    <w:multiLevelType w:val="hybridMultilevel"/>
    <w:tmpl w:val="DF8C8010"/>
    <w:lvl w:ilvl="0" w:tplc="9572D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5579B1"/>
    <w:multiLevelType w:val="hybridMultilevel"/>
    <w:tmpl w:val="175EBABE"/>
    <w:lvl w:ilvl="0" w:tplc="CB30A2D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DD932C4"/>
    <w:multiLevelType w:val="hybridMultilevel"/>
    <w:tmpl w:val="54D269D2"/>
    <w:lvl w:ilvl="0" w:tplc="28B4F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Book Antiqua" w:hAnsi="Book Antiqua" w:hint="default"/>
        </w:rPr>
      </w:lvl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12"/>
    <w:rsid w:val="00023327"/>
    <w:rsid w:val="00066CA1"/>
    <w:rsid w:val="00100FE2"/>
    <w:rsid w:val="001D568F"/>
    <w:rsid w:val="001F4874"/>
    <w:rsid w:val="002A089D"/>
    <w:rsid w:val="002A45E6"/>
    <w:rsid w:val="00302F87"/>
    <w:rsid w:val="00303AF6"/>
    <w:rsid w:val="003132BA"/>
    <w:rsid w:val="0033667F"/>
    <w:rsid w:val="0037705E"/>
    <w:rsid w:val="00441A4F"/>
    <w:rsid w:val="00485A12"/>
    <w:rsid w:val="004B4333"/>
    <w:rsid w:val="004B77CE"/>
    <w:rsid w:val="00505D46"/>
    <w:rsid w:val="00507909"/>
    <w:rsid w:val="00574731"/>
    <w:rsid w:val="005D4622"/>
    <w:rsid w:val="005E0AC2"/>
    <w:rsid w:val="006C43A3"/>
    <w:rsid w:val="006D4488"/>
    <w:rsid w:val="006E55E6"/>
    <w:rsid w:val="007735FE"/>
    <w:rsid w:val="007B5EE2"/>
    <w:rsid w:val="007C40C5"/>
    <w:rsid w:val="00842A5F"/>
    <w:rsid w:val="008D6750"/>
    <w:rsid w:val="0092468B"/>
    <w:rsid w:val="00957C66"/>
    <w:rsid w:val="00996D9B"/>
    <w:rsid w:val="009C64CD"/>
    <w:rsid w:val="00A256B0"/>
    <w:rsid w:val="00A31B1A"/>
    <w:rsid w:val="00B2600A"/>
    <w:rsid w:val="00B574F5"/>
    <w:rsid w:val="00BB1BD0"/>
    <w:rsid w:val="00D234DA"/>
    <w:rsid w:val="00D81AAE"/>
    <w:rsid w:val="00DA3831"/>
    <w:rsid w:val="00DB7CF0"/>
    <w:rsid w:val="00E434C1"/>
    <w:rsid w:val="00E67B24"/>
    <w:rsid w:val="00EE38F6"/>
    <w:rsid w:val="00F42085"/>
    <w:rsid w:val="00F53B7A"/>
    <w:rsid w:val="00F83DDE"/>
    <w:rsid w:val="00F97C0F"/>
    <w:rsid w:val="00F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3"/>
    <w:rsid w:val="003132BA"/>
    <w:pPr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character" w:customStyle="1" w:styleId="FontStyle35">
    <w:name w:val="Font Style35"/>
    <w:rsid w:val="003132BA"/>
    <w:rPr>
      <w:rFonts w:ascii="Book Antiqua" w:hAnsi="Book Antiqua" w:cs="Book Antiqua"/>
      <w:color w:val="000000"/>
      <w:sz w:val="12"/>
      <w:szCs w:val="12"/>
    </w:rPr>
  </w:style>
  <w:style w:type="paragraph" w:customStyle="1" w:styleId="a3">
    <w:name w:val="Стиль"/>
    <w:uiPriority w:val="99"/>
    <w:rsid w:val="00313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customStyle="1" w:styleId="Style13">
    <w:name w:val="Style13"/>
    <w:basedOn w:val="a"/>
    <w:rsid w:val="00441A4F"/>
    <w:pPr>
      <w:widowControl w:val="0"/>
      <w:adjustRightInd w:val="0"/>
    </w:pPr>
    <w:rPr>
      <w:rFonts w:ascii="Book Antiqua" w:hAnsi="Book Antiqua"/>
      <w:sz w:val="24"/>
      <w:szCs w:val="24"/>
      <w:lang w:eastAsia="ru-RU"/>
    </w:rPr>
  </w:style>
  <w:style w:type="character" w:customStyle="1" w:styleId="FontStyle34">
    <w:name w:val="Font Style34"/>
    <w:basedOn w:val="a0"/>
    <w:rsid w:val="00441A4F"/>
    <w:rPr>
      <w:rFonts w:ascii="Book Antiqua" w:hAnsi="Book Antiqua" w:cs="Book Antiqua"/>
      <w:b/>
      <w:bCs/>
      <w:color w:val="000000"/>
      <w:sz w:val="12"/>
      <w:szCs w:val="12"/>
    </w:rPr>
  </w:style>
  <w:style w:type="paragraph" w:styleId="a4">
    <w:name w:val="header"/>
    <w:basedOn w:val="a"/>
    <w:link w:val="a5"/>
    <w:uiPriority w:val="99"/>
    <w:unhideWhenUsed/>
    <w:rsid w:val="00957C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C6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C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C6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97C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40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0C5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7909"/>
    <w:pPr>
      <w:ind w:left="720"/>
      <w:contextualSpacing/>
    </w:pPr>
  </w:style>
  <w:style w:type="table" w:styleId="ac">
    <w:name w:val="Table Grid"/>
    <w:basedOn w:val="a1"/>
    <w:uiPriority w:val="59"/>
    <w:rsid w:val="00100F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7B5EE2"/>
    <w:rPr>
      <w:color w:val="808080"/>
    </w:rPr>
  </w:style>
  <w:style w:type="table" w:customStyle="1" w:styleId="1">
    <w:name w:val="Сетка таблицы1"/>
    <w:basedOn w:val="a1"/>
    <w:next w:val="ac"/>
    <w:uiPriority w:val="59"/>
    <w:rsid w:val="000233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3"/>
    <w:rsid w:val="003132BA"/>
    <w:pPr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character" w:customStyle="1" w:styleId="FontStyle35">
    <w:name w:val="Font Style35"/>
    <w:rsid w:val="003132BA"/>
    <w:rPr>
      <w:rFonts w:ascii="Book Antiqua" w:hAnsi="Book Antiqua" w:cs="Book Antiqua"/>
      <w:color w:val="000000"/>
      <w:sz w:val="12"/>
      <w:szCs w:val="12"/>
    </w:rPr>
  </w:style>
  <w:style w:type="paragraph" w:customStyle="1" w:styleId="a3">
    <w:name w:val="Стиль"/>
    <w:uiPriority w:val="99"/>
    <w:rsid w:val="00313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customStyle="1" w:styleId="Style13">
    <w:name w:val="Style13"/>
    <w:basedOn w:val="a"/>
    <w:rsid w:val="00441A4F"/>
    <w:pPr>
      <w:widowControl w:val="0"/>
      <w:adjustRightInd w:val="0"/>
    </w:pPr>
    <w:rPr>
      <w:rFonts w:ascii="Book Antiqua" w:hAnsi="Book Antiqua"/>
      <w:sz w:val="24"/>
      <w:szCs w:val="24"/>
      <w:lang w:eastAsia="ru-RU"/>
    </w:rPr>
  </w:style>
  <w:style w:type="character" w:customStyle="1" w:styleId="FontStyle34">
    <w:name w:val="Font Style34"/>
    <w:basedOn w:val="a0"/>
    <w:rsid w:val="00441A4F"/>
    <w:rPr>
      <w:rFonts w:ascii="Book Antiqua" w:hAnsi="Book Antiqua" w:cs="Book Antiqua"/>
      <w:b/>
      <w:bCs/>
      <w:color w:val="000000"/>
      <w:sz w:val="12"/>
      <w:szCs w:val="12"/>
    </w:rPr>
  </w:style>
  <w:style w:type="paragraph" w:styleId="a4">
    <w:name w:val="header"/>
    <w:basedOn w:val="a"/>
    <w:link w:val="a5"/>
    <w:uiPriority w:val="99"/>
    <w:unhideWhenUsed/>
    <w:rsid w:val="00957C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C6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C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C6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97C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40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0C5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7909"/>
    <w:pPr>
      <w:ind w:left="720"/>
      <w:contextualSpacing/>
    </w:pPr>
  </w:style>
  <w:style w:type="table" w:styleId="ac">
    <w:name w:val="Table Grid"/>
    <w:basedOn w:val="a1"/>
    <w:uiPriority w:val="59"/>
    <w:rsid w:val="00100F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7B5EE2"/>
    <w:rPr>
      <w:color w:val="808080"/>
    </w:rPr>
  </w:style>
  <w:style w:type="table" w:customStyle="1" w:styleId="1">
    <w:name w:val="Сетка таблицы1"/>
    <w:basedOn w:val="a1"/>
    <w:next w:val="ac"/>
    <w:uiPriority w:val="59"/>
    <w:rsid w:val="000233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Hlinschykova</cp:lastModifiedBy>
  <cp:revision>2</cp:revision>
  <cp:lastPrinted>2018-05-10T10:43:00Z</cp:lastPrinted>
  <dcterms:created xsi:type="dcterms:W3CDTF">2018-12-04T10:52:00Z</dcterms:created>
  <dcterms:modified xsi:type="dcterms:W3CDTF">2018-12-04T10:52:00Z</dcterms:modified>
</cp:coreProperties>
</file>