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319BB" w14:textId="77777777" w:rsidR="00515D2D" w:rsidRPr="0088760F" w:rsidRDefault="00515D2D" w:rsidP="00515D2D">
      <w:pPr>
        <w:jc w:val="center"/>
        <w:rPr>
          <w:b/>
          <w:sz w:val="28"/>
          <w:szCs w:val="28"/>
        </w:rPr>
      </w:pPr>
      <w:r w:rsidRPr="0088760F">
        <w:rPr>
          <w:b/>
          <w:sz w:val="28"/>
          <w:szCs w:val="28"/>
        </w:rPr>
        <w:t>ПОЯСНЮВАЛЬНА ЗАПИСКА</w:t>
      </w:r>
    </w:p>
    <w:p w14:paraId="6DBECCC2" w14:textId="77777777" w:rsidR="0020283C" w:rsidRDefault="0014517E" w:rsidP="0088760F">
      <w:pPr>
        <w:ind w:firstLine="720"/>
        <w:contextualSpacing/>
        <w:jc w:val="center"/>
        <w:rPr>
          <w:b/>
          <w:sz w:val="28"/>
          <w:szCs w:val="28"/>
        </w:rPr>
      </w:pPr>
      <w:r w:rsidRPr="0088760F">
        <w:rPr>
          <w:b/>
          <w:sz w:val="28"/>
          <w:szCs w:val="28"/>
        </w:rPr>
        <w:t>до проє</w:t>
      </w:r>
      <w:r w:rsidR="00515D2D" w:rsidRPr="0088760F">
        <w:rPr>
          <w:b/>
          <w:sz w:val="28"/>
          <w:szCs w:val="28"/>
        </w:rPr>
        <w:t>кту</w:t>
      </w:r>
      <w:r w:rsidR="00E6671B">
        <w:rPr>
          <w:b/>
          <w:sz w:val="28"/>
          <w:szCs w:val="28"/>
          <w:lang w:val="ru-RU"/>
        </w:rPr>
        <w:t xml:space="preserve"> </w:t>
      </w:r>
      <w:r w:rsidR="00571877">
        <w:rPr>
          <w:b/>
          <w:sz w:val="28"/>
          <w:szCs w:val="28"/>
          <w:lang w:val="ru-RU"/>
        </w:rPr>
        <w:t xml:space="preserve">наказу Міністерства енергетики </w:t>
      </w:r>
      <w:r w:rsidR="00E6671B">
        <w:rPr>
          <w:b/>
          <w:sz w:val="28"/>
          <w:szCs w:val="28"/>
        </w:rPr>
        <w:t>України</w:t>
      </w:r>
      <w:r w:rsidR="00515D2D" w:rsidRPr="0088760F">
        <w:rPr>
          <w:b/>
          <w:sz w:val="28"/>
          <w:szCs w:val="28"/>
        </w:rPr>
        <w:t xml:space="preserve"> </w:t>
      </w:r>
    </w:p>
    <w:p w14:paraId="4BC226A9" w14:textId="77777777" w:rsidR="00515D2D" w:rsidRDefault="00515D2D" w:rsidP="0088760F">
      <w:pPr>
        <w:ind w:firstLine="720"/>
        <w:contextualSpacing/>
        <w:jc w:val="center"/>
        <w:rPr>
          <w:b/>
          <w:sz w:val="28"/>
          <w:szCs w:val="28"/>
        </w:rPr>
      </w:pPr>
      <w:r w:rsidRPr="0088760F">
        <w:rPr>
          <w:b/>
          <w:sz w:val="28"/>
          <w:szCs w:val="28"/>
        </w:rPr>
        <w:t>«Про затвердження Технічного регламенту енергетичного маркування</w:t>
      </w:r>
      <w:r w:rsidR="00E6671B">
        <w:rPr>
          <w:b/>
          <w:sz w:val="28"/>
          <w:szCs w:val="28"/>
        </w:rPr>
        <w:t xml:space="preserve"> енергоспоживчих продуктів</w:t>
      </w:r>
      <w:r w:rsidRPr="0088760F">
        <w:rPr>
          <w:b/>
          <w:sz w:val="28"/>
          <w:szCs w:val="28"/>
        </w:rPr>
        <w:t>»</w:t>
      </w:r>
    </w:p>
    <w:p w14:paraId="7848561A" w14:textId="77777777" w:rsidR="00642036" w:rsidRPr="0088760F" w:rsidRDefault="00642036" w:rsidP="0088760F">
      <w:pPr>
        <w:ind w:firstLine="720"/>
        <w:contextualSpacing/>
        <w:jc w:val="center"/>
        <w:rPr>
          <w:b/>
          <w:sz w:val="28"/>
          <w:szCs w:val="28"/>
        </w:rPr>
      </w:pPr>
      <w:bookmarkStart w:id="0" w:name="_GoBack"/>
      <w:bookmarkEnd w:id="0"/>
    </w:p>
    <w:p w14:paraId="725208B8" w14:textId="77777777" w:rsidR="00515D2D" w:rsidRPr="0088760F" w:rsidRDefault="00515D2D" w:rsidP="00515D2D">
      <w:pPr>
        <w:ind w:firstLine="720"/>
        <w:contextualSpacing/>
        <w:jc w:val="both"/>
        <w:rPr>
          <w:b/>
          <w:sz w:val="28"/>
          <w:szCs w:val="28"/>
        </w:rPr>
      </w:pPr>
    </w:p>
    <w:p w14:paraId="50256730" w14:textId="77777777" w:rsidR="00515D2D" w:rsidRPr="0088760F" w:rsidRDefault="003B1AEE" w:rsidP="00515D2D">
      <w:pPr>
        <w:ind w:firstLine="720"/>
        <w:contextualSpacing/>
        <w:jc w:val="both"/>
        <w:rPr>
          <w:b/>
          <w:sz w:val="28"/>
          <w:szCs w:val="28"/>
        </w:rPr>
      </w:pPr>
      <w:r>
        <w:rPr>
          <w:b/>
          <w:sz w:val="28"/>
          <w:szCs w:val="28"/>
        </w:rPr>
        <w:t>1. Мета</w:t>
      </w:r>
    </w:p>
    <w:p w14:paraId="45F48F74" w14:textId="77777777" w:rsidR="00515D2D" w:rsidRDefault="00515D2D" w:rsidP="00515D2D">
      <w:pPr>
        <w:spacing w:after="60"/>
        <w:ind w:firstLine="709"/>
        <w:jc w:val="both"/>
        <w:rPr>
          <w:sz w:val="28"/>
          <w:szCs w:val="28"/>
        </w:rPr>
      </w:pPr>
      <w:r w:rsidRPr="0088760F">
        <w:rPr>
          <w:sz w:val="28"/>
          <w:szCs w:val="28"/>
        </w:rPr>
        <w:t xml:space="preserve">Основною </w:t>
      </w:r>
      <w:r w:rsidR="00CA7FB6">
        <w:rPr>
          <w:sz w:val="28"/>
          <w:szCs w:val="28"/>
        </w:rPr>
        <w:t xml:space="preserve">метою </w:t>
      </w:r>
      <w:r w:rsidRPr="0088760F">
        <w:rPr>
          <w:sz w:val="28"/>
          <w:szCs w:val="28"/>
        </w:rPr>
        <w:t xml:space="preserve">прийняття </w:t>
      </w:r>
      <w:r w:rsidR="00E6671B">
        <w:rPr>
          <w:sz w:val="28"/>
          <w:szCs w:val="28"/>
        </w:rPr>
        <w:t>про</w:t>
      </w:r>
      <w:r w:rsidR="004F0FFD">
        <w:rPr>
          <w:sz w:val="28"/>
          <w:szCs w:val="28"/>
        </w:rPr>
        <w:t>є</w:t>
      </w:r>
      <w:r w:rsidR="00E6671B">
        <w:rPr>
          <w:sz w:val="28"/>
          <w:szCs w:val="28"/>
        </w:rPr>
        <w:t xml:space="preserve">кту </w:t>
      </w:r>
      <w:r w:rsidR="00571877">
        <w:rPr>
          <w:sz w:val="28"/>
          <w:szCs w:val="28"/>
        </w:rPr>
        <w:t xml:space="preserve">наказу Міністерства енергетики </w:t>
      </w:r>
      <w:r w:rsidR="000E7DB3" w:rsidRPr="000E7DB3">
        <w:rPr>
          <w:sz w:val="28"/>
          <w:szCs w:val="28"/>
        </w:rPr>
        <w:t>України «Про затвердження Технічного регламенту енергетичного маркування енергоспоживчих продукті</w:t>
      </w:r>
      <w:r w:rsidR="000E7DB3">
        <w:rPr>
          <w:sz w:val="28"/>
          <w:szCs w:val="28"/>
        </w:rPr>
        <w:t>в»</w:t>
      </w:r>
      <w:r w:rsidR="00E6671B">
        <w:rPr>
          <w:sz w:val="28"/>
          <w:szCs w:val="28"/>
        </w:rPr>
        <w:t xml:space="preserve"> </w:t>
      </w:r>
      <w:r w:rsidRPr="0088760F">
        <w:rPr>
          <w:sz w:val="28"/>
          <w:szCs w:val="28"/>
        </w:rPr>
        <w:t>є регламентація вимог щодо енергетичного маркування</w:t>
      </w:r>
      <w:r w:rsidR="00E6671B">
        <w:rPr>
          <w:sz w:val="28"/>
          <w:szCs w:val="28"/>
        </w:rPr>
        <w:t xml:space="preserve"> енергоспоживчих продуктів </w:t>
      </w:r>
      <w:r w:rsidRPr="0088760F">
        <w:rPr>
          <w:sz w:val="28"/>
          <w:szCs w:val="28"/>
        </w:rPr>
        <w:t>відповідно до оновленого</w:t>
      </w:r>
      <w:r w:rsidR="006727B6">
        <w:rPr>
          <w:sz w:val="28"/>
          <w:szCs w:val="28"/>
        </w:rPr>
        <w:t xml:space="preserve">     </w:t>
      </w:r>
      <w:r w:rsidRPr="0088760F">
        <w:rPr>
          <w:sz w:val="28"/>
          <w:szCs w:val="28"/>
        </w:rPr>
        <w:t>законодавства ЄС.</w:t>
      </w:r>
    </w:p>
    <w:p w14:paraId="52302803" w14:textId="77777777" w:rsidR="00E6671B" w:rsidRPr="0088760F" w:rsidRDefault="00E6671B" w:rsidP="00515D2D">
      <w:pPr>
        <w:spacing w:after="60"/>
        <w:ind w:firstLine="709"/>
        <w:jc w:val="both"/>
        <w:rPr>
          <w:sz w:val="28"/>
          <w:szCs w:val="28"/>
        </w:rPr>
      </w:pPr>
    </w:p>
    <w:p w14:paraId="1C7BD0E3" w14:textId="77777777" w:rsidR="006B1849" w:rsidRPr="003B1AEE" w:rsidRDefault="00515D2D" w:rsidP="003B1AEE">
      <w:pPr>
        <w:spacing w:before="240"/>
        <w:ind w:firstLine="720"/>
        <w:contextualSpacing/>
        <w:jc w:val="both"/>
        <w:rPr>
          <w:b/>
          <w:color w:val="000000"/>
          <w:sz w:val="28"/>
          <w:szCs w:val="28"/>
        </w:rPr>
      </w:pPr>
      <w:r w:rsidRPr="0088760F">
        <w:rPr>
          <w:b/>
          <w:color w:val="000000"/>
          <w:sz w:val="28"/>
          <w:szCs w:val="28"/>
        </w:rPr>
        <w:t>2. </w:t>
      </w:r>
      <w:r w:rsidR="003B1AEE">
        <w:rPr>
          <w:b/>
          <w:color w:val="000000"/>
          <w:sz w:val="28"/>
          <w:szCs w:val="28"/>
        </w:rPr>
        <w:t>Обгрунтування необхідності прийняття акта</w:t>
      </w:r>
    </w:p>
    <w:p w14:paraId="5509471E" w14:textId="77777777" w:rsidR="006B1849" w:rsidRPr="008201DD" w:rsidRDefault="006B1849" w:rsidP="006B1849">
      <w:pPr>
        <w:ind w:firstLine="708"/>
        <w:jc w:val="both"/>
        <w:rPr>
          <w:color w:val="000000"/>
          <w:sz w:val="28"/>
          <w:szCs w:val="28"/>
        </w:rPr>
      </w:pPr>
      <w:r w:rsidRPr="008201DD">
        <w:rPr>
          <w:color w:val="000000"/>
          <w:sz w:val="28"/>
          <w:szCs w:val="28"/>
        </w:rPr>
        <w:t>Договір про заснування Енергетичного Співтовариства, до якого Україна приєдналася у лютому 2011 року, створює чіткі правові рамки, в межах яких Україна ратифікує відповідні норми законодавства ЄС, для того щоб забезпечити збалансовані умови для збільшення інвестицій, підвищення енергетичної безпеки та енергоефективності, а також покращення конкурентного середовища як ключового економічного чинника.</w:t>
      </w:r>
    </w:p>
    <w:p w14:paraId="5FFA1BA5" w14:textId="77777777" w:rsidR="006B1849" w:rsidRPr="00047323" w:rsidRDefault="006B1849" w:rsidP="006B1849">
      <w:pPr>
        <w:pStyle w:val="ac"/>
        <w:spacing w:before="0"/>
        <w:rPr>
          <w:rFonts w:ascii="Times New Roman" w:hAnsi="Times New Roman"/>
          <w:color w:val="000000"/>
          <w:sz w:val="28"/>
          <w:szCs w:val="28"/>
        </w:rPr>
      </w:pPr>
      <w:r w:rsidRPr="008201DD">
        <w:rPr>
          <w:rFonts w:ascii="Times New Roman" w:hAnsi="Times New Roman"/>
          <w:color w:val="000000"/>
          <w:sz w:val="28"/>
          <w:szCs w:val="28"/>
        </w:rPr>
        <w:t>Одним із зобов’язань України згідно з Договором про заснування Енергетичного Співтовариства та відповідних рішень Ради Міністрів Енергетичного Співтовариства є впровадження Директиви 2010/30/ЄС Європейського Парламенту і Ради від 19 травня 2010 р. про вказування за допомогою маркування та стандартної інформації про обсяг</w:t>
      </w:r>
      <w:r w:rsidR="00F376CE" w:rsidRPr="00F376CE">
        <w:rPr>
          <w:rFonts w:ascii="Times New Roman" w:hAnsi="Times New Roman"/>
          <w:color w:val="000000"/>
          <w:sz w:val="28"/>
          <w:szCs w:val="28"/>
        </w:rPr>
        <w:t>и</w:t>
      </w:r>
      <w:r w:rsidRPr="008201DD">
        <w:rPr>
          <w:rFonts w:ascii="Times New Roman" w:hAnsi="Times New Roman"/>
          <w:color w:val="000000"/>
          <w:sz w:val="28"/>
          <w:szCs w:val="28"/>
        </w:rPr>
        <w:t xml:space="preserve"> споживання енергії та інших ресурсів енергоспоживчими продуктами.</w:t>
      </w:r>
    </w:p>
    <w:p w14:paraId="1903694D" w14:textId="77777777" w:rsidR="00047323" w:rsidRPr="00946597" w:rsidRDefault="00047323" w:rsidP="006B1849">
      <w:pPr>
        <w:pStyle w:val="ac"/>
        <w:spacing w:before="0"/>
        <w:rPr>
          <w:rFonts w:ascii="Times New Roman" w:hAnsi="Times New Roman"/>
          <w:color w:val="000000"/>
          <w:sz w:val="28"/>
          <w:szCs w:val="28"/>
        </w:rPr>
      </w:pPr>
      <w:r w:rsidRPr="00946597">
        <w:rPr>
          <w:rFonts w:ascii="Times New Roman" w:hAnsi="Times New Roman"/>
          <w:color w:val="000000"/>
          <w:sz w:val="28"/>
          <w:szCs w:val="28"/>
        </w:rPr>
        <w:t>Проте, Європейським Парламентом 4 липня 2017 року бу</w:t>
      </w:r>
      <w:r w:rsidR="002D0A1F" w:rsidRPr="00946597">
        <w:rPr>
          <w:rFonts w:ascii="Times New Roman" w:hAnsi="Times New Roman"/>
          <w:color w:val="000000"/>
          <w:sz w:val="28"/>
          <w:szCs w:val="28"/>
        </w:rPr>
        <w:t>в</w:t>
      </w:r>
      <w:r w:rsidRPr="00946597">
        <w:rPr>
          <w:rFonts w:ascii="Times New Roman" w:hAnsi="Times New Roman"/>
          <w:color w:val="000000"/>
          <w:sz w:val="28"/>
          <w:szCs w:val="28"/>
        </w:rPr>
        <w:t xml:space="preserve"> прийн</w:t>
      </w:r>
      <w:r w:rsidR="002D0A1F" w:rsidRPr="00946597">
        <w:rPr>
          <w:rFonts w:ascii="Times New Roman" w:hAnsi="Times New Roman"/>
          <w:color w:val="000000"/>
          <w:sz w:val="28"/>
          <w:szCs w:val="28"/>
        </w:rPr>
        <w:t>ятий</w:t>
      </w:r>
      <w:r w:rsidRPr="00946597">
        <w:rPr>
          <w:rFonts w:ascii="Times New Roman" w:hAnsi="Times New Roman"/>
          <w:color w:val="000000"/>
          <w:sz w:val="28"/>
          <w:szCs w:val="28"/>
        </w:rPr>
        <w:t xml:space="preserve"> Регламент Європейського Парламенту і Ради № 2017/1369 про встановлення рамок для енергетичного маркування та про</w:t>
      </w:r>
      <w:r w:rsidR="002D0A1F" w:rsidRPr="00946597">
        <w:rPr>
          <w:rFonts w:ascii="Times New Roman" w:hAnsi="Times New Roman"/>
          <w:color w:val="000000"/>
          <w:sz w:val="28"/>
          <w:szCs w:val="28"/>
        </w:rPr>
        <w:t xml:space="preserve"> скасування Директиви 2010/30/ЄС.</w:t>
      </w:r>
    </w:p>
    <w:p w14:paraId="32EB7914" w14:textId="77777777" w:rsidR="00D0642D" w:rsidRDefault="00D0642D" w:rsidP="006B1849">
      <w:pPr>
        <w:pStyle w:val="ac"/>
        <w:spacing w:before="0"/>
        <w:rPr>
          <w:rFonts w:ascii="Times New Roman" w:hAnsi="Times New Roman"/>
          <w:color w:val="000000"/>
          <w:sz w:val="28"/>
          <w:szCs w:val="28"/>
        </w:rPr>
      </w:pPr>
      <w:r>
        <w:rPr>
          <w:rFonts w:ascii="Times New Roman" w:hAnsi="Times New Roman"/>
          <w:color w:val="000000"/>
          <w:sz w:val="28"/>
          <w:szCs w:val="28"/>
        </w:rPr>
        <w:t>Вод</w:t>
      </w:r>
      <w:r w:rsidR="006727B6">
        <w:rPr>
          <w:rFonts w:ascii="Times New Roman" w:hAnsi="Times New Roman"/>
          <w:color w:val="000000"/>
          <w:sz w:val="28"/>
          <w:szCs w:val="28"/>
        </w:rPr>
        <w:t>н</w:t>
      </w:r>
      <w:r>
        <w:rPr>
          <w:rFonts w:ascii="Times New Roman" w:hAnsi="Times New Roman"/>
          <w:color w:val="000000"/>
          <w:sz w:val="28"/>
          <w:szCs w:val="28"/>
        </w:rPr>
        <w:t>очас встановлення вимог щодо подання споживачам інформації про рівень ефективності споживання електроенергії енергоспоживчими продуктами, а також додаткової інформації, що має на меті поступово забезпечити збалансовані умови для збільшення інвестицій, підвищення енергетичної безпеки та енергоефективності, а також покращення конкурентного середовища як ключового економічного чинника.</w:t>
      </w:r>
    </w:p>
    <w:p w14:paraId="0E90C065" w14:textId="77777777" w:rsidR="006727B6" w:rsidRDefault="006727B6" w:rsidP="006727B6">
      <w:pPr>
        <w:spacing w:after="60"/>
        <w:ind w:firstLine="709"/>
        <w:jc w:val="both"/>
        <w:rPr>
          <w:sz w:val="28"/>
          <w:szCs w:val="28"/>
        </w:rPr>
      </w:pPr>
      <w:r>
        <w:rPr>
          <w:color w:val="000000"/>
          <w:sz w:val="28"/>
          <w:szCs w:val="28"/>
        </w:rPr>
        <w:t xml:space="preserve">Тому виникла потреба у розробці наказу </w:t>
      </w:r>
      <w:r>
        <w:rPr>
          <w:sz w:val="28"/>
          <w:szCs w:val="28"/>
        </w:rPr>
        <w:t xml:space="preserve">Міністерства енергетики </w:t>
      </w:r>
      <w:r w:rsidRPr="000E7DB3">
        <w:rPr>
          <w:sz w:val="28"/>
          <w:szCs w:val="28"/>
        </w:rPr>
        <w:t>України «Про затвердження Технічного регламенту енергетичного маркування енергоспоживчих продукті</w:t>
      </w:r>
      <w:r>
        <w:rPr>
          <w:sz w:val="28"/>
          <w:szCs w:val="28"/>
        </w:rPr>
        <w:t>в», який забезпечить виконання</w:t>
      </w:r>
      <w:r w:rsidRPr="0088760F">
        <w:rPr>
          <w:sz w:val="28"/>
          <w:szCs w:val="28"/>
        </w:rPr>
        <w:t xml:space="preserve"> вимог щодо енергетичного маркування</w:t>
      </w:r>
      <w:r>
        <w:rPr>
          <w:sz w:val="28"/>
          <w:szCs w:val="28"/>
        </w:rPr>
        <w:t xml:space="preserve"> енергоспоживчих продуктів,</w:t>
      </w:r>
      <w:r w:rsidR="00BE4184" w:rsidRPr="00BE4184">
        <w:rPr>
          <w:sz w:val="28"/>
          <w:szCs w:val="28"/>
        </w:rPr>
        <w:t xml:space="preserve"> та </w:t>
      </w:r>
      <w:r w:rsidR="00BE4184">
        <w:rPr>
          <w:sz w:val="28"/>
          <w:szCs w:val="28"/>
        </w:rPr>
        <w:t>скасуванні Технічного регламенту енергетичного маркування енергоспоживчих продуктів та плану заходів з його застосування, затвердженого абзацом 1 пункту 1 постанови Кабінету Міністрів України від 7 серпня 2013 р. № 702 «Про затвердження Технічного регламенту щодо енергетичного маркування»,</w:t>
      </w:r>
      <w:r>
        <w:rPr>
          <w:sz w:val="28"/>
          <w:szCs w:val="28"/>
        </w:rPr>
        <w:t xml:space="preserve"> </w:t>
      </w:r>
      <w:r w:rsidRPr="0088760F">
        <w:rPr>
          <w:sz w:val="28"/>
          <w:szCs w:val="28"/>
        </w:rPr>
        <w:t>відповідно до оновленого законодавства ЄС</w:t>
      </w:r>
      <w:r>
        <w:rPr>
          <w:sz w:val="28"/>
          <w:szCs w:val="28"/>
        </w:rPr>
        <w:t xml:space="preserve"> та виконання Україною зобов’</w:t>
      </w:r>
      <w:r w:rsidRPr="00946597">
        <w:rPr>
          <w:sz w:val="28"/>
          <w:szCs w:val="28"/>
        </w:rPr>
        <w:t>язань, які стосуютьс</w:t>
      </w:r>
      <w:r>
        <w:rPr>
          <w:sz w:val="28"/>
          <w:szCs w:val="28"/>
        </w:rPr>
        <w:t>я імплементації європейського законодавства</w:t>
      </w:r>
      <w:r w:rsidRPr="0088760F">
        <w:rPr>
          <w:sz w:val="28"/>
          <w:szCs w:val="28"/>
        </w:rPr>
        <w:t>.</w:t>
      </w:r>
    </w:p>
    <w:p w14:paraId="6231AB25" w14:textId="77777777" w:rsidR="005561A6" w:rsidRDefault="005561A6" w:rsidP="006727B6">
      <w:pPr>
        <w:spacing w:after="60"/>
        <w:ind w:firstLine="709"/>
        <w:jc w:val="both"/>
        <w:rPr>
          <w:sz w:val="28"/>
          <w:szCs w:val="28"/>
        </w:rPr>
      </w:pPr>
      <w:r w:rsidRPr="00B57CD4">
        <w:rPr>
          <w:color w:val="000000"/>
          <w:sz w:val="28"/>
          <w:szCs w:val="28"/>
        </w:rPr>
        <w:lastRenderedPageBreak/>
        <w:t xml:space="preserve">Цей </w:t>
      </w:r>
      <w:r>
        <w:rPr>
          <w:color w:val="000000"/>
          <w:sz w:val="28"/>
          <w:szCs w:val="28"/>
        </w:rPr>
        <w:t xml:space="preserve">проєкт наказу </w:t>
      </w:r>
      <w:r w:rsidRPr="00B57CD4">
        <w:rPr>
          <w:color w:val="000000"/>
          <w:sz w:val="28"/>
          <w:szCs w:val="28"/>
        </w:rPr>
        <w:t>розроблено на основі Регламенту Європейського Парламенту і Ради ЄС № 2017/1369 від 4 липня 2017 року про встановлення рамок для енергетичного маркування та</w:t>
      </w:r>
      <w:r>
        <w:rPr>
          <w:color w:val="000000"/>
          <w:sz w:val="28"/>
          <w:szCs w:val="28"/>
        </w:rPr>
        <w:t xml:space="preserve"> про</w:t>
      </w:r>
      <w:r w:rsidRPr="00B57CD4">
        <w:rPr>
          <w:color w:val="000000"/>
          <w:sz w:val="28"/>
          <w:szCs w:val="28"/>
        </w:rPr>
        <w:t xml:space="preserve"> скасування Директиви 2010/30/ЄС.</w:t>
      </w:r>
    </w:p>
    <w:p w14:paraId="267F9D15" w14:textId="77777777" w:rsidR="003B1AEE" w:rsidRPr="003B1AEE" w:rsidRDefault="003B1AEE" w:rsidP="00515D2D">
      <w:pPr>
        <w:spacing w:after="60"/>
        <w:ind w:firstLine="709"/>
        <w:jc w:val="both"/>
        <w:rPr>
          <w:color w:val="000000"/>
          <w:sz w:val="28"/>
          <w:szCs w:val="28"/>
          <w:lang w:val="ru-RU"/>
        </w:rPr>
      </w:pPr>
    </w:p>
    <w:p w14:paraId="08BA0506" w14:textId="77777777" w:rsidR="00515D2D" w:rsidRDefault="003B1AEE" w:rsidP="00515D2D">
      <w:pPr>
        <w:ind w:left="705"/>
        <w:jc w:val="both"/>
        <w:rPr>
          <w:b/>
          <w:sz w:val="28"/>
          <w:szCs w:val="28"/>
        </w:rPr>
      </w:pPr>
      <w:r>
        <w:rPr>
          <w:b/>
          <w:sz w:val="28"/>
          <w:szCs w:val="28"/>
        </w:rPr>
        <w:t>3. Основні положення проєкту акта</w:t>
      </w:r>
    </w:p>
    <w:p w14:paraId="635F7B36" w14:textId="77777777" w:rsidR="003B1AEE" w:rsidRDefault="003B1AEE" w:rsidP="003B1AEE">
      <w:pPr>
        <w:pStyle w:val="ac"/>
        <w:spacing w:before="0"/>
        <w:rPr>
          <w:rFonts w:ascii="Times New Roman" w:hAnsi="Times New Roman"/>
          <w:color w:val="000000"/>
          <w:sz w:val="28"/>
          <w:szCs w:val="28"/>
        </w:rPr>
      </w:pPr>
      <w:r>
        <w:rPr>
          <w:rFonts w:ascii="Times New Roman" w:hAnsi="Times New Roman"/>
          <w:color w:val="000000"/>
          <w:sz w:val="28"/>
          <w:szCs w:val="28"/>
        </w:rPr>
        <w:t>Енергетичне маркування дає змогу споживачам отримати інформацію щодо технічних характеристик енергоспоживчих продуктів.</w:t>
      </w:r>
    </w:p>
    <w:p w14:paraId="6106C41F" w14:textId="77777777" w:rsidR="003B1AEE" w:rsidRDefault="003B1AEE" w:rsidP="003B1AEE">
      <w:pPr>
        <w:pStyle w:val="ac"/>
        <w:spacing w:before="0"/>
        <w:rPr>
          <w:rFonts w:ascii="Times New Roman" w:hAnsi="Times New Roman"/>
          <w:color w:val="000000"/>
          <w:sz w:val="28"/>
          <w:szCs w:val="28"/>
        </w:rPr>
      </w:pPr>
      <w:r w:rsidRPr="00946597">
        <w:rPr>
          <w:rFonts w:ascii="Times New Roman" w:hAnsi="Times New Roman"/>
          <w:color w:val="000000"/>
          <w:sz w:val="28"/>
          <w:szCs w:val="28"/>
        </w:rPr>
        <w:t>Цей Регламент передбачає маркування енергоспоживчих продуктів і надання стандартної інформації про їх енергоефективність, споживання енергії та інших ресурсів під час використання та іншої додаткової інформації щодо енергоспоживчих продуктів, таким чином, даючи змогу споживачам обирати більш ефективні продукти, щоб вони могли зменшити споживання енергії.</w:t>
      </w:r>
    </w:p>
    <w:p w14:paraId="5B9EBC9E" w14:textId="77777777" w:rsidR="003B1AEE" w:rsidRPr="003B1AEE" w:rsidRDefault="003B1AEE" w:rsidP="003B1AEE">
      <w:pPr>
        <w:pStyle w:val="ac"/>
        <w:spacing w:before="0"/>
        <w:rPr>
          <w:rFonts w:ascii="Times New Roman" w:hAnsi="Times New Roman"/>
          <w:color w:val="000000"/>
          <w:sz w:val="28"/>
          <w:szCs w:val="28"/>
        </w:rPr>
      </w:pPr>
      <w:r>
        <w:rPr>
          <w:rFonts w:ascii="Times New Roman" w:hAnsi="Times New Roman"/>
          <w:color w:val="000000"/>
          <w:sz w:val="28"/>
          <w:szCs w:val="28"/>
        </w:rPr>
        <w:t>Інформація про енергоспоживчі продукти робить вагомий внесок у заощадження енергії та зменшення рахунків за енергопостачання, і сприяє інноваціям та інвестиціям у виробництво енергоефективних продуктів.</w:t>
      </w:r>
    </w:p>
    <w:p w14:paraId="73B6CDB1" w14:textId="77777777" w:rsidR="00515D2D" w:rsidRDefault="00515D2D" w:rsidP="0088760F">
      <w:pPr>
        <w:ind w:firstLine="709"/>
        <w:jc w:val="both"/>
        <w:rPr>
          <w:color w:val="000000"/>
          <w:sz w:val="28"/>
          <w:szCs w:val="28"/>
        </w:rPr>
      </w:pPr>
      <w:r w:rsidRPr="0088760F">
        <w:rPr>
          <w:color w:val="000000"/>
          <w:sz w:val="28"/>
          <w:szCs w:val="28"/>
        </w:rPr>
        <w:t>Затвердження технічних регламентів з енергетичного маркування дозволить надавати споживачам інформацію про рівень ефективності споживання енергетичних та інших основних ресурсів енергоспоживчими продуктами, а також додаткової інформації, що дасть змогу споживачам обирати найбільш енергоефективні продукти.</w:t>
      </w:r>
    </w:p>
    <w:p w14:paraId="46FDE667" w14:textId="77777777" w:rsidR="00B57CD4" w:rsidRDefault="00B57CD4" w:rsidP="0088760F">
      <w:pPr>
        <w:ind w:firstLine="709"/>
        <w:jc w:val="both"/>
        <w:rPr>
          <w:color w:val="000000"/>
          <w:sz w:val="28"/>
          <w:szCs w:val="28"/>
        </w:rPr>
      </w:pPr>
    </w:p>
    <w:p w14:paraId="157CD4DD" w14:textId="77777777" w:rsidR="003B1AEE" w:rsidRPr="005561A6" w:rsidRDefault="003B1AEE" w:rsidP="005561A6">
      <w:pPr>
        <w:ind w:firstLine="709"/>
        <w:jc w:val="both"/>
        <w:rPr>
          <w:b/>
          <w:color w:val="000000"/>
          <w:sz w:val="28"/>
          <w:szCs w:val="28"/>
        </w:rPr>
      </w:pPr>
      <w:r w:rsidRPr="003B1AEE">
        <w:rPr>
          <w:b/>
          <w:color w:val="000000"/>
          <w:sz w:val="28"/>
          <w:szCs w:val="28"/>
        </w:rPr>
        <w:t>4. Правові аспекти</w:t>
      </w:r>
    </w:p>
    <w:p w14:paraId="70FED4C9" w14:textId="77777777" w:rsidR="005561A6" w:rsidRPr="00BF47C6" w:rsidRDefault="005561A6" w:rsidP="005561A6">
      <w:pPr>
        <w:shd w:val="clear" w:color="auto" w:fill="FFFFFF"/>
        <w:ind w:firstLine="709"/>
        <w:jc w:val="both"/>
        <w:rPr>
          <w:color w:val="000000"/>
          <w:sz w:val="28"/>
          <w:szCs w:val="28"/>
        </w:rPr>
      </w:pPr>
      <w:r w:rsidRPr="00BF47C6">
        <w:rPr>
          <w:color w:val="000000"/>
          <w:sz w:val="28"/>
          <w:szCs w:val="28"/>
        </w:rPr>
        <w:t xml:space="preserve">Запровадження в Україні системи встановлення вимог щодо енергетичного маркування є вимогою Європейського Союзу, відповідно до Угоди про асоціацію Україна-ЄС, терміном запровадження якої визначений 2017 рік (додаток XXVII до глави 1 «Співробітництво у сфері енергетики, включаючи ядерну енергетику» Розділу V «Економічне і галузеве співробітництво» Угоди про асоціацію України – ЄС). </w:t>
      </w:r>
    </w:p>
    <w:p w14:paraId="7B360D31" w14:textId="77777777" w:rsidR="005561A6" w:rsidRDefault="005561A6" w:rsidP="005561A6">
      <w:pPr>
        <w:ind w:firstLine="851"/>
        <w:jc w:val="both"/>
        <w:rPr>
          <w:color w:val="000000"/>
          <w:sz w:val="28"/>
          <w:szCs w:val="28"/>
        </w:rPr>
      </w:pPr>
      <w:r>
        <w:rPr>
          <w:color w:val="000000"/>
          <w:sz w:val="28"/>
          <w:szCs w:val="28"/>
        </w:rPr>
        <w:t xml:space="preserve">Проєкт наказу Міністерства енергетики України </w:t>
      </w:r>
      <w:r w:rsidRPr="00282BC4">
        <w:rPr>
          <w:color w:val="000000"/>
          <w:sz w:val="28"/>
          <w:szCs w:val="28"/>
        </w:rPr>
        <w:t>«</w:t>
      </w:r>
      <w:r w:rsidRPr="00103671">
        <w:rPr>
          <w:color w:val="000000"/>
          <w:sz w:val="28"/>
          <w:szCs w:val="28"/>
        </w:rPr>
        <w:t>Про затвердження Технічного регламенту енергетичного маркування</w:t>
      </w:r>
      <w:r>
        <w:rPr>
          <w:color w:val="000000"/>
          <w:sz w:val="28"/>
          <w:szCs w:val="28"/>
        </w:rPr>
        <w:t xml:space="preserve"> енергоспоживчих продуктів</w:t>
      </w:r>
      <w:r w:rsidRPr="00282BC4">
        <w:rPr>
          <w:color w:val="000000"/>
          <w:sz w:val="28"/>
          <w:szCs w:val="28"/>
        </w:rPr>
        <w:t>» розроблено на виконання частини другої статті 8 Закону України «Про технічні регламенти та оцінку відповідності»,</w:t>
      </w:r>
      <w:r>
        <w:rPr>
          <w:color w:val="000000"/>
          <w:sz w:val="28"/>
          <w:szCs w:val="28"/>
        </w:rPr>
        <w:t xml:space="preserve"> пункту 720</w:t>
      </w:r>
      <w:r w:rsidRPr="00BE4184">
        <w:rPr>
          <w:color w:val="000000"/>
          <w:sz w:val="28"/>
          <w:szCs w:val="28"/>
          <w:vertAlign w:val="superscript"/>
        </w:rPr>
        <w:t>9</w:t>
      </w:r>
      <w:r>
        <w:rPr>
          <w:color w:val="000000"/>
          <w:sz w:val="28"/>
          <w:szCs w:val="28"/>
          <w:vertAlign w:val="superscript"/>
        </w:rPr>
        <w:t xml:space="preserve"> </w:t>
      </w:r>
      <w:r>
        <w:rPr>
          <w:color w:val="000000"/>
          <w:sz w:val="28"/>
          <w:szCs w:val="28"/>
        </w:rPr>
        <w:t xml:space="preserve">Плану заходів з виконання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затвердженого постановою Кабінету Міністрів України від 25.10.2017 № 1106 та </w:t>
      </w:r>
      <w:r w:rsidRPr="00282BC4">
        <w:rPr>
          <w:color w:val="000000"/>
          <w:sz w:val="28"/>
          <w:szCs w:val="28"/>
        </w:rPr>
        <w:t>постанови Кабінету Міністрів України</w:t>
      </w:r>
      <w:r>
        <w:rPr>
          <w:color w:val="000000"/>
          <w:sz w:val="28"/>
          <w:szCs w:val="28"/>
        </w:rPr>
        <w:t xml:space="preserve"> </w:t>
      </w:r>
      <w:r w:rsidRPr="00282BC4">
        <w:rPr>
          <w:color w:val="000000"/>
          <w:sz w:val="28"/>
          <w:szCs w:val="28"/>
        </w:rPr>
        <w:t xml:space="preserve">від 16 грудня </w:t>
      </w:r>
      <w:r>
        <w:rPr>
          <w:color w:val="000000"/>
          <w:sz w:val="28"/>
          <w:szCs w:val="28"/>
        </w:rPr>
        <w:t xml:space="preserve">     </w:t>
      </w:r>
      <w:r w:rsidRPr="00282BC4">
        <w:rPr>
          <w:color w:val="000000"/>
          <w:sz w:val="28"/>
          <w:szCs w:val="28"/>
        </w:rPr>
        <w:t>2015 року № 1057 «Про визначення</w:t>
      </w:r>
      <w:r>
        <w:rPr>
          <w:color w:val="000000"/>
          <w:sz w:val="28"/>
          <w:szCs w:val="28"/>
        </w:rPr>
        <w:t xml:space="preserve"> сфер діяльності, в яких центральні органи виконавчої влади та Служба безпеки України здійснюють функції технічного регулювання».</w:t>
      </w:r>
      <w:r w:rsidRPr="00282BC4">
        <w:rPr>
          <w:color w:val="000000"/>
          <w:sz w:val="28"/>
          <w:szCs w:val="28"/>
        </w:rPr>
        <w:t xml:space="preserve"> </w:t>
      </w:r>
    </w:p>
    <w:p w14:paraId="63A4F979" w14:textId="77777777" w:rsidR="003B1AEE" w:rsidRPr="0088760F" w:rsidRDefault="003B1AEE" w:rsidP="0063419D">
      <w:pPr>
        <w:jc w:val="both"/>
        <w:rPr>
          <w:color w:val="000000"/>
          <w:sz w:val="28"/>
          <w:szCs w:val="28"/>
        </w:rPr>
      </w:pPr>
    </w:p>
    <w:p w14:paraId="4B038DB8" w14:textId="77777777" w:rsidR="00515D2D" w:rsidRPr="00795284" w:rsidRDefault="0063419D" w:rsidP="00515D2D">
      <w:pPr>
        <w:shd w:val="clear" w:color="auto" w:fill="FFFFFF"/>
        <w:tabs>
          <w:tab w:val="left" w:pos="1018"/>
        </w:tabs>
        <w:ind w:left="705"/>
        <w:rPr>
          <w:b/>
          <w:bCs/>
          <w:color w:val="000000"/>
          <w:sz w:val="28"/>
          <w:szCs w:val="28"/>
        </w:rPr>
      </w:pPr>
      <w:r>
        <w:rPr>
          <w:b/>
          <w:bCs/>
          <w:color w:val="000000"/>
          <w:sz w:val="28"/>
          <w:szCs w:val="28"/>
        </w:rPr>
        <w:t>5. Фінансово-економічне обгрунтування</w:t>
      </w:r>
    </w:p>
    <w:p w14:paraId="6260A1DC" w14:textId="77777777" w:rsidR="00515D2D" w:rsidRDefault="00515D2D" w:rsidP="0088760F">
      <w:pPr>
        <w:ind w:firstLine="709"/>
        <w:jc w:val="both"/>
        <w:rPr>
          <w:color w:val="000000"/>
          <w:sz w:val="28"/>
          <w:szCs w:val="28"/>
        </w:rPr>
      </w:pPr>
      <w:r w:rsidRPr="0088760F">
        <w:rPr>
          <w:color w:val="000000"/>
          <w:sz w:val="28"/>
          <w:szCs w:val="28"/>
        </w:rPr>
        <w:t xml:space="preserve">Реалізація </w:t>
      </w:r>
      <w:r w:rsidR="00571877">
        <w:rPr>
          <w:color w:val="000000"/>
          <w:sz w:val="28"/>
          <w:szCs w:val="28"/>
        </w:rPr>
        <w:t>про</w:t>
      </w:r>
      <w:r w:rsidR="006727B6">
        <w:rPr>
          <w:color w:val="000000"/>
          <w:sz w:val="28"/>
          <w:szCs w:val="28"/>
        </w:rPr>
        <w:t>є</w:t>
      </w:r>
      <w:r w:rsidR="00571877">
        <w:rPr>
          <w:color w:val="000000"/>
          <w:sz w:val="28"/>
          <w:szCs w:val="28"/>
        </w:rPr>
        <w:t xml:space="preserve">кту наказу </w:t>
      </w:r>
      <w:r w:rsidRPr="0088760F">
        <w:rPr>
          <w:color w:val="000000"/>
          <w:sz w:val="28"/>
          <w:szCs w:val="28"/>
        </w:rPr>
        <w:t>не потребує додаткових матеріальних та інших витрат. Всі видатки по заходах з впровадження Технічного регламенту енергетичного маркування</w:t>
      </w:r>
      <w:r w:rsidR="00B57CD4">
        <w:rPr>
          <w:color w:val="000000"/>
          <w:sz w:val="28"/>
          <w:szCs w:val="28"/>
        </w:rPr>
        <w:t xml:space="preserve"> енергоспоживчих продуктів </w:t>
      </w:r>
      <w:r w:rsidRPr="0088760F">
        <w:rPr>
          <w:color w:val="000000"/>
          <w:sz w:val="28"/>
          <w:szCs w:val="28"/>
        </w:rPr>
        <w:t xml:space="preserve">будуть здійснюватися в </w:t>
      </w:r>
      <w:r w:rsidRPr="0088760F">
        <w:rPr>
          <w:color w:val="000000"/>
          <w:sz w:val="28"/>
          <w:szCs w:val="28"/>
        </w:rPr>
        <w:lastRenderedPageBreak/>
        <w:t>межах коштів, передбачених головними розпорядниками на відповідний бюджетний рік</w:t>
      </w:r>
      <w:r w:rsidRPr="00795284">
        <w:rPr>
          <w:color w:val="000000"/>
          <w:sz w:val="28"/>
          <w:szCs w:val="28"/>
        </w:rPr>
        <w:t>.</w:t>
      </w:r>
    </w:p>
    <w:p w14:paraId="302E62D8" w14:textId="77777777" w:rsidR="00C12058" w:rsidRPr="00795284" w:rsidRDefault="00C12058" w:rsidP="0088760F">
      <w:pPr>
        <w:ind w:firstLine="709"/>
        <w:jc w:val="both"/>
        <w:rPr>
          <w:color w:val="000000"/>
          <w:sz w:val="28"/>
          <w:szCs w:val="28"/>
        </w:rPr>
      </w:pPr>
    </w:p>
    <w:p w14:paraId="7E92BDD9" w14:textId="77777777" w:rsidR="00515D2D" w:rsidRDefault="0063419D" w:rsidP="00515D2D">
      <w:pPr>
        <w:shd w:val="clear" w:color="auto" w:fill="FFFFFF"/>
        <w:tabs>
          <w:tab w:val="left" w:pos="1018"/>
        </w:tabs>
        <w:spacing w:before="120"/>
        <w:ind w:left="703"/>
        <w:jc w:val="both"/>
        <w:rPr>
          <w:b/>
          <w:bCs/>
          <w:color w:val="000000"/>
          <w:sz w:val="28"/>
          <w:szCs w:val="28"/>
        </w:rPr>
      </w:pPr>
      <w:r>
        <w:rPr>
          <w:b/>
          <w:bCs/>
          <w:color w:val="000000"/>
          <w:sz w:val="28"/>
          <w:szCs w:val="28"/>
        </w:rPr>
        <w:t>6</w:t>
      </w:r>
      <w:r w:rsidR="00515D2D" w:rsidRPr="00A7026E">
        <w:rPr>
          <w:b/>
          <w:bCs/>
          <w:color w:val="000000"/>
          <w:sz w:val="28"/>
          <w:szCs w:val="28"/>
        </w:rPr>
        <w:t>. Позиція заінтересованих сторін</w:t>
      </w:r>
    </w:p>
    <w:p w14:paraId="5E8A35AD" w14:textId="77777777" w:rsidR="00515D2D" w:rsidRPr="0088760F" w:rsidRDefault="00515D2D" w:rsidP="00515D2D">
      <w:pPr>
        <w:shd w:val="clear" w:color="auto" w:fill="FFFFFF"/>
        <w:ind w:firstLine="705"/>
        <w:jc w:val="both"/>
        <w:rPr>
          <w:color w:val="000000"/>
          <w:sz w:val="28"/>
          <w:szCs w:val="28"/>
        </w:rPr>
      </w:pPr>
      <w:r w:rsidRPr="0088760F">
        <w:rPr>
          <w:color w:val="000000"/>
          <w:sz w:val="28"/>
          <w:szCs w:val="28"/>
        </w:rPr>
        <w:t xml:space="preserve">Проєкт </w:t>
      </w:r>
      <w:r w:rsidR="0088760F" w:rsidRPr="0088760F">
        <w:rPr>
          <w:color w:val="000000"/>
          <w:sz w:val="28"/>
          <w:szCs w:val="28"/>
        </w:rPr>
        <w:t>акта</w:t>
      </w:r>
      <w:r w:rsidRPr="0088760F">
        <w:rPr>
          <w:color w:val="000000"/>
          <w:sz w:val="28"/>
          <w:szCs w:val="28"/>
        </w:rPr>
        <w:t xml:space="preserve"> не стосується питань функціонування місцевого самоврядування, прав та інтересів територіальних громад, місцевого та регіонального розвитку, соціально-побутової сфери та не надсилався на розгляд Наукового комітету Національної ради України з питань розвитку науки і технологій, оскільки він не стосується сфери наукової та науково-технічної діяльності.</w:t>
      </w:r>
    </w:p>
    <w:p w14:paraId="773A13D2" w14:textId="77777777" w:rsidR="00515D2D" w:rsidRPr="0088760F" w:rsidRDefault="00515D2D" w:rsidP="00515D2D">
      <w:pPr>
        <w:shd w:val="clear" w:color="auto" w:fill="FFFFFF"/>
        <w:ind w:firstLine="705"/>
        <w:jc w:val="both"/>
        <w:rPr>
          <w:color w:val="000000"/>
          <w:sz w:val="28"/>
          <w:szCs w:val="28"/>
        </w:rPr>
      </w:pPr>
      <w:r w:rsidRPr="0088760F">
        <w:rPr>
          <w:color w:val="000000"/>
          <w:sz w:val="28"/>
          <w:szCs w:val="28"/>
        </w:rPr>
        <w:t xml:space="preserve">Крім того, реалізація </w:t>
      </w:r>
      <w:r w:rsidR="0088760F">
        <w:rPr>
          <w:color w:val="000000"/>
          <w:sz w:val="28"/>
          <w:szCs w:val="28"/>
        </w:rPr>
        <w:t>акта</w:t>
      </w:r>
      <w:r w:rsidRPr="0088760F">
        <w:rPr>
          <w:color w:val="000000"/>
          <w:sz w:val="28"/>
          <w:szCs w:val="28"/>
        </w:rPr>
        <w:t xml:space="preserve"> не матиме впливу на інтереси окремих верств (груп) населення, об’єднаних спільними інтересами.</w:t>
      </w:r>
    </w:p>
    <w:p w14:paraId="0A1767AA" w14:textId="77777777" w:rsidR="00515D2D" w:rsidRPr="0088760F" w:rsidRDefault="00515D2D" w:rsidP="00515D2D">
      <w:pPr>
        <w:shd w:val="clear" w:color="auto" w:fill="FFFFFF"/>
        <w:ind w:firstLine="705"/>
        <w:jc w:val="both"/>
        <w:rPr>
          <w:color w:val="000000"/>
          <w:sz w:val="28"/>
          <w:szCs w:val="28"/>
        </w:rPr>
      </w:pPr>
      <w:r w:rsidRPr="0088760F">
        <w:rPr>
          <w:color w:val="000000"/>
          <w:sz w:val="28"/>
          <w:szCs w:val="28"/>
        </w:rPr>
        <w:t xml:space="preserve">Консультації із заінтересованими сторонами стосовно проєкту </w:t>
      </w:r>
      <w:r w:rsidR="0088760F">
        <w:rPr>
          <w:color w:val="000000"/>
          <w:sz w:val="28"/>
          <w:szCs w:val="28"/>
        </w:rPr>
        <w:t>акта</w:t>
      </w:r>
      <w:r w:rsidRPr="0088760F">
        <w:rPr>
          <w:color w:val="000000"/>
          <w:sz w:val="28"/>
          <w:szCs w:val="28"/>
        </w:rPr>
        <w:t xml:space="preserve"> не проводилися.</w:t>
      </w:r>
    </w:p>
    <w:p w14:paraId="3EF08859" w14:textId="77777777" w:rsidR="00515D2D" w:rsidRDefault="00515D2D" w:rsidP="00515D2D">
      <w:pPr>
        <w:shd w:val="clear" w:color="auto" w:fill="FFFFFF"/>
        <w:ind w:firstLine="705"/>
        <w:jc w:val="both"/>
        <w:rPr>
          <w:color w:val="000000"/>
          <w:sz w:val="28"/>
          <w:szCs w:val="28"/>
        </w:rPr>
      </w:pPr>
      <w:r w:rsidRPr="0088760F">
        <w:rPr>
          <w:color w:val="000000"/>
          <w:sz w:val="28"/>
          <w:szCs w:val="28"/>
        </w:rPr>
        <w:t xml:space="preserve">Реалізація </w:t>
      </w:r>
      <w:r w:rsidR="0088760F">
        <w:rPr>
          <w:color w:val="000000"/>
          <w:sz w:val="28"/>
          <w:szCs w:val="28"/>
        </w:rPr>
        <w:t xml:space="preserve">акта </w:t>
      </w:r>
      <w:r w:rsidRPr="0088760F">
        <w:rPr>
          <w:color w:val="000000"/>
          <w:sz w:val="28"/>
          <w:szCs w:val="28"/>
        </w:rPr>
        <w:t>матиме вплив на ключові інтереси заінтересованих сторін, прогноз впливу додається.</w:t>
      </w:r>
    </w:p>
    <w:p w14:paraId="2CABA2E3" w14:textId="77777777" w:rsidR="005561A6" w:rsidRDefault="005561A6" w:rsidP="005561A6">
      <w:pPr>
        <w:spacing w:after="60"/>
        <w:ind w:firstLine="709"/>
        <w:jc w:val="both"/>
        <w:rPr>
          <w:color w:val="000000"/>
          <w:sz w:val="28"/>
          <w:szCs w:val="28"/>
        </w:rPr>
      </w:pPr>
      <w:r>
        <w:rPr>
          <w:color w:val="000000"/>
          <w:sz w:val="28"/>
          <w:szCs w:val="28"/>
        </w:rPr>
        <w:t>Проєкт</w:t>
      </w:r>
      <w:r w:rsidRPr="00172E9B">
        <w:rPr>
          <w:color w:val="000000"/>
          <w:sz w:val="28"/>
          <w:szCs w:val="28"/>
        </w:rPr>
        <w:t xml:space="preserve"> </w:t>
      </w:r>
      <w:r>
        <w:rPr>
          <w:color w:val="000000"/>
          <w:sz w:val="28"/>
          <w:szCs w:val="28"/>
        </w:rPr>
        <w:t>акта</w:t>
      </w:r>
      <w:r w:rsidRPr="009F2C70">
        <w:rPr>
          <w:sz w:val="27"/>
          <w:szCs w:val="27"/>
        </w:rPr>
        <w:t xml:space="preserve"> </w:t>
      </w:r>
      <w:r w:rsidRPr="0088760F">
        <w:rPr>
          <w:color w:val="000000"/>
          <w:sz w:val="28"/>
          <w:szCs w:val="28"/>
        </w:rPr>
        <w:t>потребує погодження з Державною регуляторною службою України, Антимонопольним комітетом України, Державною службою України з питань безпечності харчових продуктів та захисту споживачів та Міністерством розвитку економіки, торгівлі та сільського господарства України.</w:t>
      </w:r>
    </w:p>
    <w:p w14:paraId="4F94AF29" w14:textId="77777777" w:rsidR="005561A6" w:rsidRDefault="005561A6" w:rsidP="005561A6">
      <w:pPr>
        <w:ind w:firstLine="709"/>
        <w:jc w:val="both"/>
        <w:rPr>
          <w:color w:val="000000"/>
          <w:sz w:val="28"/>
          <w:szCs w:val="28"/>
        </w:rPr>
      </w:pPr>
      <w:r w:rsidRPr="00121195">
        <w:rPr>
          <w:color w:val="000000"/>
          <w:sz w:val="28"/>
          <w:szCs w:val="28"/>
        </w:rPr>
        <w:t xml:space="preserve">Проєкт акта потребує проведення </w:t>
      </w:r>
      <w:r>
        <w:rPr>
          <w:color w:val="000000"/>
          <w:sz w:val="28"/>
          <w:szCs w:val="28"/>
        </w:rPr>
        <w:t xml:space="preserve">державної реєстрації в </w:t>
      </w:r>
      <w:r w:rsidRPr="00121195">
        <w:rPr>
          <w:color w:val="000000"/>
          <w:sz w:val="28"/>
          <w:szCs w:val="28"/>
        </w:rPr>
        <w:t>Міністерств</w:t>
      </w:r>
      <w:r>
        <w:rPr>
          <w:color w:val="000000"/>
          <w:sz w:val="28"/>
          <w:szCs w:val="28"/>
        </w:rPr>
        <w:t>і</w:t>
      </w:r>
      <w:r w:rsidRPr="00121195">
        <w:rPr>
          <w:color w:val="000000"/>
          <w:sz w:val="28"/>
          <w:szCs w:val="28"/>
        </w:rPr>
        <w:t xml:space="preserve"> юстиції України.</w:t>
      </w:r>
    </w:p>
    <w:p w14:paraId="1610A9CA" w14:textId="77777777" w:rsidR="00B57CD4" w:rsidRDefault="00B57CD4" w:rsidP="00515D2D">
      <w:pPr>
        <w:shd w:val="clear" w:color="auto" w:fill="FFFFFF"/>
        <w:ind w:firstLine="705"/>
        <w:jc w:val="both"/>
        <w:rPr>
          <w:color w:val="000000"/>
          <w:sz w:val="28"/>
          <w:szCs w:val="28"/>
        </w:rPr>
      </w:pPr>
    </w:p>
    <w:p w14:paraId="184E6175" w14:textId="77777777" w:rsidR="005561A6" w:rsidRPr="00172E9B" w:rsidRDefault="0063419D" w:rsidP="005561A6">
      <w:pPr>
        <w:shd w:val="clear" w:color="auto" w:fill="FFFFFF"/>
        <w:ind w:firstLine="705"/>
        <w:jc w:val="both"/>
        <w:rPr>
          <w:b/>
          <w:color w:val="000000"/>
          <w:sz w:val="28"/>
          <w:szCs w:val="28"/>
        </w:rPr>
      </w:pPr>
      <w:r w:rsidRPr="0063419D">
        <w:rPr>
          <w:b/>
          <w:color w:val="000000"/>
          <w:sz w:val="28"/>
          <w:szCs w:val="28"/>
        </w:rPr>
        <w:t>7. Оцінка відповідності</w:t>
      </w:r>
    </w:p>
    <w:p w14:paraId="75ABA968" w14:textId="77777777" w:rsidR="008E3EBA" w:rsidRDefault="008E3EBA" w:rsidP="008E3EBA">
      <w:pPr>
        <w:pStyle w:val="ac"/>
        <w:spacing w:before="0"/>
        <w:rPr>
          <w:rFonts w:ascii="Times New Roman" w:hAnsi="Times New Roman"/>
          <w:color w:val="000000"/>
          <w:sz w:val="28"/>
          <w:szCs w:val="28"/>
        </w:rPr>
      </w:pPr>
      <w:r>
        <w:rPr>
          <w:rFonts w:ascii="Times New Roman" w:hAnsi="Times New Roman"/>
          <w:color w:val="000000"/>
          <w:sz w:val="28"/>
          <w:szCs w:val="28"/>
        </w:rPr>
        <w:t>Одним із зобов’язань України згідно з Договором про заснування Енергетичного Співтовариства та відповідних рішень Ради Міністрів Енергетичного Співтовариства є впровадження Директиви 2010/30/ЄС Європейського Парламенту і Ради від 19 травня 2010 р. про вказування за допомогою маркування та стандартної інформації про обсяги споживання енергії та інших ресурсів енергоспоживчими продуктами.</w:t>
      </w:r>
    </w:p>
    <w:p w14:paraId="5A9B395D" w14:textId="558EE002" w:rsidR="008E3EBA" w:rsidRDefault="008E3EBA" w:rsidP="008E3EBA">
      <w:pPr>
        <w:shd w:val="clear" w:color="auto" w:fill="FFFFFF"/>
        <w:ind w:firstLine="709"/>
        <w:jc w:val="both"/>
        <w:rPr>
          <w:color w:val="000000"/>
          <w:sz w:val="28"/>
          <w:szCs w:val="28"/>
        </w:rPr>
      </w:pPr>
      <w:r>
        <w:rPr>
          <w:color w:val="000000"/>
          <w:sz w:val="28"/>
          <w:szCs w:val="28"/>
        </w:rPr>
        <w:t>Проте, Європейським Парламентом 4 липня 2017 року був прийнятий Регламент Європейського Парламенту і Ради № 2017/1369 про встановлення рамок для енергетичного маркування та про скасування Директиви 2010/30/ЄС.</w:t>
      </w:r>
    </w:p>
    <w:p w14:paraId="270DDC60" w14:textId="77777777" w:rsidR="008E3EBA" w:rsidRDefault="008E3EBA" w:rsidP="008E3EBA">
      <w:pPr>
        <w:shd w:val="clear" w:color="auto" w:fill="FFFFFF"/>
        <w:ind w:firstLine="709"/>
        <w:jc w:val="both"/>
        <w:rPr>
          <w:color w:val="000000"/>
          <w:sz w:val="28"/>
          <w:szCs w:val="28"/>
        </w:rPr>
      </w:pPr>
      <w:r>
        <w:rPr>
          <w:color w:val="000000"/>
          <w:sz w:val="28"/>
          <w:szCs w:val="28"/>
        </w:rPr>
        <w:t xml:space="preserve">Запровадження в Україні системи встановлення вимог щодо енергетичного маркування є вимогою Європейського Союзу, відповідно до Угоди про асоціацію Україна-ЄС, терміном запровадження якої визначений 2017 рік (додаток XXVII до глави 1 «Співробітництво у сфері енергетики, включаючи ядерну енергетику» Розділу V «Економічне і галузеве співробітництво» Угоди про асоціацію України – ЄС). </w:t>
      </w:r>
    </w:p>
    <w:p w14:paraId="11FD8C64" w14:textId="77777777" w:rsidR="005561A6" w:rsidRPr="00172E9B" w:rsidRDefault="005561A6" w:rsidP="005561A6">
      <w:pPr>
        <w:shd w:val="clear" w:color="auto" w:fill="FFFFFF"/>
        <w:ind w:firstLine="709"/>
        <w:jc w:val="both"/>
        <w:rPr>
          <w:color w:val="000000"/>
          <w:sz w:val="28"/>
          <w:szCs w:val="28"/>
        </w:rPr>
      </w:pPr>
      <w:r w:rsidRPr="00172E9B">
        <w:rPr>
          <w:color w:val="000000"/>
          <w:sz w:val="28"/>
          <w:szCs w:val="28"/>
        </w:rPr>
        <w:t xml:space="preserve">У проєкті </w:t>
      </w:r>
      <w:r>
        <w:rPr>
          <w:color w:val="000000"/>
          <w:sz w:val="28"/>
          <w:szCs w:val="28"/>
        </w:rPr>
        <w:t>акта</w:t>
      </w:r>
      <w:r w:rsidRPr="00172E9B">
        <w:rPr>
          <w:color w:val="000000"/>
          <w:sz w:val="28"/>
          <w:szCs w:val="28"/>
        </w:rPr>
        <w:t xml:space="preserve"> відсутні положення, що стосуються прав та свобод, гарантованих Конвенцією про захист прав людини і основоположних свобод, впливають на забезпечення рівних прав та можливостей жінок і чоловіків, містять ризики вчинення корупційних правопорушень та правопорушень, пов’язаних з корупцією</w:t>
      </w:r>
      <w:r>
        <w:rPr>
          <w:color w:val="000000"/>
          <w:sz w:val="28"/>
          <w:szCs w:val="28"/>
        </w:rPr>
        <w:t>,</w:t>
      </w:r>
      <w:r w:rsidRPr="00172E9B">
        <w:rPr>
          <w:color w:val="000000"/>
          <w:sz w:val="28"/>
          <w:szCs w:val="28"/>
        </w:rPr>
        <w:t xml:space="preserve"> створюють підстави для дискримінації, стосуються інших ризиків та обмежень, які можуть виникнути під час реалізації акта.</w:t>
      </w:r>
    </w:p>
    <w:p w14:paraId="46FF855C" w14:textId="77777777" w:rsidR="0063419D" w:rsidRPr="005561A6" w:rsidRDefault="005561A6" w:rsidP="005561A6">
      <w:pPr>
        <w:shd w:val="clear" w:color="auto" w:fill="FFFFFF"/>
        <w:ind w:firstLine="705"/>
        <w:jc w:val="both"/>
        <w:rPr>
          <w:color w:val="000000"/>
          <w:sz w:val="28"/>
          <w:szCs w:val="28"/>
        </w:rPr>
      </w:pPr>
      <w:r w:rsidRPr="00172E9B">
        <w:rPr>
          <w:color w:val="000000"/>
          <w:sz w:val="28"/>
          <w:szCs w:val="28"/>
        </w:rPr>
        <w:lastRenderedPageBreak/>
        <w:t>Громадська антикорупційна та громадська антидискримінаційна експертизи не проводились.</w:t>
      </w:r>
    </w:p>
    <w:p w14:paraId="53ABFAA1" w14:textId="77777777" w:rsidR="0063419D" w:rsidRPr="0088760F" w:rsidRDefault="0063419D" w:rsidP="00515D2D">
      <w:pPr>
        <w:shd w:val="clear" w:color="auto" w:fill="FFFFFF"/>
        <w:ind w:firstLine="705"/>
        <w:jc w:val="both"/>
        <w:rPr>
          <w:color w:val="000000"/>
          <w:sz w:val="28"/>
          <w:szCs w:val="28"/>
        </w:rPr>
      </w:pPr>
    </w:p>
    <w:p w14:paraId="07BAD506" w14:textId="77777777" w:rsidR="00515D2D" w:rsidRPr="005C06F1" w:rsidRDefault="005561A6" w:rsidP="00515D2D">
      <w:pPr>
        <w:shd w:val="clear" w:color="auto" w:fill="FFFFFF"/>
        <w:tabs>
          <w:tab w:val="left" w:pos="1018"/>
        </w:tabs>
        <w:spacing w:before="120"/>
        <w:ind w:left="703"/>
        <w:jc w:val="both"/>
        <w:rPr>
          <w:b/>
          <w:bCs/>
          <w:color w:val="000000"/>
          <w:sz w:val="28"/>
          <w:szCs w:val="28"/>
        </w:rPr>
      </w:pPr>
      <w:r>
        <w:rPr>
          <w:b/>
          <w:bCs/>
          <w:color w:val="000000"/>
          <w:sz w:val="28"/>
          <w:szCs w:val="28"/>
        </w:rPr>
        <w:t>8. Прогноз результатів</w:t>
      </w:r>
    </w:p>
    <w:p w14:paraId="258AF530" w14:textId="77777777" w:rsidR="00330C71" w:rsidRDefault="00330C71" w:rsidP="00330C71">
      <w:pPr>
        <w:ind w:firstLine="709"/>
        <w:jc w:val="both"/>
        <w:rPr>
          <w:sz w:val="28"/>
          <w:szCs w:val="28"/>
        </w:rPr>
      </w:pPr>
      <w:r>
        <w:rPr>
          <w:sz w:val="28"/>
          <w:szCs w:val="28"/>
        </w:rPr>
        <w:t xml:space="preserve">Очікуваний </w:t>
      </w:r>
      <w:r w:rsidR="005561A6">
        <w:rPr>
          <w:sz w:val="28"/>
          <w:szCs w:val="28"/>
        </w:rPr>
        <w:t>результат</w:t>
      </w:r>
      <w:r>
        <w:rPr>
          <w:sz w:val="28"/>
          <w:szCs w:val="28"/>
        </w:rPr>
        <w:t xml:space="preserve"> реалізації акта на:</w:t>
      </w:r>
    </w:p>
    <w:p w14:paraId="5EECFA24" w14:textId="77777777" w:rsidR="00330C71" w:rsidRDefault="00330C71" w:rsidP="00330C71">
      <w:pPr>
        <w:pStyle w:val="ad"/>
        <w:ind w:firstLine="709"/>
        <w:rPr>
          <w:szCs w:val="28"/>
        </w:rPr>
      </w:pPr>
      <w:r>
        <w:rPr>
          <w:szCs w:val="28"/>
        </w:rPr>
        <w:t xml:space="preserve">ринкове середовище: не матиме негативного впливу на ринкове середовище; </w:t>
      </w:r>
    </w:p>
    <w:p w14:paraId="444530C3" w14:textId="77777777" w:rsidR="00330C71" w:rsidRDefault="00330C71" w:rsidP="00330C71">
      <w:pPr>
        <w:ind w:firstLine="709"/>
        <w:jc w:val="both"/>
        <w:rPr>
          <w:sz w:val="28"/>
          <w:szCs w:val="28"/>
        </w:rPr>
      </w:pPr>
      <w:r>
        <w:rPr>
          <w:sz w:val="28"/>
          <w:szCs w:val="28"/>
        </w:rPr>
        <w:t>забезпечення захисту прав та інтересів суб’єктів господарювання, громадян і держави: для держави вигодами від прийняття акта буде зменшення загальнодержавного рівня енергетичного споживання, за рахунок збільшення кількості енергоефективних товарів на ринку, для суб’єктів господарювання - можливість надання своєї продукції на ринок Європейського Союзу, скорочення споживання енергетичних ресурсів під час використання енергоспоживчих продуктів, та плати за них, а також покращення іміджу підприємства, за рахунок використання екологічного та енергоефективного обладнання (принцип «зеленої економіки») та для громадян – зменшення витрат за використання електричної енергії, використання енергоефективного та екологічного обладнання та тривалий строк експлуатації;</w:t>
      </w:r>
    </w:p>
    <w:p w14:paraId="2D6C8215" w14:textId="77777777" w:rsidR="00330C71" w:rsidRDefault="00330C71" w:rsidP="00330C71">
      <w:pPr>
        <w:tabs>
          <w:tab w:val="left" w:pos="0"/>
        </w:tabs>
        <w:ind w:firstLine="567"/>
        <w:jc w:val="both"/>
        <w:rPr>
          <w:sz w:val="28"/>
          <w:szCs w:val="28"/>
        </w:rPr>
      </w:pPr>
      <w:r>
        <w:rPr>
          <w:sz w:val="28"/>
          <w:szCs w:val="28"/>
        </w:rPr>
        <w:t>підвищення чи зниження спроможності територіальних громад: не буде мати негативного впливу;</w:t>
      </w:r>
    </w:p>
    <w:p w14:paraId="36C71FEB" w14:textId="77777777" w:rsidR="00330C71" w:rsidRDefault="00330C71" w:rsidP="00330C71">
      <w:pPr>
        <w:tabs>
          <w:tab w:val="left" w:pos="993"/>
        </w:tabs>
        <w:ind w:firstLine="567"/>
        <w:jc w:val="both"/>
        <w:rPr>
          <w:sz w:val="28"/>
          <w:szCs w:val="28"/>
        </w:rPr>
      </w:pPr>
      <w:r>
        <w:rPr>
          <w:sz w:val="28"/>
          <w:szCs w:val="28"/>
        </w:rPr>
        <w:t>ринок праці та рівень зайнятості населення: не впливає;</w:t>
      </w:r>
    </w:p>
    <w:p w14:paraId="10204E5E" w14:textId="77777777" w:rsidR="00330C71" w:rsidRDefault="00330C71" w:rsidP="00330C71">
      <w:pPr>
        <w:tabs>
          <w:tab w:val="left" w:pos="0"/>
        </w:tabs>
        <w:ind w:firstLine="567"/>
        <w:jc w:val="both"/>
        <w:rPr>
          <w:sz w:val="28"/>
          <w:szCs w:val="28"/>
        </w:rPr>
      </w:pPr>
      <w:r>
        <w:rPr>
          <w:sz w:val="28"/>
          <w:szCs w:val="28"/>
        </w:rPr>
        <w:t>екологію та навколишнє природне середовище: не буде мати негативного впливу;</w:t>
      </w:r>
    </w:p>
    <w:p w14:paraId="5FE7A513" w14:textId="77777777" w:rsidR="00C34C96" w:rsidRDefault="00330C71" w:rsidP="00C34C96">
      <w:pPr>
        <w:tabs>
          <w:tab w:val="left" w:pos="993"/>
        </w:tabs>
        <w:ind w:left="567"/>
        <w:jc w:val="both"/>
        <w:rPr>
          <w:sz w:val="28"/>
          <w:szCs w:val="28"/>
        </w:rPr>
      </w:pPr>
      <w:r>
        <w:rPr>
          <w:sz w:val="28"/>
          <w:szCs w:val="28"/>
        </w:rPr>
        <w:t>Проєкт є регуляторним актом.</w:t>
      </w:r>
    </w:p>
    <w:p w14:paraId="413CE17C" w14:textId="77777777" w:rsidR="00C34C96" w:rsidRDefault="00C34C96" w:rsidP="00C34C96">
      <w:pPr>
        <w:pStyle w:val="ac"/>
        <w:spacing w:before="0"/>
        <w:rPr>
          <w:rFonts w:ascii="Times New Roman" w:hAnsi="Times New Roman"/>
          <w:color w:val="000000"/>
          <w:sz w:val="28"/>
          <w:szCs w:val="28"/>
        </w:rPr>
      </w:pPr>
      <w:r w:rsidRPr="00C34C96">
        <w:rPr>
          <w:rFonts w:ascii="Times New Roman" w:hAnsi="Times New Roman"/>
          <w:color w:val="000000"/>
          <w:sz w:val="28"/>
          <w:szCs w:val="28"/>
        </w:rPr>
        <w:t>Прийняття проєкту акта дозволить підвищити енергоефективність української економіки через стимулювання наявності на ринку України енергоспоживчих продуктів шляхом обмеження доступу на ринок неенергоефективних товарів. Після прийняття акту буде забезпечено покращання енергетичних характеристик енергоспоживчої продукції, що в результаті дозволить поступово збільшити їх кількість на ринку.</w:t>
      </w:r>
    </w:p>
    <w:p w14:paraId="40C29AA3" w14:textId="57A32BA9" w:rsidR="00C34C96" w:rsidRPr="00C34C96" w:rsidRDefault="00C34C96" w:rsidP="00C34C96">
      <w:pPr>
        <w:pStyle w:val="ac"/>
        <w:spacing w:before="0"/>
        <w:rPr>
          <w:rFonts w:ascii="Times New Roman" w:hAnsi="Times New Roman"/>
          <w:sz w:val="28"/>
          <w:szCs w:val="28"/>
        </w:rPr>
      </w:pPr>
      <w:r w:rsidRPr="00C34C96">
        <w:rPr>
          <w:rFonts w:ascii="Times New Roman" w:hAnsi="Times New Roman"/>
          <w:sz w:val="28"/>
          <w:szCs w:val="28"/>
        </w:rPr>
        <w:t>Вплив на ключові інтереси усіх заінтересованих сторін:</w:t>
      </w:r>
    </w:p>
    <w:p w14:paraId="490D5777" w14:textId="77777777" w:rsidR="00236854" w:rsidRDefault="00236854" w:rsidP="00330C71">
      <w:pPr>
        <w:tabs>
          <w:tab w:val="left" w:pos="993"/>
        </w:tabs>
        <w:ind w:left="567"/>
        <w:jc w:val="both"/>
        <w:rPr>
          <w:sz w:val="28"/>
          <w:szCs w:val="28"/>
        </w:rPr>
      </w:pP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2375"/>
        <w:gridCol w:w="4525"/>
        <w:gridCol w:w="2910"/>
      </w:tblGrid>
      <w:tr w:rsidR="00236854" w:rsidRPr="00C34C96" w14:paraId="0D670B3A" w14:textId="77777777" w:rsidTr="00236854">
        <w:tc>
          <w:tcPr>
            <w:tcW w:w="2657"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14:paraId="580DAF98" w14:textId="239627F7" w:rsidR="00236854" w:rsidRPr="00C34C96" w:rsidRDefault="00236854" w:rsidP="00236854">
            <w:pPr>
              <w:jc w:val="center"/>
              <w:rPr>
                <w:b/>
                <w:lang w:val="ru-RU" w:eastAsia="en-US"/>
              </w:rPr>
            </w:pPr>
            <w:r w:rsidRPr="00C34C96">
              <w:rPr>
                <w:b/>
                <w:lang w:val="ru-RU" w:eastAsia="en-US"/>
              </w:rPr>
              <w:t>Заінтересована</w:t>
            </w:r>
            <w:r w:rsidRPr="00C34C96">
              <w:rPr>
                <w:b/>
                <w:sz w:val="28"/>
                <w:szCs w:val="28"/>
                <w:lang w:val="ru-RU" w:eastAsia="en-US"/>
              </w:rPr>
              <w:t xml:space="preserve">    </w:t>
            </w:r>
            <w:r w:rsidRPr="00C34C96">
              <w:rPr>
                <w:b/>
                <w:lang w:val="ru-RU" w:eastAsia="en-US"/>
              </w:rPr>
              <w:t>сторона</w:t>
            </w:r>
          </w:p>
        </w:tc>
        <w:tc>
          <w:tcPr>
            <w:tcW w:w="36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16478B" w14:textId="645F576D" w:rsidR="00236854" w:rsidRPr="00C34C96" w:rsidRDefault="00236854" w:rsidP="00236854">
            <w:pPr>
              <w:jc w:val="center"/>
              <w:rPr>
                <w:b/>
                <w:lang w:val="ru-RU" w:eastAsia="en-US"/>
              </w:rPr>
            </w:pPr>
            <w:r w:rsidRPr="00C34C96">
              <w:rPr>
                <w:b/>
                <w:lang w:val="ru-RU" w:eastAsia="en-US"/>
              </w:rPr>
              <w:t>Вплив реалізації акта  на заінтересовану сторону</w:t>
            </w:r>
          </w:p>
        </w:tc>
        <w:tc>
          <w:tcPr>
            <w:tcW w:w="3500" w:type="dxa"/>
            <w:tcBorders>
              <w:top w:val="single" w:sz="6" w:space="0" w:color="000000"/>
              <w:left w:val="single" w:sz="6" w:space="0" w:color="000000"/>
              <w:bottom w:val="single" w:sz="6" w:space="0" w:color="000000"/>
              <w:right w:val="nil"/>
            </w:tcBorders>
            <w:tcMar>
              <w:top w:w="15" w:type="dxa"/>
              <w:left w:w="15" w:type="dxa"/>
              <w:bottom w:w="15" w:type="dxa"/>
              <w:right w:w="15" w:type="dxa"/>
            </w:tcMar>
            <w:hideMark/>
          </w:tcPr>
          <w:p w14:paraId="11C35380" w14:textId="77777777" w:rsidR="00236854" w:rsidRPr="00C34C96" w:rsidRDefault="00236854" w:rsidP="00236854">
            <w:pPr>
              <w:jc w:val="center"/>
              <w:rPr>
                <w:b/>
                <w:lang w:val="ru-RU" w:eastAsia="en-US"/>
              </w:rPr>
            </w:pPr>
            <w:r w:rsidRPr="00C34C96">
              <w:rPr>
                <w:b/>
                <w:lang w:val="ru-RU" w:eastAsia="en-US"/>
              </w:rPr>
              <w:t>Пояснення очікуваного впливу</w:t>
            </w:r>
          </w:p>
        </w:tc>
      </w:tr>
      <w:tr w:rsidR="00236854" w14:paraId="63FD27CD" w14:textId="77777777" w:rsidTr="00236854">
        <w:tc>
          <w:tcPr>
            <w:tcW w:w="2657" w:type="dxa"/>
            <w:tcBorders>
              <w:top w:val="single" w:sz="6" w:space="0" w:color="000000"/>
              <w:left w:val="nil"/>
              <w:bottom w:val="single" w:sz="6" w:space="0" w:color="000000"/>
              <w:right w:val="single" w:sz="6" w:space="0" w:color="000000"/>
            </w:tcBorders>
            <w:tcMar>
              <w:top w:w="15" w:type="dxa"/>
              <w:left w:w="15" w:type="dxa"/>
              <w:bottom w:w="15" w:type="dxa"/>
              <w:right w:w="15" w:type="dxa"/>
            </w:tcMar>
          </w:tcPr>
          <w:p w14:paraId="33C0834A" w14:textId="4FFEFFE2" w:rsidR="00236854" w:rsidRDefault="00236854" w:rsidP="00236854">
            <w:pPr>
              <w:jc w:val="both"/>
              <w:rPr>
                <w:lang w:val="ru-RU" w:eastAsia="en-US"/>
              </w:rPr>
            </w:pPr>
            <w:r>
              <w:t>Вітчизняні виробники енергоспоживчих продуктів</w:t>
            </w:r>
          </w:p>
        </w:tc>
        <w:tc>
          <w:tcPr>
            <w:tcW w:w="36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5790652" w14:textId="2CA45347" w:rsidR="00236854" w:rsidRDefault="00236854" w:rsidP="00236854">
            <w:pPr>
              <w:ind w:left="125"/>
              <w:contextualSpacing/>
              <w:jc w:val="both"/>
            </w:pPr>
            <w:r>
              <w:t>Збільшення конкурентоздатності за рахунок надання інформації про клас енергоефективності продукції.</w:t>
            </w:r>
          </w:p>
          <w:p w14:paraId="6D1B5B15" w14:textId="77777777" w:rsidR="00236854" w:rsidRDefault="00236854" w:rsidP="00236854">
            <w:pPr>
              <w:ind w:left="125"/>
              <w:contextualSpacing/>
              <w:jc w:val="both"/>
            </w:pPr>
            <w:r>
              <w:t>Збільшення продажів енергоспоживчих продуктів.</w:t>
            </w:r>
          </w:p>
          <w:p w14:paraId="4D822116" w14:textId="77777777" w:rsidR="00236854" w:rsidRDefault="00236854" w:rsidP="00236854">
            <w:pPr>
              <w:ind w:left="125"/>
              <w:contextualSpacing/>
              <w:jc w:val="both"/>
            </w:pPr>
            <w:r>
              <w:t>Збільшення продажів продукції на ринку Європейського Союзу.</w:t>
            </w:r>
          </w:p>
          <w:p w14:paraId="143C332B" w14:textId="77777777" w:rsidR="00236854" w:rsidRDefault="00236854" w:rsidP="00236854">
            <w:pPr>
              <w:ind w:left="125"/>
              <w:contextualSpacing/>
              <w:jc w:val="both"/>
            </w:pPr>
            <w:r>
              <w:t>Покращення іміджу підприємств, за рахунок використання екологічного та енергоефективного обладнання.</w:t>
            </w:r>
          </w:p>
          <w:p w14:paraId="0EA7E3F6" w14:textId="371B9DF7" w:rsidR="00236854" w:rsidRDefault="00236854" w:rsidP="00236854">
            <w:pPr>
              <w:ind w:left="125"/>
              <w:contextualSpacing/>
              <w:jc w:val="both"/>
              <w:rPr>
                <w:i/>
              </w:rPr>
            </w:pPr>
            <w:r>
              <w:t xml:space="preserve">Підвищення якості продукції з огляду на необхідність конкурувати з іноземними виробниками як на внутрішньому так і на </w:t>
            </w:r>
            <w:r>
              <w:lastRenderedPageBreak/>
              <w:t>зовнішньому ринку.</w:t>
            </w:r>
          </w:p>
          <w:p w14:paraId="7B797210" w14:textId="77777777" w:rsidR="00236854" w:rsidRDefault="00236854" w:rsidP="00236854">
            <w:pPr>
              <w:jc w:val="both"/>
              <w:rPr>
                <w:lang w:val="ru-RU" w:eastAsia="en-US"/>
              </w:rPr>
            </w:pPr>
          </w:p>
        </w:tc>
        <w:tc>
          <w:tcPr>
            <w:tcW w:w="3500" w:type="dxa"/>
            <w:tcBorders>
              <w:top w:val="single" w:sz="6" w:space="0" w:color="000000"/>
              <w:left w:val="single" w:sz="6" w:space="0" w:color="000000"/>
              <w:bottom w:val="single" w:sz="6" w:space="0" w:color="000000"/>
              <w:right w:val="nil"/>
            </w:tcBorders>
            <w:tcMar>
              <w:top w:w="15" w:type="dxa"/>
              <w:left w:w="15" w:type="dxa"/>
              <w:bottom w:w="15" w:type="dxa"/>
              <w:right w:w="15" w:type="dxa"/>
            </w:tcMar>
          </w:tcPr>
          <w:p w14:paraId="3EE6DD72" w14:textId="77777777" w:rsidR="00236854" w:rsidRDefault="00236854" w:rsidP="00236854">
            <w:pPr>
              <w:tabs>
                <w:tab w:val="left" w:pos="431"/>
              </w:tabs>
              <w:ind w:left="110"/>
              <w:contextualSpacing/>
              <w:jc w:val="both"/>
            </w:pPr>
            <w:r>
              <w:lastRenderedPageBreak/>
              <w:t xml:space="preserve">Прийняття акта забезпечить    регламентацію правових можливостей для виробників енергоспоживчих продуктів. Вітчизняні підприємства зможуть мати рівні конкурентні можливості з європейськими виробниками енергоспоживчих </w:t>
            </w:r>
            <w:r>
              <w:lastRenderedPageBreak/>
              <w:t>продуктів.</w:t>
            </w:r>
          </w:p>
          <w:p w14:paraId="2195A5BD" w14:textId="77777777" w:rsidR="00236854" w:rsidRDefault="00236854" w:rsidP="00236854">
            <w:pPr>
              <w:tabs>
                <w:tab w:val="left" w:pos="431"/>
              </w:tabs>
              <w:ind w:left="110" w:firstLine="38"/>
              <w:contextualSpacing/>
              <w:jc w:val="both"/>
            </w:pPr>
            <w:r>
              <w:t>При цьому, нові норми регламенту призведуть до збільшення собівартості енергоспоживчих продуктів, сприятиме зростанню грошових надходжень виробникам енергоспоживчої продукції, а також в подальшому до витіснення з ринку неенергоефективних  енергоспоживчих продуктів</w:t>
            </w:r>
          </w:p>
          <w:p w14:paraId="7D19DB40" w14:textId="09D925F6" w:rsidR="00236854" w:rsidRDefault="00236854" w:rsidP="00236854">
            <w:pPr>
              <w:tabs>
                <w:tab w:val="left" w:pos="431"/>
              </w:tabs>
              <w:ind w:left="110" w:firstLine="38"/>
              <w:contextualSpacing/>
              <w:jc w:val="both"/>
              <w:rPr>
                <w:lang w:val="ru-RU" w:eastAsia="en-US"/>
              </w:rPr>
            </w:pPr>
          </w:p>
        </w:tc>
      </w:tr>
      <w:tr w:rsidR="00236854" w14:paraId="314537F1" w14:textId="77777777" w:rsidTr="00236854">
        <w:tc>
          <w:tcPr>
            <w:tcW w:w="2657" w:type="dxa"/>
            <w:tcBorders>
              <w:top w:val="single" w:sz="6" w:space="0" w:color="000000"/>
              <w:left w:val="nil"/>
              <w:bottom w:val="single" w:sz="6" w:space="0" w:color="000000"/>
              <w:right w:val="single" w:sz="6" w:space="0" w:color="000000"/>
            </w:tcBorders>
            <w:tcMar>
              <w:top w:w="15" w:type="dxa"/>
              <w:left w:w="15" w:type="dxa"/>
              <w:bottom w:w="15" w:type="dxa"/>
              <w:right w:w="15" w:type="dxa"/>
            </w:tcMar>
          </w:tcPr>
          <w:p w14:paraId="7F94EB3F" w14:textId="0503FF88" w:rsidR="00236854" w:rsidRDefault="00236854" w:rsidP="00236854">
            <w:pPr>
              <w:jc w:val="both"/>
              <w:rPr>
                <w:lang w:val="ru-RU" w:eastAsia="en-US"/>
              </w:rPr>
            </w:pPr>
            <w:r>
              <w:lastRenderedPageBreak/>
              <w:t>Іноземні виробники та імпортери енерго-споживчих продуктів з інших країн</w:t>
            </w:r>
          </w:p>
        </w:tc>
        <w:tc>
          <w:tcPr>
            <w:tcW w:w="36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F11C261" w14:textId="2BA52C2F" w:rsidR="00236854" w:rsidRDefault="00236854" w:rsidP="00236854">
            <w:pPr>
              <w:jc w:val="both"/>
              <w:rPr>
                <w:lang w:val="ru-RU" w:eastAsia="en-US"/>
              </w:rPr>
            </w:pPr>
            <w:r>
              <w:t>Збільшення продажів енерго-споживчих продуктів на ринку України у порівнянні з виробниками неенергоефективної продукції</w:t>
            </w:r>
          </w:p>
        </w:tc>
        <w:tc>
          <w:tcPr>
            <w:tcW w:w="3500" w:type="dxa"/>
            <w:tcBorders>
              <w:top w:val="single" w:sz="6" w:space="0" w:color="000000"/>
              <w:left w:val="single" w:sz="6" w:space="0" w:color="000000"/>
              <w:bottom w:val="single" w:sz="6" w:space="0" w:color="000000"/>
              <w:right w:val="nil"/>
            </w:tcBorders>
            <w:tcMar>
              <w:top w:w="15" w:type="dxa"/>
              <w:left w:w="15" w:type="dxa"/>
              <w:bottom w:w="15" w:type="dxa"/>
              <w:right w:w="15" w:type="dxa"/>
            </w:tcMar>
          </w:tcPr>
          <w:p w14:paraId="375ACBB2" w14:textId="4C79856F" w:rsidR="00236854" w:rsidRDefault="00236854" w:rsidP="00C34C96">
            <w:pPr>
              <w:jc w:val="both"/>
              <w:rPr>
                <w:lang w:val="ru-RU" w:eastAsia="en-US"/>
              </w:rPr>
            </w:pPr>
            <w:r>
              <w:t>Імпортери будуть зобов’язані імпортувати на ринок України тільки ті енергоспоживчі продукти, що відповідатимуть вимогам технічного регламенту з маркування</w:t>
            </w:r>
          </w:p>
        </w:tc>
      </w:tr>
      <w:tr w:rsidR="00236854" w14:paraId="790940AF" w14:textId="77777777" w:rsidTr="00236854">
        <w:tc>
          <w:tcPr>
            <w:tcW w:w="2657" w:type="dxa"/>
            <w:tcBorders>
              <w:top w:val="single" w:sz="6" w:space="0" w:color="000000"/>
              <w:left w:val="nil"/>
              <w:bottom w:val="single" w:sz="6" w:space="0" w:color="000000"/>
              <w:right w:val="single" w:sz="6" w:space="0" w:color="000000"/>
            </w:tcBorders>
            <w:tcMar>
              <w:top w:w="15" w:type="dxa"/>
              <w:left w:w="15" w:type="dxa"/>
              <w:bottom w:w="15" w:type="dxa"/>
              <w:right w:w="15" w:type="dxa"/>
            </w:tcMar>
          </w:tcPr>
          <w:p w14:paraId="11C0AE3B" w14:textId="29D29F79" w:rsidR="00236854" w:rsidRDefault="00C34C96" w:rsidP="00C34C96">
            <w:pPr>
              <w:jc w:val="both"/>
              <w:rPr>
                <w:lang w:val="ru-RU" w:eastAsia="en-US"/>
              </w:rPr>
            </w:pPr>
            <w:r>
              <w:t>Покупці енерго-споживчих продуктів</w:t>
            </w:r>
          </w:p>
        </w:tc>
        <w:tc>
          <w:tcPr>
            <w:tcW w:w="36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C381388" w14:textId="77777777" w:rsidR="00C34C96" w:rsidRPr="00C34C96" w:rsidRDefault="00C34C96" w:rsidP="00C34C96">
            <w:pPr>
              <w:jc w:val="both"/>
            </w:pPr>
            <w:r w:rsidRPr="00C34C96">
              <w:t>Зменшення витрат за споживання електричної енергії</w:t>
            </w:r>
          </w:p>
          <w:p w14:paraId="144BB087" w14:textId="77777777" w:rsidR="00C34C96" w:rsidRDefault="00C34C96" w:rsidP="00C34C96">
            <w:pPr>
              <w:jc w:val="both"/>
            </w:pPr>
            <w:r>
              <w:t>Довший термін експлуатації енергоспоживчих продуктів на 3-5 років.</w:t>
            </w:r>
          </w:p>
          <w:p w14:paraId="27E8BB84" w14:textId="00F3C56C" w:rsidR="00236854" w:rsidRPr="00C34C96" w:rsidRDefault="00C34C96" w:rsidP="00C34C96">
            <w:pPr>
              <w:jc w:val="both"/>
              <w:rPr>
                <w:lang w:val="ru-RU" w:eastAsia="en-US"/>
              </w:rPr>
            </w:pPr>
            <w:r w:rsidRPr="00C34C96">
              <w:t>Збільшення якості продукції та в перспективі зниження ціни на неї, як результат конкуренції українських та іноземних виробників</w:t>
            </w:r>
            <w:r>
              <w:t>.</w:t>
            </w:r>
          </w:p>
        </w:tc>
        <w:tc>
          <w:tcPr>
            <w:tcW w:w="3500" w:type="dxa"/>
            <w:tcBorders>
              <w:top w:val="single" w:sz="6" w:space="0" w:color="000000"/>
              <w:left w:val="single" w:sz="6" w:space="0" w:color="000000"/>
              <w:bottom w:val="single" w:sz="6" w:space="0" w:color="000000"/>
              <w:right w:val="nil"/>
            </w:tcBorders>
            <w:tcMar>
              <w:top w:w="15" w:type="dxa"/>
              <w:left w:w="15" w:type="dxa"/>
              <w:bottom w:w="15" w:type="dxa"/>
              <w:right w:w="15" w:type="dxa"/>
            </w:tcMar>
          </w:tcPr>
          <w:p w14:paraId="0D293F8F" w14:textId="77777777" w:rsidR="00C34C96" w:rsidRDefault="00C34C96" w:rsidP="00C34C96">
            <w:pPr>
              <w:jc w:val="both"/>
            </w:pPr>
            <w:r>
              <w:t xml:space="preserve">Прийняття акта сприятиме введенню в обіг лише енергоспоживчих товарів. При незначному збільшенні ціни приладів, буде досягнуто значне зменшення споживання електроенергії, </w:t>
            </w:r>
          </w:p>
          <w:p w14:paraId="266E85A1" w14:textId="027804F4" w:rsidR="00236854" w:rsidRDefault="00C34C96" w:rsidP="00C34C96">
            <w:pPr>
              <w:jc w:val="both"/>
              <w:rPr>
                <w:lang w:val="ru-RU" w:eastAsia="en-US"/>
              </w:rPr>
            </w:pPr>
            <w:r>
              <w:t>а також збільшено термін експлуатації таких приладів, що сприятиме значній економії коштів покупців.</w:t>
            </w:r>
          </w:p>
        </w:tc>
      </w:tr>
    </w:tbl>
    <w:p w14:paraId="645A7280" w14:textId="77777777" w:rsidR="00236854" w:rsidRDefault="00236854" w:rsidP="00330C71">
      <w:pPr>
        <w:tabs>
          <w:tab w:val="left" w:pos="993"/>
        </w:tabs>
        <w:ind w:left="567"/>
        <w:jc w:val="both"/>
        <w:rPr>
          <w:sz w:val="28"/>
          <w:szCs w:val="28"/>
        </w:rPr>
      </w:pPr>
    </w:p>
    <w:p w14:paraId="6CAD304B" w14:textId="77777777" w:rsidR="009E1D01" w:rsidRDefault="009E1D01" w:rsidP="009E1D01">
      <w:pPr>
        <w:ind w:firstLine="851"/>
        <w:jc w:val="both"/>
        <w:rPr>
          <w:color w:val="000000"/>
          <w:sz w:val="28"/>
          <w:szCs w:val="28"/>
        </w:rPr>
      </w:pPr>
    </w:p>
    <w:p w14:paraId="4B229579" w14:textId="77777777" w:rsidR="00515D2D" w:rsidRDefault="00515D2D" w:rsidP="00515D2D">
      <w:pPr>
        <w:spacing w:before="120"/>
        <w:ind w:firstLine="851"/>
        <w:jc w:val="both"/>
        <w:rPr>
          <w:color w:val="000000"/>
          <w:sz w:val="28"/>
          <w:szCs w:val="28"/>
        </w:rPr>
      </w:pPr>
    </w:p>
    <w:p w14:paraId="08CD0FE9" w14:textId="77777777" w:rsidR="0088760F" w:rsidRDefault="00BD22C4" w:rsidP="00515D2D">
      <w:pPr>
        <w:shd w:val="clear" w:color="auto" w:fill="FFFFFF"/>
        <w:tabs>
          <w:tab w:val="left" w:pos="142"/>
        </w:tabs>
        <w:rPr>
          <w:b/>
          <w:sz w:val="28"/>
          <w:szCs w:val="28"/>
        </w:rPr>
      </w:pPr>
      <w:r>
        <w:rPr>
          <w:b/>
          <w:sz w:val="28"/>
          <w:szCs w:val="28"/>
        </w:rPr>
        <w:t>Т.в.о. Голови</w:t>
      </w:r>
    </w:p>
    <w:p w14:paraId="3DE82607" w14:textId="77777777" w:rsidR="00515D2D" w:rsidRPr="00103671" w:rsidRDefault="00BD22C4" w:rsidP="00515D2D">
      <w:pPr>
        <w:shd w:val="clear" w:color="auto" w:fill="FFFFFF"/>
        <w:tabs>
          <w:tab w:val="left" w:pos="142"/>
        </w:tabs>
        <w:rPr>
          <w:b/>
          <w:sz w:val="28"/>
          <w:szCs w:val="28"/>
        </w:rPr>
      </w:pPr>
      <w:r>
        <w:rPr>
          <w:b/>
          <w:sz w:val="28"/>
          <w:szCs w:val="28"/>
        </w:rPr>
        <w:t>Держенергоефективност</w:t>
      </w:r>
      <w:r w:rsidR="00EF392D">
        <w:rPr>
          <w:b/>
          <w:sz w:val="28"/>
          <w:szCs w:val="28"/>
        </w:rPr>
        <w:t>і</w:t>
      </w:r>
      <w:r w:rsidR="0088760F">
        <w:rPr>
          <w:b/>
          <w:sz w:val="28"/>
          <w:szCs w:val="28"/>
        </w:rPr>
        <w:tab/>
      </w:r>
      <w:r w:rsidR="0088760F">
        <w:rPr>
          <w:b/>
          <w:sz w:val="28"/>
          <w:szCs w:val="28"/>
        </w:rPr>
        <w:tab/>
        <w:t xml:space="preserve">                 </w:t>
      </w:r>
      <w:r w:rsidR="00927E1B">
        <w:rPr>
          <w:b/>
          <w:sz w:val="28"/>
          <w:szCs w:val="28"/>
        </w:rPr>
        <w:t xml:space="preserve">              </w:t>
      </w:r>
      <w:r w:rsidR="0088760F">
        <w:rPr>
          <w:b/>
          <w:sz w:val="28"/>
          <w:szCs w:val="28"/>
        </w:rPr>
        <w:t xml:space="preserve">               </w:t>
      </w:r>
      <w:r w:rsidR="00515D2D" w:rsidRPr="00103671">
        <w:rPr>
          <w:b/>
          <w:sz w:val="28"/>
          <w:szCs w:val="28"/>
        </w:rPr>
        <w:t xml:space="preserve"> </w:t>
      </w:r>
      <w:r w:rsidR="0020283C">
        <w:rPr>
          <w:b/>
          <w:sz w:val="28"/>
          <w:szCs w:val="28"/>
        </w:rPr>
        <w:t>Костянтин ГУРА</w:t>
      </w:r>
    </w:p>
    <w:p w14:paraId="558C48B5" w14:textId="77777777" w:rsidR="00515D2D" w:rsidRPr="00103671" w:rsidRDefault="00515D2D" w:rsidP="00515D2D">
      <w:pPr>
        <w:shd w:val="clear" w:color="auto" w:fill="FFFFFF"/>
        <w:tabs>
          <w:tab w:val="left" w:pos="142"/>
        </w:tabs>
        <w:ind w:firstLine="709"/>
        <w:rPr>
          <w:b/>
          <w:sz w:val="28"/>
          <w:szCs w:val="28"/>
        </w:rPr>
      </w:pPr>
    </w:p>
    <w:p w14:paraId="01CE31C8" w14:textId="3237DD70" w:rsidR="00515D2D" w:rsidRPr="00103671" w:rsidRDefault="00515D2D" w:rsidP="00515D2D">
      <w:pPr>
        <w:shd w:val="clear" w:color="auto" w:fill="FFFFFF"/>
        <w:tabs>
          <w:tab w:val="left" w:pos="142"/>
        </w:tabs>
        <w:rPr>
          <w:b/>
          <w:sz w:val="28"/>
          <w:szCs w:val="28"/>
        </w:rPr>
      </w:pPr>
      <w:r w:rsidRPr="00103671">
        <w:rPr>
          <w:b/>
          <w:sz w:val="28"/>
          <w:szCs w:val="28"/>
        </w:rPr>
        <w:t>___   ___________ 20</w:t>
      </w:r>
      <w:r w:rsidR="003A0AF5">
        <w:rPr>
          <w:b/>
          <w:sz w:val="28"/>
          <w:szCs w:val="28"/>
        </w:rPr>
        <w:t>21</w:t>
      </w:r>
      <w:r w:rsidRPr="00103671">
        <w:rPr>
          <w:b/>
          <w:sz w:val="28"/>
          <w:szCs w:val="28"/>
          <w:lang w:val="ru-RU"/>
        </w:rPr>
        <w:t xml:space="preserve"> </w:t>
      </w:r>
      <w:r w:rsidR="004C1E5A">
        <w:rPr>
          <w:b/>
          <w:sz w:val="28"/>
          <w:szCs w:val="28"/>
        </w:rPr>
        <w:t>р.</w:t>
      </w:r>
    </w:p>
    <w:p w14:paraId="5E5879F4" w14:textId="77777777" w:rsidR="006678AB" w:rsidRPr="004F5800" w:rsidRDefault="006678AB" w:rsidP="006678AB">
      <w:pPr>
        <w:shd w:val="clear" w:color="auto" w:fill="FFFFFF"/>
        <w:rPr>
          <w:b/>
          <w:sz w:val="26"/>
          <w:szCs w:val="26"/>
        </w:rPr>
      </w:pPr>
    </w:p>
    <w:p w14:paraId="034B7D9B" w14:textId="77777777" w:rsidR="006678AB" w:rsidRDefault="006678AB" w:rsidP="006678AB">
      <w:pPr>
        <w:shd w:val="clear" w:color="auto" w:fill="FFFFFF"/>
        <w:rPr>
          <w:b/>
          <w:sz w:val="28"/>
          <w:szCs w:val="28"/>
        </w:rPr>
      </w:pPr>
    </w:p>
    <w:p w14:paraId="02967128" w14:textId="77777777" w:rsidR="003D5696" w:rsidRDefault="003D5696" w:rsidP="005C58EC">
      <w:pPr>
        <w:shd w:val="clear" w:color="auto" w:fill="FFFFFF"/>
        <w:jc w:val="center"/>
      </w:pPr>
    </w:p>
    <w:sectPr w:rsidR="003D5696" w:rsidSect="005C58EC">
      <w:headerReference w:type="even" r:id="rId9"/>
      <w:headerReference w:type="default" r:id="rId10"/>
      <w:headerReference w:type="first" r:id="rId11"/>
      <w:pgSz w:w="11906" w:h="16838"/>
      <w:pgMar w:top="993" w:right="566" w:bottom="709" w:left="156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12768" w14:textId="77777777" w:rsidR="000A4A4F" w:rsidRDefault="000A4A4F">
      <w:r>
        <w:separator/>
      </w:r>
    </w:p>
  </w:endnote>
  <w:endnote w:type="continuationSeparator" w:id="0">
    <w:p w14:paraId="084F192D" w14:textId="77777777" w:rsidR="000A4A4F" w:rsidRDefault="000A4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A1384" w14:textId="77777777" w:rsidR="000A4A4F" w:rsidRDefault="000A4A4F">
      <w:r>
        <w:separator/>
      </w:r>
    </w:p>
  </w:footnote>
  <w:footnote w:type="continuationSeparator" w:id="0">
    <w:p w14:paraId="3551697D" w14:textId="77777777" w:rsidR="000A4A4F" w:rsidRDefault="000A4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CA2BC" w14:textId="77777777" w:rsidR="00D11F0B" w:rsidRDefault="0044666E" w:rsidP="007B0E4F">
    <w:pPr>
      <w:pStyle w:val="a3"/>
      <w:framePr w:wrap="around" w:vAnchor="text" w:hAnchor="margin" w:xAlign="center" w:y="1"/>
      <w:rPr>
        <w:rStyle w:val="a5"/>
      </w:rPr>
    </w:pPr>
    <w:r>
      <w:rPr>
        <w:rStyle w:val="a5"/>
      </w:rPr>
      <w:fldChar w:fldCharType="begin"/>
    </w:r>
    <w:r w:rsidR="003D34F0">
      <w:rPr>
        <w:rStyle w:val="a5"/>
      </w:rPr>
      <w:instrText xml:space="preserve">PAGE  </w:instrText>
    </w:r>
    <w:r>
      <w:rPr>
        <w:rStyle w:val="a5"/>
      </w:rPr>
      <w:fldChar w:fldCharType="end"/>
    </w:r>
  </w:p>
  <w:p w14:paraId="5E1BE1A2" w14:textId="77777777" w:rsidR="00D11F0B" w:rsidRDefault="000A4A4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62126"/>
      <w:docPartObj>
        <w:docPartGallery w:val="Page Numbers (Top of Page)"/>
        <w:docPartUnique/>
      </w:docPartObj>
    </w:sdtPr>
    <w:sdtEndPr/>
    <w:sdtContent>
      <w:p w14:paraId="54CEA52B" w14:textId="77777777" w:rsidR="00373970" w:rsidRDefault="0044666E">
        <w:pPr>
          <w:pStyle w:val="a3"/>
          <w:jc w:val="center"/>
        </w:pPr>
        <w:r>
          <w:fldChar w:fldCharType="begin"/>
        </w:r>
        <w:r w:rsidR="00373970">
          <w:instrText>PAGE   \* MERGEFORMAT</w:instrText>
        </w:r>
        <w:r>
          <w:fldChar w:fldCharType="separate"/>
        </w:r>
        <w:r w:rsidR="00642036" w:rsidRPr="00642036">
          <w:rPr>
            <w:noProof/>
            <w:lang w:val="ru-RU"/>
          </w:rPr>
          <w:t>4</w:t>
        </w:r>
        <w:r>
          <w:fldChar w:fldCharType="end"/>
        </w:r>
      </w:p>
    </w:sdtContent>
  </w:sdt>
  <w:p w14:paraId="16A3386B" w14:textId="77777777" w:rsidR="00373970" w:rsidRDefault="0037397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1CD6D" w14:textId="77777777" w:rsidR="008225A0" w:rsidRDefault="008225A0">
    <w:pPr>
      <w:pStyle w:val="a3"/>
      <w:jc w:val="center"/>
    </w:pPr>
  </w:p>
  <w:p w14:paraId="79C2AEF4" w14:textId="77777777" w:rsidR="008225A0" w:rsidRDefault="008225A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00837"/>
    <w:multiLevelType w:val="hybridMultilevel"/>
    <w:tmpl w:val="C0586F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7403290"/>
    <w:multiLevelType w:val="hybridMultilevel"/>
    <w:tmpl w:val="DCC075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2">
    <w:nsid w:val="583D51D0"/>
    <w:multiLevelType w:val="hybridMultilevel"/>
    <w:tmpl w:val="E24AB8C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F946C00"/>
    <w:multiLevelType w:val="hybridMultilevel"/>
    <w:tmpl w:val="AE86E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8AB"/>
    <w:rsid w:val="00004006"/>
    <w:rsid w:val="000052D1"/>
    <w:rsid w:val="00015BF5"/>
    <w:rsid w:val="000224B7"/>
    <w:rsid w:val="00047323"/>
    <w:rsid w:val="0006439D"/>
    <w:rsid w:val="000667B1"/>
    <w:rsid w:val="00076956"/>
    <w:rsid w:val="000805B3"/>
    <w:rsid w:val="000A4A4F"/>
    <w:rsid w:val="000E4E2A"/>
    <w:rsid w:val="000E7DB3"/>
    <w:rsid w:val="001107AB"/>
    <w:rsid w:val="001111BD"/>
    <w:rsid w:val="0014517E"/>
    <w:rsid w:val="00164C2C"/>
    <w:rsid w:val="0017530C"/>
    <w:rsid w:val="001D1089"/>
    <w:rsid w:val="001E17DB"/>
    <w:rsid w:val="001E2072"/>
    <w:rsid w:val="0020283C"/>
    <w:rsid w:val="0021217F"/>
    <w:rsid w:val="00236854"/>
    <w:rsid w:val="00255236"/>
    <w:rsid w:val="00286689"/>
    <w:rsid w:val="002A575A"/>
    <w:rsid w:val="002B75E3"/>
    <w:rsid w:val="002C27D7"/>
    <w:rsid w:val="002C7749"/>
    <w:rsid w:val="002D0792"/>
    <w:rsid w:val="002D0A1F"/>
    <w:rsid w:val="002E1565"/>
    <w:rsid w:val="00304823"/>
    <w:rsid w:val="00330C71"/>
    <w:rsid w:val="003721A1"/>
    <w:rsid w:val="00373970"/>
    <w:rsid w:val="003A0AF5"/>
    <w:rsid w:val="003B1AEE"/>
    <w:rsid w:val="003D34F0"/>
    <w:rsid w:val="003D5696"/>
    <w:rsid w:val="00400B9B"/>
    <w:rsid w:val="00412547"/>
    <w:rsid w:val="004325B1"/>
    <w:rsid w:val="00432D8C"/>
    <w:rsid w:val="0044666E"/>
    <w:rsid w:val="004773B3"/>
    <w:rsid w:val="004A5057"/>
    <w:rsid w:val="004B448A"/>
    <w:rsid w:val="004C02FF"/>
    <w:rsid w:val="004C1E5A"/>
    <w:rsid w:val="004D59AE"/>
    <w:rsid w:val="004F0FFD"/>
    <w:rsid w:val="004F1C4D"/>
    <w:rsid w:val="004F311B"/>
    <w:rsid w:val="004F58AA"/>
    <w:rsid w:val="00505181"/>
    <w:rsid w:val="00515D2D"/>
    <w:rsid w:val="0052147A"/>
    <w:rsid w:val="005561A6"/>
    <w:rsid w:val="005609B5"/>
    <w:rsid w:val="00571877"/>
    <w:rsid w:val="0058457D"/>
    <w:rsid w:val="00590EE5"/>
    <w:rsid w:val="005B17AD"/>
    <w:rsid w:val="005B6477"/>
    <w:rsid w:val="005C58EC"/>
    <w:rsid w:val="005C737D"/>
    <w:rsid w:val="005F2AB3"/>
    <w:rsid w:val="005F58FB"/>
    <w:rsid w:val="00617CB0"/>
    <w:rsid w:val="0063419D"/>
    <w:rsid w:val="00634DA1"/>
    <w:rsid w:val="00642036"/>
    <w:rsid w:val="00644AC9"/>
    <w:rsid w:val="00660EDF"/>
    <w:rsid w:val="00667055"/>
    <w:rsid w:val="006678AB"/>
    <w:rsid w:val="006727B6"/>
    <w:rsid w:val="0067401C"/>
    <w:rsid w:val="00683324"/>
    <w:rsid w:val="006B1849"/>
    <w:rsid w:val="006C370D"/>
    <w:rsid w:val="006D1AF2"/>
    <w:rsid w:val="006D39EA"/>
    <w:rsid w:val="006D45F6"/>
    <w:rsid w:val="006D75B3"/>
    <w:rsid w:val="00705F55"/>
    <w:rsid w:val="007112F1"/>
    <w:rsid w:val="007133DF"/>
    <w:rsid w:val="0075685A"/>
    <w:rsid w:val="007A616C"/>
    <w:rsid w:val="007C2F2D"/>
    <w:rsid w:val="007F09FE"/>
    <w:rsid w:val="007F7002"/>
    <w:rsid w:val="008201DD"/>
    <w:rsid w:val="008225A0"/>
    <w:rsid w:val="00863918"/>
    <w:rsid w:val="008861F3"/>
    <w:rsid w:val="0088760F"/>
    <w:rsid w:val="008924FC"/>
    <w:rsid w:val="008B2F01"/>
    <w:rsid w:val="008E3EBA"/>
    <w:rsid w:val="008F1ECE"/>
    <w:rsid w:val="008F7540"/>
    <w:rsid w:val="009012EA"/>
    <w:rsid w:val="00912A66"/>
    <w:rsid w:val="00916B13"/>
    <w:rsid w:val="00927E1B"/>
    <w:rsid w:val="00946597"/>
    <w:rsid w:val="009467C7"/>
    <w:rsid w:val="009474F6"/>
    <w:rsid w:val="009935A3"/>
    <w:rsid w:val="009A3E3D"/>
    <w:rsid w:val="009D08E7"/>
    <w:rsid w:val="009D6F56"/>
    <w:rsid w:val="009E1D01"/>
    <w:rsid w:val="00A0133F"/>
    <w:rsid w:val="00A17494"/>
    <w:rsid w:val="00A45998"/>
    <w:rsid w:val="00A80BC4"/>
    <w:rsid w:val="00A8287E"/>
    <w:rsid w:val="00A93554"/>
    <w:rsid w:val="00B0678E"/>
    <w:rsid w:val="00B06E5C"/>
    <w:rsid w:val="00B200BA"/>
    <w:rsid w:val="00B23675"/>
    <w:rsid w:val="00B5230E"/>
    <w:rsid w:val="00B57CD4"/>
    <w:rsid w:val="00B6200E"/>
    <w:rsid w:val="00B838CE"/>
    <w:rsid w:val="00B84CB1"/>
    <w:rsid w:val="00BD22C4"/>
    <w:rsid w:val="00BE4184"/>
    <w:rsid w:val="00C0041C"/>
    <w:rsid w:val="00C02FBF"/>
    <w:rsid w:val="00C12058"/>
    <w:rsid w:val="00C20918"/>
    <w:rsid w:val="00C34C96"/>
    <w:rsid w:val="00C702F3"/>
    <w:rsid w:val="00C76585"/>
    <w:rsid w:val="00CA22EA"/>
    <w:rsid w:val="00CA454B"/>
    <w:rsid w:val="00CA7FB6"/>
    <w:rsid w:val="00D0642D"/>
    <w:rsid w:val="00D32329"/>
    <w:rsid w:val="00D950DF"/>
    <w:rsid w:val="00DB6469"/>
    <w:rsid w:val="00DC1B06"/>
    <w:rsid w:val="00E1586D"/>
    <w:rsid w:val="00E37B8D"/>
    <w:rsid w:val="00E63F44"/>
    <w:rsid w:val="00E6671B"/>
    <w:rsid w:val="00E8617A"/>
    <w:rsid w:val="00EA6449"/>
    <w:rsid w:val="00EF392D"/>
    <w:rsid w:val="00EF73B9"/>
    <w:rsid w:val="00F20851"/>
    <w:rsid w:val="00F22464"/>
    <w:rsid w:val="00F24EB8"/>
    <w:rsid w:val="00F376CE"/>
    <w:rsid w:val="00F55FB0"/>
    <w:rsid w:val="00F847B6"/>
    <w:rsid w:val="00FA43DE"/>
    <w:rsid w:val="00FA68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4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8AB"/>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678AB"/>
    <w:pPr>
      <w:tabs>
        <w:tab w:val="center" w:pos="4819"/>
        <w:tab w:val="right" w:pos="9639"/>
      </w:tabs>
    </w:pPr>
  </w:style>
  <w:style w:type="character" w:customStyle="1" w:styleId="a4">
    <w:name w:val="Верхний колонтитул Знак"/>
    <w:basedOn w:val="a0"/>
    <w:link w:val="a3"/>
    <w:uiPriority w:val="99"/>
    <w:rsid w:val="006678AB"/>
    <w:rPr>
      <w:rFonts w:ascii="Times New Roman" w:eastAsia="Times New Roman" w:hAnsi="Times New Roman" w:cs="Times New Roman"/>
      <w:sz w:val="24"/>
      <w:szCs w:val="24"/>
      <w:lang w:val="uk-UA" w:eastAsia="ru-RU"/>
    </w:rPr>
  </w:style>
  <w:style w:type="character" w:styleId="a5">
    <w:name w:val="page number"/>
    <w:basedOn w:val="a0"/>
    <w:rsid w:val="006678AB"/>
  </w:style>
  <w:style w:type="character" w:styleId="a6">
    <w:name w:val="Hyperlink"/>
    <w:rsid w:val="006678AB"/>
    <w:rPr>
      <w:color w:val="0563C1"/>
      <w:u w:val="single"/>
    </w:rPr>
  </w:style>
  <w:style w:type="paragraph" w:styleId="a7">
    <w:name w:val="List Paragraph"/>
    <w:basedOn w:val="a"/>
    <w:uiPriority w:val="34"/>
    <w:qFormat/>
    <w:rsid w:val="006678AB"/>
    <w:pPr>
      <w:spacing w:after="160" w:line="259" w:lineRule="auto"/>
      <w:ind w:left="720"/>
      <w:contextualSpacing/>
    </w:pPr>
    <w:rPr>
      <w:rFonts w:ascii="Calibri" w:eastAsia="Calibri" w:hAnsi="Calibri"/>
      <w:sz w:val="22"/>
      <w:szCs w:val="22"/>
      <w:lang w:val="ru-RU" w:eastAsia="en-US"/>
    </w:rPr>
  </w:style>
  <w:style w:type="character" w:customStyle="1" w:styleId="rvts9">
    <w:name w:val="rvts9"/>
    <w:basedOn w:val="a0"/>
    <w:rsid w:val="006678AB"/>
  </w:style>
  <w:style w:type="character" w:customStyle="1" w:styleId="rvts37">
    <w:name w:val="rvts37"/>
    <w:basedOn w:val="a0"/>
    <w:rsid w:val="006678AB"/>
  </w:style>
  <w:style w:type="paragraph" w:styleId="a8">
    <w:name w:val="Balloon Text"/>
    <w:basedOn w:val="a"/>
    <w:link w:val="a9"/>
    <w:uiPriority w:val="99"/>
    <w:semiHidden/>
    <w:unhideWhenUsed/>
    <w:rsid w:val="00916B13"/>
    <w:rPr>
      <w:rFonts w:ascii="Tahoma" w:hAnsi="Tahoma" w:cs="Tahoma"/>
      <w:sz w:val="16"/>
      <w:szCs w:val="16"/>
    </w:rPr>
  </w:style>
  <w:style w:type="character" w:customStyle="1" w:styleId="a9">
    <w:name w:val="Текст выноски Знак"/>
    <w:basedOn w:val="a0"/>
    <w:link w:val="a8"/>
    <w:uiPriority w:val="99"/>
    <w:semiHidden/>
    <w:rsid w:val="00916B13"/>
    <w:rPr>
      <w:rFonts w:ascii="Tahoma" w:eastAsia="Times New Roman" w:hAnsi="Tahoma" w:cs="Tahoma"/>
      <w:sz w:val="16"/>
      <w:szCs w:val="16"/>
      <w:lang w:val="uk-UA" w:eastAsia="ru-RU"/>
    </w:rPr>
  </w:style>
  <w:style w:type="paragraph" w:styleId="aa">
    <w:name w:val="footer"/>
    <w:basedOn w:val="a"/>
    <w:link w:val="ab"/>
    <w:uiPriority w:val="99"/>
    <w:unhideWhenUsed/>
    <w:rsid w:val="00660EDF"/>
    <w:pPr>
      <w:tabs>
        <w:tab w:val="center" w:pos="4677"/>
        <w:tab w:val="right" w:pos="9355"/>
      </w:tabs>
    </w:pPr>
  </w:style>
  <w:style w:type="character" w:customStyle="1" w:styleId="ab">
    <w:name w:val="Нижний колонтитул Знак"/>
    <w:basedOn w:val="a0"/>
    <w:link w:val="aa"/>
    <w:uiPriority w:val="99"/>
    <w:rsid w:val="00660EDF"/>
    <w:rPr>
      <w:rFonts w:ascii="Times New Roman" w:eastAsia="Times New Roman" w:hAnsi="Times New Roman" w:cs="Times New Roman"/>
      <w:sz w:val="24"/>
      <w:szCs w:val="24"/>
      <w:lang w:val="uk-UA" w:eastAsia="ru-RU"/>
    </w:rPr>
  </w:style>
  <w:style w:type="paragraph" w:customStyle="1" w:styleId="ac">
    <w:name w:val="Нормальний текст"/>
    <w:basedOn w:val="a"/>
    <w:rsid w:val="006B1849"/>
    <w:pPr>
      <w:spacing w:before="120"/>
      <w:ind w:firstLine="567"/>
      <w:jc w:val="both"/>
    </w:pPr>
    <w:rPr>
      <w:rFonts w:ascii="Antiqua" w:hAnsi="Antiqua"/>
      <w:sz w:val="26"/>
      <w:szCs w:val="20"/>
    </w:rPr>
  </w:style>
  <w:style w:type="paragraph" w:styleId="ad">
    <w:name w:val="Body Text Indent"/>
    <w:basedOn w:val="a"/>
    <w:link w:val="ae"/>
    <w:rsid w:val="00330C71"/>
    <w:pPr>
      <w:ind w:right="-128" w:firstLine="540"/>
      <w:jc w:val="both"/>
    </w:pPr>
    <w:rPr>
      <w:sz w:val="28"/>
    </w:rPr>
  </w:style>
  <w:style w:type="character" w:customStyle="1" w:styleId="ae">
    <w:name w:val="Основной текст с отступом Знак"/>
    <w:basedOn w:val="a0"/>
    <w:link w:val="ad"/>
    <w:rsid w:val="00330C71"/>
    <w:rPr>
      <w:rFonts w:ascii="Times New Roman" w:eastAsia="Times New Roman" w:hAnsi="Times New Roman" w:cs="Times New Roman"/>
      <w:sz w:val="28"/>
      <w:szCs w:val="24"/>
      <w:lang w:val="uk-UA" w:eastAsia="ru-RU"/>
    </w:rPr>
  </w:style>
  <w:style w:type="table" w:customStyle="1" w:styleId="C1">
    <w:name w:val="Cетка таблицы (светлая)1"/>
    <w:basedOn w:val="a1"/>
    <w:uiPriority w:val="40"/>
    <w:rsid w:val="00C0041C"/>
    <w:pPr>
      <w:spacing w:after="0" w:line="240" w:lineRule="auto"/>
    </w:pPr>
    <w:rPr>
      <w:lang w:val="uk-U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vts23">
    <w:name w:val="rvts23"/>
    <w:basedOn w:val="a0"/>
    <w:rsid w:val="005C737D"/>
  </w:style>
  <w:style w:type="paragraph" w:customStyle="1" w:styleId="rvps12">
    <w:name w:val="rvps12"/>
    <w:basedOn w:val="a"/>
    <w:rsid w:val="003B1AEE"/>
    <w:pPr>
      <w:spacing w:before="100" w:beforeAutospacing="1" w:after="100" w:afterAutospacing="1"/>
    </w:pPr>
    <w:rPr>
      <w:rFonts w:eastAsiaTheme="minorHAnsi"/>
      <w:lang w:val="ru-RU"/>
    </w:rPr>
  </w:style>
  <w:style w:type="character" w:customStyle="1" w:styleId="apple-converted-space">
    <w:name w:val="apple-converted-space"/>
    <w:basedOn w:val="a0"/>
    <w:rsid w:val="003B1AEE"/>
  </w:style>
  <w:style w:type="character" w:customStyle="1" w:styleId="rvts15">
    <w:name w:val="rvts15"/>
    <w:basedOn w:val="a0"/>
    <w:rsid w:val="003B1AEE"/>
  </w:style>
  <w:style w:type="character" w:customStyle="1" w:styleId="rvts82">
    <w:name w:val="rvts82"/>
    <w:basedOn w:val="a0"/>
    <w:rsid w:val="003B1AEE"/>
  </w:style>
  <w:style w:type="paragraph" w:customStyle="1" w:styleId="rvps2">
    <w:name w:val="rvps2"/>
    <w:basedOn w:val="a"/>
    <w:rsid w:val="003B1AEE"/>
    <w:pPr>
      <w:spacing w:before="100" w:beforeAutospacing="1" w:after="100" w:afterAutospacing="1"/>
    </w:pPr>
    <w:rPr>
      <w:rFonts w:eastAsiaTheme="minorHAnsi"/>
      <w:lang w:val="ru-RU"/>
    </w:rPr>
  </w:style>
  <w:style w:type="paragraph" w:customStyle="1" w:styleId="rvps1">
    <w:name w:val="rvps1"/>
    <w:basedOn w:val="a"/>
    <w:rsid w:val="003B1AEE"/>
    <w:pPr>
      <w:spacing w:before="100" w:beforeAutospacing="1" w:after="100" w:afterAutospacing="1"/>
    </w:pPr>
    <w:rPr>
      <w:rFonts w:eastAsiaTheme="minorHAnsi"/>
      <w:lang w:val="ru-RU"/>
    </w:rPr>
  </w:style>
  <w:style w:type="character" w:customStyle="1" w:styleId="rvts11">
    <w:name w:val="rvts11"/>
    <w:basedOn w:val="a0"/>
    <w:rsid w:val="003B1AEE"/>
  </w:style>
  <w:style w:type="paragraph" w:customStyle="1" w:styleId="rvps8">
    <w:name w:val="rvps8"/>
    <w:basedOn w:val="a"/>
    <w:rsid w:val="003B1AEE"/>
    <w:pPr>
      <w:spacing w:before="100" w:beforeAutospacing="1" w:after="100" w:afterAutospacing="1"/>
    </w:pPr>
    <w:rPr>
      <w:rFonts w:eastAsiaTheme="minorHAnsi"/>
      <w:lang w:val="ru-RU"/>
    </w:rPr>
  </w:style>
  <w:style w:type="character" w:customStyle="1" w:styleId="rvts13">
    <w:name w:val="rvts13"/>
    <w:basedOn w:val="a0"/>
    <w:rsid w:val="008E3E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8AB"/>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678AB"/>
    <w:pPr>
      <w:tabs>
        <w:tab w:val="center" w:pos="4819"/>
        <w:tab w:val="right" w:pos="9639"/>
      </w:tabs>
    </w:pPr>
  </w:style>
  <w:style w:type="character" w:customStyle="1" w:styleId="a4">
    <w:name w:val="Верхний колонтитул Знак"/>
    <w:basedOn w:val="a0"/>
    <w:link w:val="a3"/>
    <w:uiPriority w:val="99"/>
    <w:rsid w:val="006678AB"/>
    <w:rPr>
      <w:rFonts w:ascii="Times New Roman" w:eastAsia="Times New Roman" w:hAnsi="Times New Roman" w:cs="Times New Roman"/>
      <w:sz w:val="24"/>
      <w:szCs w:val="24"/>
      <w:lang w:val="uk-UA" w:eastAsia="ru-RU"/>
    </w:rPr>
  </w:style>
  <w:style w:type="character" w:styleId="a5">
    <w:name w:val="page number"/>
    <w:basedOn w:val="a0"/>
    <w:rsid w:val="006678AB"/>
  </w:style>
  <w:style w:type="character" w:styleId="a6">
    <w:name w:val="Hyperlink"/>
    <w:rsid w:val="006678AB"/>
    <w:rPr>
      <w:color w:val="0563C1"/>
      <w:u w:val="single"/>
    </w:rPr>
  </w:style>
  <w:style w:type="paragraph" w:styleId="a7">
    <w:name w:val="List Paragraph"/>
    <w:basedOn w:val="a"/>
    <w:uiPriority w:val="34"/>
    <w:qFormat/>
    <w:rsid w:val="006678AB"/>
    <w:pPr>
      <w:spacing w:after="160" w:line="259" w:lineRule="auto"/>
      <w:ind w:left="720"/>
      <w:contextualSpacing/>
    </w:pPr>
    <w:rPr>
      <w:rFonts w:ascii="Calibri" w:eastAsia="Calibri" w:hAnsi="Calibri"/>
      <w:sz w:val="22"/>
      <w:szCs w:val="22"/>
      <w:lang w:val="ru-RU" w:eastAsia="en-US"/>
    </w:rPr>
  </w:style>
  <w:style w:type="character" w:customStyle="1" w:styleId="rvts9">
    <w:name w:val="rvts9"/>
    <w:basedOn w:val="a0"/>
    <w:rsid w:val="006678AB"/>
  </w:style>
  <w:style w:type="character" w:customStyle="1" w:styleId="rvts37">
    <w:name w:val="rvts37"/>
    <w:basedOn w:val="a0"/>
    <w:rsid w:val="006678AB"/>
  </w:style>
  <w:style w:type="paragraph" w:styleId="a8">
    <w:name w:val="Balloon Text"/>
    <w:basedOn w:val="a"/>
    <w:link w:val="a9"/>
    <w:uiPriority w:val="99"/>
    <w:semiHidden/>
    <w:unhideWhenUsed/>
    <w:rsid w:val="00916B13"/>
    <w:rPr>
      <w:rFonts w:ascii="Tahoma" w:hAnsi="Tahoma" w:cs="Tahoma"/>
      <w:sz w:val="16"/>
      <w:szCs w:val="16"/>
    </w:rPr>
  </w:style>
  <w:style w:type="character" w:customStyle="1" w:styleId="a9">
    <w:name w:val="Текст выноски Знак"/>
    <w:basedOn w:val="a0"/>
    <w:link w:val="a8"/>
    <w:uiPriority w:val="99"/>
    <w:semiHidden/>
    <w:rsid w:val="00916B13"/>
    <w:rPr>
      <w:rFonts w:ascii="Tahoma" w:eastAsia="Times New Roman" w:hAnsi="Tahoma" w:cs="Tahoma"/>
      <w:sz w:val="16"/>
      <w:szCs w:val="16"/>
      <w:lang w:val="uk-UA" w:eastAsia="ru-RU"/>
    </w:rPr>
  </w:style>
  <w:style w:type="paragraph" w:styleId="aa">
    <w:name w:val="footer"/>
    <w:basedOn w:val="a"/>
    <w:link w:val="ab"/>
    <w:uiPriority w:val="99"/>
    <w:unhideWhenUsed/>
    <w:rsid w:val="00660EDF"/>
    <w:pPr>
      <w:tabs>
        <w:tab w:val="center" w:pos="4677"/>
        <w:tab w:val="right" w:pos="9355"/>
      </w:tabs>
    </w:pPr>
  </w:style>
  <w:style w:type="character" w:customStyle="1" w:styleId="ab">
    <w:name w:val="Нижний колонтитул Знак"/>
    <w:basedOn w:val="a0"/>
    <w:link w:val="aa"/>
    <w:uiPriority w:val="99"/>
    <w:rsid w:val="00660EDF"/>
    <w:rPr>
      <w:rFonts w:ascii="Times New Roman" w:eastAsia="Times New Roman" w:hAnsi="Times New Roman" w:cs="Times New Roman"/>
      <w:sz w:val="24"/>
      <w:szCs w:val="24"/>
      <w:lang w:val="uk-UA" w:eastAsia="ru-RU"/>
    </w:rPr>
  </w:style>
  <w:style w:type="paragraph" w:customStyle="1" w:styleId="ac">
    <w:name w:val="Нормальний текст"/>
    <w:basedOn w:val="a"/>
    <w:rsid w:val="006B1849"/>
    <w:pPr>
      <w:spacing w:before="120"/>
      <w:ind w:firstLine="567"/>
      <w:jc w:val="both"/>
    </w:pPr>
    <w:rPr>
      <w:rFonts w:ascii="Antiqua" w:hAnsi="Antiqua"/>
      <w:sz w:val="26"/>
      <w:szCs w:val="20"/>
    </w:rPr>
  </w:style>
  <w:style w:type="paragraph" w:styleId="ad">
    <w:name w:val="Body Text Indent"/>
    <w:basedOn w:val="a"/>
    <w:link w:val="ae"/>
    <w:rsid w:val="00330C71"/>
    <w:pPr>
      <w:ind w:right="-128" w:firstLine="540"/>
      <w:jc w:val="both"/>
    </w:pPr>
    <w:rPr>
      <w:sz w:val="28"/>
    </w:rPr>
  </w:style>
  <w:style w:type="character" w:customStyle="1" w:styleId="ae">
    <w:name w:val="Основной текст с отступом Знак"/>
    <w:basedOn w:val="a0"/>
    <w:link w:val="ad"/>
    <w:rsid w:val="00330C71"/>
    <w:rPr>
      <w:rFonts w:ascii="Times New Roman" w:eastAsia="Times New Roman" w:hAnsi="Times New Roman" w:cs="Times New Roman"/>
      <w:sz w:val="28"/>
      <w:szCs w:val="24"/>
      <w:lang w:val="uk-UA" w:eastAsia="ru-RU"/>
    </w:rPr>
  </w:style>
  <w:style w:type="table" w:customStyle="1" w:styleId="C1">
    <w:name w:val="Cетка таблицы (светлая)1"/>
    <w:basedOn w:val="a1"/>
    <w:uiPriority w:val="40"/>
    <w:rsid w:val="00C0041C"/>
    <w:pPr>
      <w:spacing w:after="0" w:line="240" w:lineRule="auto"/>
    </w:pPr>
    <w:rPr>
      <w:lang w:val="uk-U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vts23">
    <w:name w:val="rvts23"/>
    <w:basedOn w:val="a0"/>
    <w:rsid w:val="005C737D"/>
  </w:style>
  <w:style w:type="paragraph" w:customStyle="1" w:styleId="rvps12">
    <w:name w:val="rvps12"/>
    <w:basedOn w:val="a"/>
    <w:rsid w:val="003B1AEE"/>
    <w:pPr>
      <w:spacing w:before="100" w:beforeAutospacing="1" w:after="100" w:afterAutospacing="1"/>
    </w:pPr>
    <w:rPr>
      <w:rFonts w:eastAsiaTheme="minorHAnsi"/>
      <w:lang w:val="ru-RU"/>
    </w:rPr>
  </w:style>
  <w:style w:type="character" w:customStyle="1" w:styleId="apple-converted-space">
    <w:name w:val="apple-converted-space"/>
    <w:basedOn w:val="a0"/>
    <w:rsid w:val="003B1AEE"/>
  </w:style>
  <w:style w:type="character" w:customStyle="1" w:styleId="rvts15">
    <w:name w:val="rvts15"/>
    <w:basedOn w:val="a0"/>
    <w:rsid w:val="003B1AEE"/>
  </w:style>
  <w:style w:type="character" w:customStyle="1" w:styleId="rvts82">
    <w:name w:val="rvts82"/>
    <w:basedOn w:val="a0"/>
    <w:rsid w:val="003B1AEE"/>
  </w:style>
  <w:style w:type="paragraph" w:customStyle="1" w:styleId="rvps2">
    <w:name w:val="rvps2"/>
    <w:basedOn w:val="a"/>
    <w:rsid w:val="003B1AEE"/>
    <w:pPr>
      <w:spacing w:before="100" w:beforeAutospacing="1" w:after="100" w:afterAutospacing="1"/>
    </w:pPr>
    <w:rPr>
      <w:rFonts w:eastAsiaTheme="minorHAnsi"/>
      <w:lang w:val="ru-RU"/>
    </w:rPr>
  </w:style>
  <w:style w:type="paragraph" w:customStyle="1" w:styleId="rvps1">
    <w:name w:val="rvps1"/>
    <w:basedOn w:val="a"/>
    <w:rsid w:val="003B1AEE"/>
    <w:pPr>
      <w:spacing w:before="100" w:beforeAutospacing="1" w:after="100" w:afterAutospacing="1"/>
    </w:pPr>
    <w:rPr>
      <w:rFonts w:eastAsiaTheme="minorHAnsi"/>
      <w:lang w:val="ru-RU"/>
    </w:rPr>
  </w:style>
  <w:style w:type="character" w:customStyle="1" w:styleId="rvts11">
    <w:name w:val="rvts11"/>
    <w:basedOn w:val="a0"/>
    <w:rsid w:val="003B1AEE"/>
  </w:style>
  <w:style w:type="paragraph" w:customStyle="1" w:styleId="rvps8">
    <w:name w:val="rvps8"/>
    <w:basedOn w:val="a"/>
    <w:rsid w:val="003B1AEE"/>
    <w:pPr>
      <w:spacing w:before="100" w:beforeAutospacing="1" w:after="100" w:afterAutospacing="1"/>
    </w:pPr>
    <w:rPr>
      <w:rFonts w:eastAsiaTheme="minorHAnsi"/>
      <w:lang w:val="ru-RU"/>
    </w:rPr>
  </w:style>
  <w:style w:type="character" w:customStyle="1" w:styleId="rvts13">
    <w:name w:val="rvts13"/>
    <w:basedOn w:val="a0"/>
    <w:rsid w:val="008E3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6078">
      <w:bodyDiv w:val="1"/>
      <w:marLeft w:val="0"/>
      <w:marRight w:val="0"/>
      <w:marTop w:val="0"/>
      <w:marBottom w:val="0"/>
      <w:divBdr>
        <w:top w:val="none" w:sz="0" w:space="0" w:color="auto"/>
        <w:left w:val="none" w:sz="0" w:space="0" w:color="auto"/>
        <w:bottom w:val="none" w:sz="0" w:space="0" w:color="auto"/>
        <w:right w:val="none" w:sz="0" w:space="0" w:color="auto"/>
      </w:divBdr>
    </w:div>
    <w:div w:id="78915651">
      <w:bodyDiv w:val="1"/>
      <w:marLeft w:val="0"/>
      <w:marRight w:val="0"/>
      <w:marTop w:val="0"/>
      <w:marBottom w:val="0"/>
      <w:divBdr>
        <w:top w:val="none" w:sz="0" w:space="0" w:color="auto"/>
        <w:left w:val="none" w:sz="0" w:space="0" w:color="auto"/>
        <w:bottom w:val="none" w:sz="0" w:space="0" w:color="auto"/>
        <w:right w:val="none" w:sz="0" w:space="0" w:color="auto"/>
      </w:divBdr>
    </w:div>
    <w:div w:id="111632183">
      <w:bodyDiv w:val="1"/>
      <w:marLeft w:val="0"/>
      <w:marRight w:val="0"/>
      <w:marTop w:val="0"/>
      <w:marBottom w:val="0"/>
      <w:divBdr>
        <w:top w:val="none" w:sz="0" w:space="0" w:color="auto"/>
        <w:left w:val="none" w:sz="0" w:space="0" w:color="auto"/>
        <w:bottom w:val="none" w:sz="0" w:space="0" w:color="auto"/>
        <w:right w:val="none" w:sz="0" w:space="0" w:color="auto"/>
      </w:divBdr>
    </w:div>
    <w:div w:id="303777320">
      <w:bodyDiv w:val="1"/>
      <w:marLeft w:val="0"/>
      <w:marRight w:val="0"/>
      <w:marTop w:val="0"/>
      <w:marBottom w:val="0"/>
      <w:divBdr>
        <w:top w:val="none" w:sz="0" w:space="0" w:color="auto"/>
        <w:left w:val="none" w:sz="0" w:space="0" w:color="auto"/>
        <w:bottom w:val="none" w:sz="0" w:space="0" w:color="auto"/>
        <w:right w:val="none" w:sz="0" w:space="0" w:color="auto"/>
      </w:divBdr>
    </w:div>
    <w:div w:id="352806469">
      <w:bodyDiv w:val="1"/>
      <w:marLeft w:val="0"/>
      <w:marRight w:val="0"/>
      <w:marTop w:val="0"/>
      <w:marBottom w:val="0"/>
      <w:divBdr>
        <w:top w:val="none" w:sz="0" w:space="0" w:color="auto"/>
        <w:left w:val="none" w:sz="0" w:space="0" w:color="auto"/>
        <w:bottom w:val="none" w:sz="0" w:space="0" w:color="auto"/>
        <w:right w:val="none" w:sz="0" w:space="0" w:color="auto"/>
      </w:divBdr>
    </w:div>
    <w:div w:id="420225093">
      <w:bodyDiv w:val="1"/>
      <w:marLeft w:val="0"/>
      <w:marRight w:val="0"/>
      <w:marTop w:val="0"/>
      <w:marBottom w:val="0"/>
      <w:divBdr>
        <w:top w:val="none" w:sz="0" w:space="0" w:color="auto"/>
        <w:left w:val="none" w:sz="0" w:space="0" w:color="auto"/>
        <w:bottom w:val="none" w:sz="0" w:space="0" w:color="auto"/>
        <w:right w:val="none" w:sz="0" w:space="0" w:color="auto"/>
      </w:divBdr>
    </w:div>
    <w:div w:id="450512168">
      <w:bodyDiv w:val="1"/>
      <w:marLeft w:val="0"/>
      <w:marRight w:val="0"/>
      <w:marTop w:val="0"/>
      <w:marBottom w:val="0"/>
      <w:divBdr>
        <w:top w:val="none" w:sz="0" w:space="0" w:color="auto"/>
        <w:left w:val="none" w:sz="0" w:space="0" w:color="auto"/>
        <w:bottom w:val="none" w:sz="0" w:space="0" w:color="auto"/>
        <w:right w:val="none" w:sz="0" w:space="0" w:color="auto"/>
      </w:divBdr>
    </w:div>
    <w:div w:id="465123746">
      <w:bodyDiv w:val="1"/>
      <w:marLeft w:val="0"/>
      <w:marRight w:val="0"/>
      <w:marTop w:val="0"/>
      <w:marBottom w:val="0"/>
      <w:divBdr>
        <w:top w:val="none" w:sz="0" w:space="0" w:color="auto"/>
        <w:left w:val="none" w:sz="0" w:space="0" w:color="auto"/>
        <w:bottom w:val="none" w:sz="0" w:space="0" w:color="auto"/>
        <w:right w:val="none" w:sz="0" w:space="0" w:color="auto"/>
      </w:divBdr>
    </w:div>
    <w:div w:id="467552348">
      <w:bodyDiv w:val="1"/>
      <w:marLeft w:val="0"/>
      <w:marRight w:val="0"/>
      <w:marTop w:val="0"/>
      <w:marBottom w:val="0"/>
      <w:divBdr>
        <w:top w:val="none" w:sz="0" w:space="0" w:color="auto"/>
        <w:left w:val="none" w:sz="0" w:space="0" w:color="auto"/>
        <w:bottom w:val="none" w:sz="0" w:space="0" w:color="auto"/>
        <w:right w:val="none" w:sz="0" w:space="0" w:color="auto"/>
      </w:divBdr>
      <w:divsChild>
        <w:div w:id="717169143">
          <w:marLeft w:val="0"/>
          <w:marRight w:val="0"/>
          <w:marTop w:val="0"/>
          <w:marBottom w:val="150"/>
          <w:divBdr>
            <w:top w:val="none" w:sz="0" w:space="0" w:color="auto"/>
            <w:left w:val="none" w:sz="0" w:space="0" w:color="auto"/>
            <w:bottom w:val="none" w:sz="0" w:space="0" w:color="auto"/>
            <w:right w:val="none" w:sz="0" w:space="0" w:color="auto"/>
          </w:divBdr>
        </w:div>
        <w:div w:id="1531458297">
          <w:marLeft w:val="0"/>
          <w:marRight w:val="0"/>
          <w:marTop w:val="0"/>
          <w:marBottom w:val="150"/>
          <w:divBdr>
            <w:top w:val="none" w:sz="0" w:space="0" w:color="auto"/>
            <w:left w:val="none" w:sz="0" w:space="0" w:color="auto"/>
            <w:bottom w:val="none" w:sz="0" w:space="0" w:color="auto"/>
            <w:right w:val="none" w:sz="0" w:space="0" w:color="auto"/>
          </w:divBdr>
        </w:div>
        <w:div w:id="63529561">
          <w:marLeft w:val="0"/>
          <w:marRight w:val="0"/>
          <w:marTop w:val="0"/>
          <w:marBottom w:val="150"/>
          <w:divBdr>
            <w:top w:val="none" w:sz="0" w:space="0" w:color="auto"/>
            <w:left w:val="none" w:sz="0" w:space="0" w:color="auto"/>
            <w:bottom w:val="none" w:sz="0" w:space="0" w:color="auto"/>
            <w:right w:val="none" w:sz="0" w:space="0" w:color="auto"/>
          </w:divBdr>
        </w:div>
      </w:divsChild>
    </w:div>
    <w:div w:id="883101848">
      <w:bodyDiv w:val="1"/>
      <w:marLeft w:val="0"/>
      <w:marRight w:val="0"/>
      <w:marTop w:val="0"/>
      <w:marBottom w:val="0"/>
      <w:divBdr>
        <w:top w:val="none" w:sz="0" w:space="0" w:color="auto"/>
        <w:left w:val="none" w:sz="0" w:space="0" w:color="auto"/>
        <w:bottom w:val="none" w:sz="0" w:space="0" w:color="auto"/>
        <w:right w:val="none" w:sz="0" w:space="0" w:color="auto"/>
      </w:divBdr>
    </w:div>
    <w:div w:id="975993558">
      <w:bodyDiv w:val="1"/>
      <w:marLeft w:val="0"/>
      <w:marRight w:val="0"/>
      <w:marTop w:val="0"/>
      <w:marBottom w:val="0"/>
      <w:divBdr>
        <w:top w:val="none" w:sz="0" w:space="0" w:color="auto"/>
        <w:left w:val="none" w:sz="0" w:space="0" w:color="auto"/>
        <w:bottom w:val="none" w:sz="0" w:space="0" w:color="auto"/>
        <w:right w:val="none" w:sz="0" w:space="0" w:color="auto"/>
      </w:divBdr>
      <w:divsChild>
        <w:div w:id="811796783">
          <w:marLeft w:val="0"/>
          <w:marRight w:val="0"/>
          <w:marTop w:val="0"/>
          <w:marBottom w:val="150"/>
          <w:divBdr>
            <w:top w:val="none" w:sz="0" w:space="0" w:color="auto"/>
            <w:left w:val="none" w:sz="0" w:space="0" w:color="auto"/>
            <w:bottom w:val="none" w:sz="0" w:space="0" w:color="auto"/>
            <w:right w:val="none" w:sz="0" w:space="0" w:color="auto"/>
          </w:divBdr>
        </w:div>
      </w:divsChild>
    </w:div>
    <w:div w:id="1122572333">
      <w:bodyDiv w:val="1"/>
      <w:marLeft w:val="0"/>
      <w:marRight w:val="0"/>
      <w:marTop w:val="0"/>
      <w:marBottom w:val="0"/>
      <w:divBdr>
        <w:top w:val="none" w:sz="0" w:space="0" w:color="auto"/>
        <w:left w:val="none" w:sz="0" w:space="0" w:color="auto"/>
        <w:bottom w:val="none" w:sz="0" w:space="0" w:color="auto"/>
        <w:right w:val="none" w:sz="0" w:space="0" w:color="auto"/>
      </w:divBdr>
    </w:div>
    <w:div w:id="1593588763">
      <w:bodyDiv w:val="1"/>
      <w:marLeft w:val="0"/>
      <w:marRight w:val="0"/>
      <w:marTop w:val="0"/>
      <w:marBottom w:val="0"/>
      <w:divBdr>
        <w:top w:val="none" w:sz="0" w:space="0" w:color="auto"/>
        <w:left w:val="none" w:sz="0" w:space="0" w:color="auto"/>
        <w:bottom w:val="none" w:sz="0" w:space="0" w:color="auto"/>
        <w:right w:val="none" w:sz="0" w:space="0" w:color="auto"/>
      </w:divBdr>
    </w:div>
    <w:div w:id="2016224913">
      <w:bodyDiv w:val="1"/>
      <w:marLeft w:val="0"/>
      <w:marRight w:val="0"/>
      <w:marTop w:val="0"/>
      <w:marBottom w:val="0"/>
      <w:divBdr>
        <w:top w:val="none" w:sz="0" w:space="0" w:color="auto"/>
        <w:left w:val="none" w:sz="0" w:space="0" w:color="auto"/>
        <w:bottom w:val="none" w:sz="0" w:space="0" w:color="auto"/>
        <w:right w:val="none" w:sz="0" w:space="0" w:color="auto"/>
      </w:divBdr>
    </w:div>
    <w:div w:id="204336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47E9B-0AED-4292-9525-8F7CD2778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1735</Words>
  <Characters>9891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Hlinschykova</cp:lastModifiedBy>
  <cp:revision>3</cp:revision>
  <cp:lastPrinted>2020-11-23T08:54:00Z</cp:lastPrinted>
  <dcterms:created xsi:type="dcterms:W3CDTF">2021-03-31T07:48:00Z</dcterms:created>
  <dcterms:modified xsi:type="dcterms:W3CDTF">2021-04-21T07:21:00Z</dcterms:modified>
</cp:coreProperties>
</file>